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style2.xml" ContentType="application/vnd.ms-office.chartstyle+xml"/>
  <Override PartName="/word/charts/style1.xml" ContentType="application/vnd.ms-office.chartstyle+xml"/>
  <Override PartName="/word/charts/colors1.xml" ContentType="application/vnd.ms-office.chartcolorstyle+xml"/>
  <Override PartName="/word/charts/colors2.xml" ContentType="application/vnd.ms-office.chartcolorstyle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Default="004548AF" w:rsidP="00E42E00">
      <w:pPr>
        <w:pStyle w:val="Datum"/>
      </w:pPr>
      <w:r>
        <w:t>5</w:t>
      </w:r>
      <w:r w:rsidR="00B916A5">
        <w:t xml:space="preserve">. </w:t>
      </w:r>
      <w:r>
        <w:t>12</w:t>
      </w:r>
      <w:r w:rsidR="009E7964">
        <w:t>. 202</w:t>
      </w:r>
      <w:r w:rsidR="008F3C72">
        <w:t>2</w:t>
      </w:r>
    </w:p>
    <w:p w:rsidR="00867569" w:rsidRPr="00A56C80" w:rsidRDefault="00B916A5" w:rsidP="00A56C80">
      <w:pPr>
        <w:pStyle w:val="Nzev"/>
      </w:pPr>
      <w:r>
        <w:t xml:space="preserve">Vývoj českého trhu práce </w:t>
      </w:r>
      <w:r w:rsidR="00867569" w:rsidRPr="00A56C80">
        <w:t>–</w:t>
      </w:r>
      <w:r w:rsidR="003301A3" w:rsidRPr="00A56C80">
        <w:t xml:space="preserve"> </w:t>
      </w:r>
      <w:r w:rsidR="004548AF">
        <w:t>3</w:t>
      </w:r>
      <w:r>
        <w:t xml:space="preserve">. čtvrtletí </w:t>
      </w:r>
      <w:r w:rsidR="00A905AD">
        <w:t>20</w:t>
      </w:r>
      <w:r w:rsidR="00741BE7">
        <w:t>22</w:t>
      </w:r>
    </w:p>
    <w:p w:rsidR="00867569" w:rsidRPr="009C2107" w:rsidRDefault="009A68AE" w:rsidP="00E42E00">
      <w:pPr>
        <w:pStyle w:val="Perex"/>
      </w:pPr>
      <w:r>
        <w:rPr>
          <w:szCs w:val="20"/>
        </w:rPr>
        <w:t>V</w:t>
      </w:r>
      <w:r w:rsidR="004548AF">
        <w:rPr>
          <w:szCs w:val="20"/>
        </w:rPr>
        <w:t>e</w:t>
      </w:r>
      <w:r>
        <w:rPr>
          <w:szCs w:val="20"/>
        </w:rPr>
        <w:t> </w:t>
      </w:r>
      <w:r w:rsidR="004548AF">
        <w:rPr>
          <w:szCs w:val="20"/>
        </w:rPr>
        <w:t>3</w:t>
      </w:r>
      <w:r w:rsidR="00234657" w:rsidRPr="007F60D6">
        <w:rPr>
          <w:szCs w:val="20"/>
        </w:rPr>
        <w:t>. </w:t>
      </w:r>
      <w:r w:rsidR="003E13CE" w:rsidRPr="007F60D6">
        <w:rPr>
          <w:szCs w:val="20"/>
        </w:rPr>
        <w:t>čtvrtletí</w:t>
      </w:r>
      <w:r w:rsidR="005E3C0F" w:rsidRPr="007F60D6">
        <w:rPr>
          <w:szCs w:val="20"/>
        </w:rPr>
        <w:t xml:space="preserve"> </w:t>
      </w:r>
      <w:r w:rsidR="004548AF">
        <w:rPr>
          <w:szCs w:val="20"/>
        </w:rPr>
        <w:t xml:space="preserve">2022 zůstal </w:t>
      </w:r>
      <w:r w:rsidR="00253153" w:rsidRPr="007F60D6">
        <w:rPr>
          <w:szCs w:val="20"/>
        </w:rPr>
        <w:t>trh práce</w:t>
      </w:r>
      <w:r w:rsidR="004548AF">
        <w:rPr>
          <w:szCs w:val="20"/>
        </w:rPr>
        <w:t xml:space="preserve"> napjatý.</w:t>
      </w:r>
      <w:r w:rsidR="00253153" w:rsidRPr="007F60D6">
        <w:rPr>
          <w:szCs w:val="20"/>
        </w:rPr>
        <w:t xml:space="preserve"> </w:t>
      </w:r>
      <w:r w:rsidR="00EE420E" w:rsidRPr="007F60D6">
        <w:rPr>
          <w:szCs w:val="20"/>
        </w:rPr>
        <w:t xml:space="preserve">Průměrná </w:t>
      </w:r>
      <w:r w:rsidR="00EE420E" w:rsidRPr="007F60D6">
        <w:t xml:space="preserve">mzda </w:t>
      </w:r>
      <w:r w:rsidR="00EE420E" w:rsidRPr="007F60D6">
        <w:rPr>
          <w:szCs w:val="20"/>
        </w:rPr>
        <w:t xml:space="preserve">se meziročně </w:t>
      </w:r>
      <w:r w:rsidR="00EE420E" w:rsidRPr="007F60D6">
        <w:t>nominálně zvýšila o </w:t>
      </w:r>
      <w:r w:rsidR="00D05CCB">
        <w:t>6,1</w:t>
      </w:r>
      <w:r w:rsidR="00EE420E" w:rsidRPr="007F60D6">
        <w:t xml:space="preserve"> %, </w:t>
      </w:r>
      <w:r w:rsidR="004548AF">
        <w:t>avšak</w:t>
      </w:r>
      <w:r w:rsidR="004548AF" w:rsidRPr="007F60D6">
        <w:t xml:space="preserve"> </w:t>
      </w:r>
      <w:r w:rsidR="00F424FC">
        <w:t>v důsledku</w:t>
      </w:r>
      <w:r w:rsidR="00EE420E" w:rsidRPr="007F60D6">
        <w:t xml:space="preserve"> </w:t>
      </w:r>
      <w:r w:rsidR="00F424FC">
        <w:t xml:space="preserve">silného </w:t>
      </w:r>
      <w:r w:rsidR="00EE420E" w:rsidRPr="007F60D6">
        <w:t xml:space="preserve">růstu </w:t>
      </w:r>
      <w:r w:rsidR="00F424FC">
        <w:t>cen reálně</w:t>
      </w:r>
      <w:r w:rsidR="00052AEE" w:rsidRPr="007F60D6">
        <w:t xml:space="preserve"> </w:t>
      </w:r>
      <w:r w:rsidR="006163D7">
        <w:t>klesl</w:t>
      </w:r>
      <w:r w:rsidR="00F424FC">
        <w:t>a</w:t>
      </w:r>
      <w:r w:rsidR="006163D7">
        <w:t xml:space="preserve"> </w:t>
      </w:r>
      <w:r w:rsidR="00052AEE" w:rsidRPr="007F60D6">
        <w:t>o </w:t>
      </w:r>
      <w:r w:rsidR="00D05CCB">
        <w:t>9,8 </w:t>
      </w:r>
      <w:r w:rsidR="00EE420E" w:rsidRPr="007F60D6">
        <w:t xml:space="preserve">%. </w:t>
      </w:r>
      <w:r w:rsidR="00C44999">
        <w:t>Ekonomická aktivita</w:t>
      </w:r>
      <w:r w:rsidR="004548AF">
        <w:t xml:space="preserve"> zasažena nebyla</w:t>
      </w:r>
      <w:r w:rsidR="00C44999">
        <w:t xml:space="preserve">, </w:t>
      </w:r>
      <w:r w:rsidR="006163D7">
        <w:t xml:space="preserve">míra </w:t>
      </w:r>
      <w:r w:rsidR="00C44999">
        <w:t>z</w:t>
      </w:r>
      <w:r w:rsidR="005E7033" w:rsidRPr="007F60D6">
        <w:rPr>
          <w:szCs w:val="20"/>
        </w:rPr>
        <w:t>aměstnanost</w:t>
      </w:r>
      <w:r w:rsidR="006163D7">
        <w:rPr>
          <w:szCs w:val="20"/>
        </w:rPr>
        <w:t>i</w:t>
      </w:r>
      <w:r w:rsidR="00943867" w:rsidRPr="007F60D6">
        <w:rPr>
          <w:szCs w:val="20"/>
        </w:rPr>
        <w:t xml:space="preserve"> </w:t>
      </w:r>
      <w:r w:rsidR="004548AF">
        <w:rPr>
          <w:szCs w:val="20"/>
        </w:rPr>
        <w:t>stoupla o </w:t>
      </w:r>
      <w:r w:rsidR="0086413A">
        <w:rPr>
          <w:szCs w:val="20"/>
        </w:rPr>
        <w:t>1,1</w:t>
      </w:r>
      <w:r w:rsidR="004548AF">
        <w:rPr>
          <w:szCs w:val="20"/>
        </w:rPr>
        <w:t> p.b. a</w:t>
      </w:r>
      <w:r w:rsidR="00B80F82" w:rsidRPr="009C2107">
        <w:rPr>
          <w:szCs w:val="20"/>
        </w:rPr>
        <w:t xml:space="preserve"> míra nezamě</w:t>
      </w:r>
      <w:r w:rsidR="006163D7">
        <w:rPr>
          <w:szCs w:val="20"/>
        </w:rPr>
        <w:t xml:space="preserve">stnanosti </w:t>
      </w:r>
      <w:r w:rsidR="004548AF">
        <w:rPr>
          <w:szCs w:val="20"/>
        </w:rPr>
        <w:t>klesla o 0,</w:t>
      </w:r>
      <w:r w:rsidR="0086413A">
        <w:rPr>
          <w:szCs w:val="20"/>
        </w:rPr>
        <w:t>5</w:t>
      </w:r>
      <w:r w:rsidR="004548AF">
        <w:rPr>
          <w:szCs w:val="20"/>
        </w:rPr>
        <w:t> </w:t>
      </w:r>
      <w:r w:rsidR="00D05CCB">
        <w:rPr>
          <w:szCs w:val="20"/>
        </w:rPr>
        <w:t>p.b., vyčerpával</w:t>
      </w:r>
      <w:r w:rsidR="004548AF">
        <w:rPr>
          <w:szCs w:val="20"/>
        </w:rPr>
        <w:t xml:space="preserve"> se i rezervoár neaktivních</w:t>
      </w:r>
      <w:r w:rsidR="00CC11AE">
        <w:rPr>
          <w:szCs w:val="20"/>
        </w:rPr>
        <w:t>, ale</w:t>
      </w:r>
      <w:r w:rsidR="004548AF">
        <w:rPr>
          <w:szCs w:val="20"/>
        </w:rPr>
        <w:t xml:space="preserve"> ochotných pracovat.</w:t>
      </w:r>
    </w:p>
    <w:p w:rsidR="000A378F" w:rsidRDefault="0088095D" w:rsidP="00E42E00">
      <w:pPr>
        <w:pStyle w:val="Nadpis1"/>
      </w:pPr>
      <w:r w:rsidRPr="009C2107">
        <w:t>Z</w:t>
      </w:r>
      <w:r w:rsidR="00B916A5" w:rsidRPr="009C2107">
        <w:t>aměstnanost, ne</w:t>
      </w:r>
      <w:r w:rsidR="00234657" w:rsidRPr="009C2107">
        <w:t>zaměstnanost a ekonomická neaktivita</w:t>
      </w:r>
    </w:p>
    <w:p w:rsidR="006163D7" w:rsidRPr="00E2757A" w:rsidRDefault="00207F9C" w:rsidP="006163D7">
      <w:r w:rsidRPr="006163D7">
        <w:t>Výsledky</w:t>
      </w:r>
      <w:r w:rsidR="00B60EFE" w:rsidRPr="006163D7">
        <w:t xml:space="preserve"> </w:t>
      </w:r>
      <w:r w:rsidR="00D8310F" w:rsidRPr="006163D7">
        <w:t>Výběrového šetření pracovních sil (</w:t>
      </w:r>
      <w:r w:rsidR="00333139" w:rsidRPr="006163D7">
        <w:t>VŠPS</w:t>
      </w:r>
      <w:r w:rsidR="00D8310F" w:rsidRPr="006163D7">
        <w:t>)</w:t>
      </w:r>
      <w:r w:rsidR="009C2107" w:rsidRPr="006163D7">
        <w:t xml:space="preserve"> </w:t>
      </w:r>
      <w:r w:rsidR="00402229" w:rsidRPr="006163D7">
        <w:t xml:space="preserve">přinesly </w:t>
      </w:r>
      <w:r w:rsidRPr="006163D7">
        <w:t>pro</w:t>
      </w:r>
      <w:r w:rsidR="009C2107" w:rsidRPr="006163D7">
        <w:t xml:space="preserve"> </w:t>
      </w:r>
      <w:r w:rsidR="004548AF">
        <w:t>3</w:t>
      </w:r>
      <w:r w:rsidR="009C2107" w:rsidRPr="006163D7">
        <w:t>. čtvrtletí 202</w:t>
      </w:r>
      <w:r w:rsidR="006163D7">
        <w:t>2</w:t>
      </w:r>
      <w:r w:rsidR="009C2107" w:rsidRPr="006163D7">
        <w:t xml:space="preserve"> </w:t>
      </w:r>
      <w:r w:rsidR="006F4A57" w:rsidRPr="006163D7">
        <w:t xml:space="preserve">meziroční </w:t>
      </w:r>
      <w:r w:rsidR="009C2107" w:rsidRPr="006163D7">
        <w:t xml:space="preserve">nárůst </w:t>
      </w:r>
      <w:r w:rsidR="006163D7">
        <w:t xml:space="preserve">míry </w:t>
      </w:r>
      <w:r w:rsidR="00BC52B1" w:rsidRPr="00972E51">
        <w:t>zaměstnanosti</w:t>
      </w:r>
      <w:r w:rsidR="00B71B7D" w:rsidRPr="00972E51">
        <w:t xml:space="preserve"> (</w:t>
      </w:r>
      <w:r w:rsidR="00666D52" w:rsidRPr="00972E51">
        <w:t xml:space="preserve">ve věkové skupině </w:t>
      </w:r>
      <w:r w:rsidR="00CB21A4" w:rsidRPr="00972E51">
        <w:t>15–64 let</w:t>
      </w:r>
      <w:r w:rsidR="00B71B7D" w:rsidRPr="00972E51">
        <w:t>)</w:t>
      </w:r>
      <w:r w:rsidR="00113B61" w:rsidRPr="00972E51">
        <w:t xml:space="preserve"> o 1,</w:t>
      </w:r>
      <w:r w:rsidR="0086413A">
        <w:t>1</w:t>
      </w:r>
      <w:r w:rsidR="00113B61" w:rsidRPr="00972E51">
        <w:t> p.b. na </w:t>
      </w:r>
      <w:r w:rsidR="004548AF">
        <w:t>75,</w:t>
      </w:r>
      <w:r w:rsidR="0086413A">
        <w:t>9</w:t>
      </w:r>
      <w:r w:rsidR="006163D7" w:rsidRPr="00972E51">
        <w:t> %.</w:t>
      </w:r>
      <w:r w:rsidR="006F4A57" w:rsidRPr="00972E51">
        <w:t xml:space="preserve"> </w:t>
      </w:r>
      <w:r w:rsidR="006163D7" w:rsidRPr="006163D7">
        <w:t>Ženy mírně doháněly rozdíl, u </w:t>
      </w:r>
      <w:r w:rsidR="006163D7" w:rsidRPr="00E2757A">
        <w:t>mužů vzrostla</w:t>
      </w:r>
      <w:r w:rsidR="006163D7">
        <w:t xml:space="preserve"> mír</w:t>
      </w:r>
      <w:r w:rsidR="00CB21A4">
        <w:t>a</w:t>
      </w:r>
      <w:r w:rsidR="006163D7">
        <w:t xml:space="preserve"> </w:t>
      </w:r>
      <w:r w:rsidR="006163D7" w:rsidRPr="006163D7">
        <w:t xml:space="preserve">zaměstnanosti </w:t>
      </w:r>
      <w:r w:rsidR="006163D7">
        <w:t>o </w:t>
      </w:r>
      <w:r w:rsidR="0086413A">
        <w:t>0,8</w:t>
      </w:r>
      <w:r w:rsidR="006163D7">
        <w:t> p. b</w:t>
      </w:r>
      <w:r w:rsidR="006163D7" w:rsidRPr="00533A5B">
        <w:t>. na 8</w:t>
      </w:r>
      <w:r w:rsidR="004548AF">
        <w:t>2</w:t>
      </w:r>
      <w:r w:rsidR="006163D7" w:rsidRPr="00533A5B">
        <w:t>,</w:t>
      </w:r>
      <w:r w:rsidR="0086413A">
        <w:t>3</w:t>
      </w:r>
      <w:r w:rsidR="006163D7" w:rsidRPr="00533A5B">
        <w:t> %, u žen</w:t>
      </w:r>
      <w:r w:rsidR="006163D7" w:rsidRPr="00E2757A">
        <w:t xml:space="preserve"> o </w:t>
      </w:r>
      <w:r w:rsidR="0086413A">
        <w:t>1,4</w:t>
      </w:r>
      <w:r w:rsidR="006163D7" w:rsidRPr="00E2757A">
        <w:t> p. b. na 6</w:t>
      </w:r>
      <w:r w:rsidR="0086413A">
        <w:t>9</w:t>
      </w:r>
      <w:r w:rsidR="004548AF">
        <w:t>,1</w:t>
      </w:r>
      <w:r w:rsidR="006163D7" w:rsidRPr="00E2757A">
        <w:t> %.</w:t>
      </w:r>
    </w:p>
    <w:p w:rsidR="00E22D22" w:rsidRPr="00113B61" w:rsidRDefault="004548AF" w:rsidP="00E22D22">
      <w:r>
        <w:t xml:space="preserve">V meziročním srovnání </w:t>
      </w:r>
      <w:r w:rsidR="0086413A">
        <w:t xml:space="preserve">absolutních čísel </w:t>
      </w:r>
      <w:r>
        <w:t xml:space="preserve">je nutné používat odpovídající </w:t>
      </w:r>
      <w:r w:rsidR="0086413A">
        <w:t>údaje</w:t>
      </w:r>
      <w:r>
        <w:t xml:space="preserve"> po </w:t>
      </w:r>
      <w:r w:rsidR="003263A3" w:rsidRPr="006163D7">
        <w:t>uplatnění nových demog</w:t>
      </w:r>
      <w:r w:rsidR="00E22D22">
        <w:t>rafických vah po Sčítání 2021</w:t>
      </w:r>
      <w:r>
        <w:t>.</w:t>
      </w:r>
      <w:r w:rsidR="00E22D22">
        <w:t xml:space="preserve"> P</w:t>
      </w:r>
      <w:r w:rsidR="004A7A70">
        <w:t xml:space="preserve">očet zaměstnaných </w:t>
      </w:r>
      <w:r w:rsidR="00E22D22">
        <w:t xml:space="preserve">se </w:t>
      </w:r>
      <w:r>
        <w:t xml:space="preserve">meziročně </w:t>
      </w:r>
      <w:r w:rsidR="004A7A70">
        <w:t>zvýšil o </w:t>
      </w:r>
      <w:r w:rsidR="0086413A">
        <w:t>61,9</w:t>
      </w:r>
      <w:r w:rsidR="00E22D22">
        <w:t> tis.</w:t>
      </w:r>
      <w:r w:rsidR="0086413A">
        <w:t xml:space="preserve">, </w:t>
      </w:r>
      <w:r w:rsidR="0086413A" w:rsidRPr="00E2757A">
        <w:t>tj. o </w:t>
      </w:r>
      <w:r w:rsidR="0086413A">
        <w:t>1,2 </w:t>
      </w:r>
      <w:r w:rsidR="0086413A" w:rsidRPr="00E2757A">
        <w:t xml:space="preserve">% na </w:t>
      </w:r>
      <w:r w:rsidR="0086413A">
        <w:t>5 188,9</w:t>
      </w:r>
      <w:r w:rsidR="0086413A" w:rsidRPr="00E2757A">
        <w:t> tis.</w:t>
      </w:r>
      <w:r w:rsidR="0086413A">
        <w:t xml:space="preserve"> </w:t>
      </w:r>
      <w:r w:rsidR="00E22D22" w:rsidRPr="00113B61">
        <w:t>Výrazn</w:t>
      </w:r>
      <w:r w:rsidR="00E22D22">
        <w:t>ým</w:t>
      </w:r>
      <w:r w:rsidR="00E22D22" w:rsidRPr="00113B61">
        <w:t xml:space="preserve"> </w:t>
      </w:r>
      <w:r w:rsidR="00E22D22">
        <w:t>trendem</w:t>
      </w:r>
      <w:r w:rsidR="00E22D22" w:rsidRPr="00113B61">
        <w:t xml:space="preserve"> byl </w:t>
      </w:r>
      <w:r w:rsidR="0086413A">
        <w:t xml:space="preserve">další </w:t>
      </w:r>
      <w:r w:rsidR="00E22D22">
        <w:t xml:space="preserve">drobný </w:t>
      </w:r>
      <w:r w:rsidR="00E22D22" w:rsidRPr="00113B61">
        <w:t xml:space="preserve">pokles </w:t>
      </w:r>
      <w:r w:rsidR="00E22D22">
        <w:t xml:space="preserve">počtu </w:t>
      </w:r>
      <w:r w:rsidR="00E22D22" w:rsidRPr="00113B61">
        <w:rPr>
          <w:spacing w:val="-8"/>
        </w:rPr>
        <w:t>zaměstnavatelů</w:t>
      </w:r>
      <w:r w:rsidR="00E22D22">
        <w:rPr>
          <w:spacing w:val="-8"/>
        </w:rPr>
        <w:t xml:space="preserve"> (o </w:t>
      </w:r>
      <w:r w:rsidR="0086413A">
        <w:rPr>
          <w:spacing w:val="-8"/>
        </w:rPr>
        <w:t>3</w:t>
      </w:r>
      <w:r w:rsidR="00E22D22">
        <w:rPr>
          <w:spacing w:val="-8"/>
        </w:rPr>
        <w:t>,9 tis.),</w:t>
      </w:r>
      <w:r w:rsidR="00E22D22" w:rsidRPr="00113B61">
        <w:rPr>
          <w:spacing w:val="-4"/>
        </w:rPr>
        <w:t xml:space="preserve"> </w:t>
      </w:r>
      <w:r w:rsidR="00E22D22">
        <w:rPr>
          <w:spacing w:val="-4"/>
        </w:rPr>
        <w:t>který je v rozporu s nárůstem jak</w:t>
      </w:r>
      <w:r w:rsidR="008F501B">
        <w:rPr>
          <w:spacing w:val="-4"/>
        </w:rPr>
        <w:t xml:space="preserve"> u </w:t>
      </w:r>
      <w:r w:rsidR="00E22D22" w:rsidRPr="00113B61">
        <w:rPr>
          <w:spacing w:val="-4"/>
        </w:rPr>
        <w:t xml:space="preserve">podnikatelů </w:t>
      </w:r>
      <w:r w:rsidR="0086413A">
        <w:rPr>
          <w:spacing w:val="-4"/>
        </w:rPr>
        <w:t xml:space="preserve">bez zaměstnanců </w:t>
      </w:r>
      <w:r w:rsidR="00E22D22" w:rsidRPr="00113B61">
        <w:rPr>
          <w:spacing w:val="-4"/>
        </w:rPr>
        <w:t>(</w:t>
      </w:r>
      <w:r w:rsidR="00E22D22">
        <w:rPr>
          <w:spacing w:val="-4"/>
        </w:rPr>
        <w:t>pracujících na vlastní účet)</w:t>
      </w:r>
      <w:r w:rsidR="00E22D22" w:rsidRPr="00113B61">
        <w:rPr>
          <w:spacing w:val="-4"/>
        </w:rPr>
        <w:t xml:space="preserve"> o </w:t>
      </w:r>
      <w:r w:rsidR="0086413A">
        <w:rPr>
          <w:spacing w:val="-4"/>
        </w:rPr>
        <w:t>15,8</w:t>
      </w:r>
      <w:r w:rsidR="00E22D22" w:rsidRPr="00113B61">
        <w:rPr>
          <w:spacing w:val="-4"/>
        </w:rPr>
        <w:t> tis.</w:t>
      </w:r>
      <w:r w:rsidR="00E22D22">
        <w:rPr>
          <w:spacing w:val="-4"/>
        </w:rPr>
        <w:t xml:space="preserve">, tak především </w:t>
      </w:r>
      <w:r w:rsidR="008F501B">
        <w:rPr>
          <w:spacing w:val="-4"/>
        </w:rPr>
        <w:t>u </w:t>
      </w:r>
      <w:r w:rsidR="00E22D22" w:rsidRPr="00113B61">
        <w:rPr>
          <w:spacing w:val="-8"/>
        </w:rPr>
        <w:t xml:space="preserve">zaměstnanců </w:t>
      </w:r>
      <w:r w:rsidR="00E22D22" w:rsidRPr="00113B61">
        <w:rPr>
          <w:spacing w:val="2"/>
        </w:rPr>
        <w:t>(</w:t>
      </w:r>
      <w:r w:rsidR="00E22D22">
        <w:rPr>
          <w:spacing w:val="2"/>
        </w:rPr>
        <w:t>o </w:t>
      </w:r>
      <w:r w:rsidR="0086413A">
        <w:rPr>
          <w:spacing w:val="2"/>
        </w:rPr>
        <w:t>44</w:t>
      </w:r>
      <w:r w:rsidR="00E22D22">
        <w:rPr>
          <w:spacing w:val="2"/>
        </w:rPr>
        <w:t>,</w:t>
      </w:r>
      <w:r w:rsidR="0086413A">
        <w:rPr>
          <w:spacing w:val="2"/>
        </w:rPr>
        <w:t>8</w:t>
      </w:r>
      <w:r w:rsidR="00E22D22">
        <w:rPr>
          <w:spacing w:val="2"/>
        </w:rPr>
        <w:t> tis.)</w:t>
      </w:r>
      <w:r w:rsidR="00E22D22" w:rsidRPr="00113B61">
        <w:rPr>
          <w:spacing w:val="2"/>
        </w:rPr>
        <w:t>.</w:t>
      </w:r>
    </w:p>
    <w:p w:rsidR="0086413A" w:rsidRDefault="00E22D22" w:rsidP="00E22D22">
      <w:r w:rsidRPr="00113B61">
        <w:t xml:space="preserve">V odvětvovém třídění </w:t>
      </w:r>
      <w:r>
        <w:t xml:space="preserve">lze mluvit o stagnaci </w:t>
      </w:r>
      <w:r w:rsidRPr="00113B61">
        <w:t>zaměstnanost</w:t>
      </w:r>
      <w:r>
        <w:t>i</w:t>
      </w:r>
      <w:r w:rsidRPr="00113B61">
        <w:t xml:space="preserve"> v</w:t>
      </w:r>
      <w:r>
        <w:t xml:space="preserve"> primárním i </w:t>
      </w:r>
      <w:r w:rsidRPr="00113B61">
        <w:t xml:space="preserve">sekundárním sektoru. </w:t>
      </w:r>
      <w:r>
        <w:t>Naopak v</w:t>
      </w:r>
      <w:r w:rsidRPr="00E2757A">
        <w:t> </w:t>
      </w:r>
      <w:r w:rsidRPr="00F1505C">
        <w:t>terciárním sektoru</w:t>
      </w:r>
      <w:r w:rsidRPr="00E2757A">
        <w:t xml:space="preserve"> celková zaměstnanost </w:t>
      </w:r>
      <w:r>
        <w:t xml:space="preserve">meziročně </w:t>
      </w:r>
      <w:r w:rsidRPr="00E2757A">
        <w:t>stoupla o </w:t>
      </w:r>
      <w:r w:rsidR="0086413A">
        <w:t>58,7 </w:t>
      </w:r>
      <w:r w:rsidRPr="00E2757A">
        <w:t>tis.</w:t>
      </w:r>
      <w:r>
        <w:t>, zejména v sekc</w:t>
      </w:r>
      <w:r w:rsidR="008F501B">
        <w:t>i</w:t>
      </w:r>
      <w:r w:rsidRPr="00E2757A">
        <w:t xml:space="preserve"> </w:t>
      </w:r>
      <w:r>
        <w:t>v</w:t>
      </w:r>
      <w:r w:rsidRPr="00187EF7">
        <w:t>elkoobchod a maloob</w:t>
      </w:r>
      <w:r>
        <w:t>chod, opravy</w:t>
      </w:r>
      <w:r w:rsidRPr="00187EF7">
        <w:t xml:space="preserve"> mot</w:t>
      </w:r>
      <w:r>
        <w:t>orových</w:t>
      </w:r>
      <w:r w:rsidRPr="00187EF7">
        <w:t xml:space="preserve"> vozidel</w:t>
      </w:r>
      <w:r>
        <w:t xml:space="preserve"> </w:t>
      </w:r>
      <w:r w:rsidRPr="00E2757A">
        <w:t>o </w:t>
      </w:r>
      <w:r w:rsidR="0086413A">
        <w:t>2</w:t>
      </w:r>
      <w:r w:rsidR="00D53F81">
        <w:t>3</w:t>
      </w:r>
      <w:r w:rsidR="0086413A">
        <w:t>,</w:t>
      </w:r>
      <w:r w:rsidR="00D53F81">
        <w:t>0</w:t>
      </w:r>
      <w:r w:rsidR="0086413A">
        <w:t> </w:t>
      </w:r>
      <w:r>
        <w:t>tis.</w:t>
      </w:r>
    </w:p>
    <w:p w:rsidR="00372A6D" w:rsidRDefault="00E22D22" w:rsidP="00E22D22">
      <w:r w:rsidRPr="00A46E8F">
        <w:rPr>
          <w:rFonts w:eastAsia="Times New Roman"/>
          <w:bCs/>
          <w:szCs w:val="28"/>
        </w:rPr>
        <w:t>Celkový počet nezaměstnaných dle VŠPS (definice ILO – osoby aktivně hledající práci) dosáhl hodnoty 1</w:t>
      </w:r>
      <w:r w:rsidR="0086413A">
        <w:rPr>
          <w:rFonts w:eastAsia="Times New Roman"/>
          <w:bCs/>
          <w:szCs w:val="28"/>
        </w:rPr>
        <w:t>17</w:t>
      </w:r>
      <w:r>
        <w:rPr>
          <w:rFonts w:eastAsia="Times New Roman"/>
          <w:bCs/>
          <w:szCs w:val="28"/>
        </w:rPr>
        <w:t>,</w:t>
      </w:r>
      <w:r w:rsidR="0086413A">
        <w:rPr>
          <w:rFonts w:eastAsia="Times New Roman"/>
          <w:bCs/>
          <w:szCs w:val="28"/>
        </w:rPr>
        <w:t>5</w:t>
      </w:r>
      <w:r w:rsidRPr="00A46E8F">
        <w:rPr>
          <w:rFonts w:eastAsia="Times New Roman"/>
          <w:bCs/>
          <w:szCs w:val="28"/>
        </w:rPr>
        <w:t xml:space="preserve"> tis. osob, po sezónním očištění čísla ukazují mezičtvrtletní </w:t>
      </w:r>
      <w:r w:rsidR="0086413A">
        <w:rPr>
          <w:rFonts w:eastAsia="Times New Roman"/>
          <w:bCs/>
          <w:szCs w:val="28"/>
        </w:rPr>
        <w:t>pokles</w:t>
      </w:r>
      <w:r w:rsidRPr="00A46E8F">
        <w:rPr>
          <w:rFonts w:eastAsia="Times New Roman"/>
          <w:bCs/>
          <w:szCs w:val="28"/>
        </w:rPr>
        <w:t xml:space="preserve"> o </w:t>
      </w:r>
      <w:r w:rsidR="0086413A">
        <w:rPr>
          <w:rFonts w:eastAsia="Times New Roman"/>
          <w:bCs/>
          <w:szCs w:val="28"/>
        </w:rPr>
        <w:t>8,1</w:t>
      </w:r>
      <w:r w:rsidRPr="00A46E8F">
        <w:rPr>
          <w:rFonts w:eastAsia="Times New Roman"/>
          <w:bCs/>
          <w:szCs w:val="28"/>
        </w:rPr>
        <w:t xml:space="preserve"> tis. osob., meziroč</w:t>
      </w:r>
      <w:r>
        <w:rPr>
          <w:rFonts w:eastAsia="Times New Roman"/>
          <w:bCs/>
          <w:szCs w:val="28"/>
        </w:rPr>
        <w:t>ně se nezaměstnanost snížila o 2</w:t>
      </w:r>
      <w:r w:rsidR="0086413A">
        <w:rPr>
          <w:rFonts w:eastAsia="Times New Roman"/>
          <w:bCs/>
          <w:szCs w:val="28"/>
        </w:rPr>
        <w:t>4,4</w:t>
      </w:r>
      <w:r w:rsidRPr="00A46E8F">
        <w:rPr>
          <w:rFonts w:eastAsia="Times New Roman"/>
          <w:bCs/>
          <w:szCs w:val="28"/>
        </w:rPr>
        <w:t xml:space="preserve"> tis. Míra nezaměstnanosti tak ve věkové skupině 15–64letých klesla na hodnotu 2,</w:t>
      </w:r>
      <w:r w:rsidR="0086413A">
        <w:rPr>
          <w:rFonts w:eastAsia="Times New Roman"/>
          <w:bCs/>
          <w:szCs w:val="28"/>
        </w:rPr>
        <w:t>3</w:t>
      </w:r>
      <w:r>
        <w:rPr>
          <w:rFonts w:eastAsia="Times New Roman"/>
          <w:bCs/>
          <w:szCs w:val="28"/>
        </w:rPr>
        <w:t> </w:t>
      </w:r>
      <w:r w:rsidRPr="00A46E8F">
        <w:rPr>
          <w:rFonts w:eastAsia="Times New Roman"/>
          <w:bCs/>
          <w:szCs w:val="28"/>
        </w:rPr>
        <w:t>% (meziročně pokles o 0,</w:t>
      </w:r>
      <w:r w:rsidR="0086413A">
        <w:rPr>
          <w:rFonts w:eastAsia="Times New Roman"/>
          <w:bCs/>
          <w:szCs w:val="28"/>
        </w:rPr>
        <w:t>5</w:t>
      </w:r>
      <w:r w:rsidRPr="00A46E8F">
        <w:rPr>
          <w:rFonts w:eastAsia="Times New Roman"/>
          <w:bCs/>
          <w:szCs w:val="28"/>
        </w:rPr>
        <w:t xml:space="preserve"> p. b.). Výrazný </w:t>
      </w:r>
      <w:r>
        <w:rPr>
          <w:rFonts w:eastAsia="Times New Roman"/>
          <w:bCs/>
          <w:szCs w:val="28"/>
        </w:rPr>
        <w:t>zůstává</w:t>
      </w:r>
      <w:r w:rsidRPr="00A46E8F">
        <w:rPr>
          <w:rFonts w:eastAsia="Times New Roman"/>
          <w:bCs/>
          <w:szCs w:val="28"/>
        </w:rPr>
        <w:t xml:space="preserve"> regionální profil</w:t>
      </w:r>
      <w:r>
        <w:rPr>
          <w:rFonts w:eastAsia="Times New Roman"/>
          <w:bCs/>
          <w:szCs w:val="28"/>
        </w:rPr>
        <w:t xml:space="preserve">, který se však </w:t>
      </w:r>
      <w:r w:rsidR="008F501B">
        <w:rPr>
          <w:rFonts w:eastAsia="Times New Roman"/>
          <w:bCs/>
          <w:szCs w:val="28"/>
        </w:rPr>
        <w:t>p</w:t>
      </w:r>
      <w:r>
        <w:rPr>
          <w:rFonts w:eastAsia="Times New Roman"/>
          <w:bCs/>
          <w:szCs w:val="28"/>
        </w:rPr>
        <w:t>romě</w:t>
      </w:r>
      <w:r w:rsidR="008F501B">
        <w:rPr>
          <w:rFonts w:eastAsia="Times New Roman"/>
          <w:bCs/>
          <w:szCs w:val="28"/>
        </w:rPr>
        <w:t>nil</w:t>
      </w:r>
      <w:r w:rsidRPr="00A46E8F">
        <w:rPr>
          <w:rFonts w:eastAsia="Times New Roman"/>
          <w:bCs/>
          <w:szCs w:val="28"/>
        </w:rPr>
        <w:t xml:space="preserve">: nejvyšší </w:t>
      </w:r>
      <w:r w:rsidR="008F501B">
        <w:rPr>
          <w:rFonts w:eastAsia="Times New Roman"/>
          <w:bCs/>
          <w:szCs w:val="28"/>
        </w:rPr>
        <w:t>míra</w:t>
      </w:r>
      <w:r w:rsidRPr="00A46E8F">
        <w:rPr>
          <w:rFonts w:eastAsia="Times New Roman"/>
          <w:bCs/>
          <w:szCs w:val="28"/>
        </w:rPr>
        <w:t xml:space="preserve"> byl</w:t>
      </w:r>
      <w:r w:rsidR="008F501B">
        <w:rPr>
          <w:rFonts w:eastAsia="Times New Roman"/>
          <w:bCs/>
          <w:szCs w:val="28"/>
        </w:rPr>
        <w:t>a</w:t>
      </w:r>
      <w:r w:rsidRPr="00A46E8F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 xml:space="preserve">aktuálně </w:t>
      </w:r>
      <w:r w:rsidRPr="00A46E8F">
        <w:rPr>
          <w:rFonts w:eastAsia="Times New Roman"/>
          <w:bCs/>
          <w:szCs w:val="28"/>
        </w:rPr>
        <w:t xml:space="preserve">v </w:t>
      </w:r>
      <w:r w:rsidR="0086413A">
        <w:t xml:space="preserve">Olomouckém kraji </w:t>
      </w:r>
      <w:r w:rsidR="0086413A" w:rsidRPr="004A45C7">
        <w:t>(</w:t>
      </w:r>
      <w:r w:rsidR="0086413A">
        <w:t>4,1</w:t>
      </w:r>
      <w:r w:rsidR="0086413A" w:rsidRPr="004A45C7">
        <w:t xml:space="preserve"> %), </w:t>
      </w:r>
      <w:r w:rsidR="00372A6D">
        <w:t>až potom</w:t>
      </w:r>
      <w:r w:rsidR="0086413A">
        <w:t xml:space="preserve"> v </w:t>
      </w:r>
      <w:r w:rsidR="0086413A" w:rsidRPr="00A46E8F">
        <w:rPr>
          <w:rFonts w:eastAsia="Times New Roman"/>
          <w:bCs/>
          <w:szCs w:val="28"/>
        </w:rPr>
        <w:t>Karlovarském (3,8 %)</w:t>
      </w:r>
      <w:r w:rsidR="00372A6D">
        <w:rPr>
          <w:rFonts w:eastAsia="Times New Roman"/>
          <w:bCs/>
          <w:szCs w:val="28"/>
        </w:rPr>
        <w:t xml:space="preserve"> a</w:t>
      </w:r>
      <w:r w:rsidR="0086413A" w:rsidRPr="00A46E8F">
        <w:rPr>
          <w:rFonts w:eastAsia="Times New Roman"/>
          <w:bCs/>
          <w:szCs w:val="28"/>
        </w:rPr>
        <w:t xml:space="preserve"> </w:t>
      </w:r>
      <w:r w:rsidR="00372A6D">
        <w:rPr>
          <w:rFonts w:eastAsia="Times New Roman"/>
          <w:bCs/>
          <w:szCs w:val="28"/>
        </w:rPr>
        <w:t>Moravskoslezském (3,5 %).</w:t>
      </w:r>
      <w:r w:rsidRPr="00A46E8F">
        <w:rPr>
          <w:rFonts w:eastAsia="Times New Roman"/>
          <w:bCs/>
          <w:szCs w:val="28"/>
        </w:rPr>
        <w:t xml:space="preserve"> </w:t>
      </w:r>
      <w:r w:rsidR="00372A6D" w:rsidRPr="004A45C7">
        <w:t xml:space="preserve">Nejvíce míra nezaměstnanosti klesla </w:t>
      </w:r>
      <w:r w:rsidR="00372A6D">
        <w:t xml:space="preserve">právě </w:t>
      </w:r>
      <w:r w:rsidR="00372A6D" w:rsidRPr="004A45C7">
        <w:t>v</w:t>
      </w:r>
      <w:r w:rsidR="00372A6D">
        <w:t xml:space="preserve"> Moravskoslezském </w:t>
      </w:r>
      <w:r w:rsidR="008F501B">
        <w:t xml:space="preserve">kraji  </w:t>
      </w:r>
      <w:r w:rsidR="00372A6D">
        <w:t>(o 1,5</w:t>
      </w:r>
      <w:r w:rsidR="00372A6D" w:rsidRPr="004A45C7">
        <w:t> p. b.)</w:t>
      </w:r>
      <w:r w:rsidR="00372A6D">
        <w:t>, pak v Plzeňském</w:t>
      </w:r>
      <w:r w:rsidR="00372A6D" w:rsidRPr="004A45C7">
        <w:t xml:space="preserve"> </w:t>
      </w:r>
      <w:r w:rsidR="00372A6D">
        <w:t>(o 1,4</w:t>
      </w:r>
      <w:r w:rsidR="00372A6D" w:rsidRPr="004A45C7">
        <w:t xml:space="preserve"> p. b. na </w:t>
      </w:r>
      <w:r w:rsidR="00372A6D">
        <w:t>1,8</w:t>
      </w:r>
      <w:r w:rsidR="00372A6D" w:rsidRPr="004A45C7">
        <w:t> %</w:t>
      </w:r>
      <w:r w:rsidR="00372A6D">
        <w:t xml:space="preserve">) a v Karlovarském </w:t>
      </w:r>
      <w:r w:rsidR="00372A6D" w:rsidRPr="00867183">
        <w:t>(o </w:t>
      </w:r>
      <w:r w:rsidR="00372A6D">
        <w:t>1,3</w:t>
      </w:r>
      <w:r w:rsidR="00372A6D" w:rsidRPr="00867183">
        <w:t xml:space="preserve"> p. b.</w:t>
      </w:r>
      <w:r w:rsidR="00372A6D" w:rsidRPr="004A45C7">
        <w:t>). Nejnižší míru nezaměstnanosti v rámci Česka měl kraj </w:t>
      </w:r>
      <w:r w:rsidR="00372A6D">
        <w:t>Středočeský</w:t>
      </w:r>
      <w:r w:rsidR="00372A6D" w:rsidRPr="004A45C7">
        <w:t xml:space="preserve"> (</w:t>
      </w:r>
      <w:r w:rsidR="00372A6D">
        <w:t>1,2</w:t>
      </w:r>
      <w:r w:rsidR="00372A6D" w:rsidRPr="004A45C7">
        <w:t> %).</w:t>
      </w:r>
    </w:p>
    <w:p w:rsidR="00E22D22" w:rsidRDefault="00E22D22" w:rsidP="00E22D22">
      <w:r w:rsidRPr="00A46E8F">
        <w:rPr>
          <w:rFonts w:eastAsia="Times New Roman"/>
          <w:bCs/>
          <w:szCs w:val="28"/>
        </w:rPr>
        <w:t xml:space="preserve">Déle než rok bylo bez práce </w:t>
      </w:r>
      <w:r w:rsidR="00372A6D">
        <w:rPr>
          <w:rFonts w:eastAsia="Times New Roman"/>
          <w:bCs/>
          <w:szCs w:val="28"/>
        </w:rPr>
        <w:t>30</w:t>
      </w:r>
      <w:r w:rsidRPr="00A46E8F">
        <w:rPr>
          <w:rFonts w:eastAsia="Times New Roman"/>
          <w:bCs/>
          <w:szCs w:val="28"/>
        </w:rPr>
        <w:t>,</w:t>
      </w:r>
      <w:r w:rsidR="00372A6D">
        <w:rPr>
          <w:rFonts w:eastAsia="Times New Roman"/>
          <w:bCs/>
          <w:szCs w:val="28"/>
        </w:rPr>
        <w:t>0</w:t>
      </w:r>
      <w:r w:rsidRPr="00A46E8F">
        <w:rPr>
          <w:rFonts w:eastAsia="Times New Roman"/>
          <w:bCs/>
          <w:szCs w:val="28"/>
        </w:rPr>
        <w:t xml:space="preserve"> </w:t>
      </w:r>
      <w:r w:rsidR="00372A6D">
        <w:rPr>
          <w:rFonts w:eastAsia="Times New Roman"/>
          <w:bCs/>
          <w:szCs w:val="28"/>
        </w:rPr>
        <w:t>tis.</w:t>
      </w:r>
      <w:r w:rsidRPr="00A46E8F">
        <w:rPr>
          <w:rFonts w:eastAsia="Times New Roman"/>
          <w:bCs/>
          <w:szCs w:val="28"/>
        </w:rPr>
        <w:t xml:space="preserve"> nezaměstnaných (</w:t>
      </w:r>
      <w:r w:rsidR="001C1FA1">
        <w:rPr>
          <w:rFonts w:eastAsia="Times New Roman"/>
          <w:bCs/>
          <w:szCs w:val="28"/>
        </w:rPr>
        <w:t xml:space="preserve">tj. </w:t>
      </w:r>
      <w:r w:rsidR="00372A6D">
        <w:rPr>
          <w:rFonts w:eastAsia="Times New Roman"/>
          <w:bCs/>
          <w:szCs w:val="28"/>
        </w:rPr>
        <w:t>jeden ze čtyř</w:t>
      </w:r>
      <w:r w:rsidRPr="00A46E8F">
        <w:rPr>
          <w:rFonts w:eastAsia="Times New Roman"/>
          <w:bCs/>
          <w:szCs w:val="28"/>
        </w:rPr>
        <w:t>), počet d</w:t>
      </w:r>
      <w:r w:rsidR="00372A6D">
        <w:rPr>
          <w:rFonts w:eastAsia="Times New Roman"/>
          <w:bCs/>
          <w:szCs w:val="28"/>
        </w:rPr>
        <w:t xml:space="preserve">louhodobě nezaměstnaných se </w:t>
      </w:r>
      <w:r w:rsidR="00372A6D" w:rsidRPr="008F383F">
        <w:t xml:space="preserve">meziročně </w:t>
      </w:r>
      <w:r w:rsidR="00372A6D">
        <w:t>snížil</w:t>
      </w:r>
      <w:r w:rsidR="00372A6D" w:rsidRPr="008F383F">
        <w:t xml:space="preserve"> o </w:t>
      </w:r>
      <w:r w:rsidR="00372A6D">
        <w:t>11,1</w:t>
      </w:r>
      <w:r w:rsidR="00372A6D" w:rsidRPr="008F383F">
        <w:t> tis.</w:t>
      </w:r>
    </w:p>
    <w:p w:rsidR="00372A6D" w:rsidRPr="00A46E8F" w:rsidRDefault="00372A6D" w:rsidP="00E22D22">
      <w:pPr>
        <w:rPr>
          <w:rFonts w:eastAsia="Times New Roman"/>
          <w:bCs/>
          <w:szCs w:val="28"/>
        </w:rPr>
      </w:pPr>
      <w:r>
        <w:rPr>
          <w:rFonts w:cs="Arial"/>
          <w:color w:val="000000"/>
          <w:szCs w:val="20"/>
          <w:lang w:eastAsia="cs-CZ"/>
        </w:rPr>
        <w:t>Počet osob, které nelze klasifikovat jako nezaměstnané a jsou pokládány za neaktivní, leč uvádějí, že chtějí pracovat, se snížil meziročně o 8,</w:t>
      </w:r>
      <w:r w:rsidR="00D53F81">
        <w:rPr>
          <w:rFonts w:cs="Arial"/>
          <w:color w:val="000000"/>
          <w:szCs w:val="20"/>
          <w:lang w:eastAsia="cs-CZ"/>
        </w:rPr>
        <w:t>3</w:t>
      </w:r>
      <w:r>
        <w:rPr>
          <w:rFonts w:cs="Arial"/>
          <w:color w:val="000000"/>
          <w:szCs w:val="20"/>
          <w:lang w:eastAsia="cs-CZ"/>
        </w:rPr>
        <w:t> tis.</w:t>
      </w:r>
      <w:r w:rsidRPr="00372A6D">
        <w:rPr>
          <w:rFonts w:cs="Arial"/>
          <w:color w:val="000000"/>
          <w:szCs w:val="20"/>
          <w:lang w:eastAsia="cs-CZ"/>
        </w:rPr>
        <w:t xml:space="preserve"> </w:t>
      </w:r>
      <w:r>
        <w:rPr>
          <w:rFonts w:cs="Arial"/>
          <w:color w:val="000000"/>
          <w:szCs w:val="20"/>
          <w:lang w:eastAsia="cs-CZ"/>
        </w:rPr>
        <w:t>na 56,</w:t>
      </w:r>
      <w:r w:rsidR="00D53F81">
        <w:rPr>
          <w:rFonts w:cs="Arial"/>
          <w:color w:val="000000"/>
          <w:szCs w:val="20"/>
          <w:lang w:eastAsia="cs-CZ"/>
        </w:rPr>
        <w:t>3</w:t>
      </w:r>
      <w:r>
        <w:rPr>
          <w:rFonts w:cs="Arial"/>
          <w:color w:val="000000"/>
          <w:szCs w:val="20"/>
          <w:lang w:eastAsia="cs-CZ"/>
        </w:rPr>
        <w:t> tis.</w:t>
      </w:r>
    </w:p>
    <w:p w:rsidR="00F1505C" w:rsidRDefault="00E22D22" w:rsidP="008F501B">
      <w:pPr>
        <w:rPr>
          <w:rFonts w:eastAsia="Times New Roman"/>
          <w:bCs/>
          <w:szCs w:val="28"/>
        </w:rPr>
      </w:pPr>
      <w:r w:rsidRPr="00A46E8F">
        <w:rPr>
          <w:rFonts w:eastAsia="Times New Roman"/>
          <w:bCs/>
          <w:szCs w:val="28"/>
        </w:rPr>
        <w:t>Je nutné připomenout, že VŠPS pokrývá jen osoby bydlící v</w:t>
      </w:r>
      <w:r w:rsidR="00372A6D">
        <w:rPr>
          <w:rFonts w:eastAsia="Times New Roman"/>
          <w:bCs/>
          <w:szCs w:val="28"/>
        </w:rPr>
        <w:t xml:space="preserve"> bytech, nikoli na ubytovnách a </w:t>
      </w:r>
      <w:r w:rsidRPr="00A46E8F">
        <w:rPr>
          <w:rFonts w:eastAsia="Times New Roman"/>
          <w:bCs/>
          <w:szCs w:val="28"/>
        </w:rPr>
        <w:t>podobných kolektivních domácnostech, což negativně ovlivňuje zachycení cizinců, kteří takové způsoby bydlení často využívají.</w:t>
      </w:r>
    </w:p>
    <w:p w:rsidR="008F501B" w:rsidRDefault="008F501B" w:rsidP="008F501B"/>
    <w:p w:rsidR="00B916A5" w:rsidRPr="00B41D30" w:rsidRDefault="00B916A5" w:rsidP="00B916A5">
      <w:pPr>
        <w:pStyle w:val="Nadpis1"/>
      </w:pPr>
      <w:r w:rsidRPr="006163D7">
        <w:t>Evidenční počet zaměstnanců</w:t>
      </w:r>
      <w:r w:rsidR="004B201A" w:rsidRPr="006163D7">
        <w:t xml:space="preserve"> přepočtený na plně zaměstnané</w:t>
      </w:r>
    </w:p>
    <w:p w:rsidR="00B916A5" w:rsidRPr="00372A6D" w:rsidRDefault="00E464C2" w:rsidP="00B916A5">
      <w:pPr>
        <w:pStyle w:val="Perex"/>
        <w:spacing w:after="0"/>
        <w:rPr>
          <w:b w:val="0"/>
          <w:color w:val="806000" w:themeColor="accent4" w:themeShade="80"/>
          <w:szCs w:val="20"/>
          <w:lang w:eastAsia="cs-CZ"/>
        </w:rPr>
      </w:pPr>
      <w:r w:rsidRPr="00B41D30">
        <w:rPr>
          <w:b w:val="0"/>
          <w:szCs w:val="20"/>
          <w:lang w:eastAsia="cs-CZ"/>
        </w:rPr>
        <w:t xml:space="preserve">Předběžné údaje podnikové statistiky ČSÚ </w:t>
      </w:r>
      <w:r w:rsidR="00B41D30" w:rsidRPr="00B41D30">
        <w:rPr>
          <w:b w:val="0"/>
          <w:szCs w:val="20"/>
          <w:lang w:eastAsia="cs-CZ"/>
        </w:rPr>
        <w:t>potvrdily meziroční nárůst v počtu zaměstnanců, který však zpomaloval.</w:t>
      </w:r>
      <w:r w:rsidRPr="00B41D30">
        <w:rPr>
          <w:b w:val="0"/>
          <w:szCs w:val="20"/>
          <w:lang w:eastAsia="cs-CZ"/>
        </w:rPr>
        <w:t xml:space="preserve"> </w:t>
      </w:r>
      <w:r w:rsidR="00B41D30" w:rsidRPr="00B41D30">
        <w:rPr>
          <w:b w:val="0"/>
          <w:szCs w:val="20"/>
          <w:lang w:eastAsia="cs-CZ"/>
        </w:rPr>
        <w:t>Evidenční</w:t>
      </w:r>
      <w:r w:rsidR="00B916A5" w:rsidRPr="00B41D30">
        <w:rPr>
          <w:b w:val="0"/>
          <w:szCs w:val="20"/>
          <w:lang w:eastAsia="cs-CZ"/>
        </w:rPr>
        <w:t xml:space="preserve"> poč</w:t>
      </w:r>
      <w:r w:rsidR="00B41D30" w:rsidRPr="00B41D30">
        <w:rPr>
          <w:b w:val="0"/>
          <w:szCs w:val="20"/>
          <w:lang w:eastAsia="cs-CZ"/>
        </w:rPr>
        <w:t>e</w:t>
      </w:r>
      <w:r w:rsidR="00B916A5" w:rsidRPr="00B41D30">
        <w:rPr>
          <w:b w:val="0"/>
          <w:szCs w:val="20"/>
          <w:lang w:eastAsia="cs-CZ"/>
        </w:rPr>
        <w:t>t</w:t>
      </w:r>
      <w:r w:rsidR="00B41D30" w:rsidRPr="00B41D30">
        <w:rPr>
          <w:b w:val="0"/>
          <w:szCs w:val="20"/>
          <w:lang w:eastAsia="cs-CZ"/>
        </w:rPr>
        <w:t xml:space="preserve"> zaměstnanců</w:t>
      </w:r>
      <w:r w:rsidR="00166977" w:rsidRPr="00B41D30">
        <w:rPr>
          <w:b w:val="0"/>
          <w:szCs w:val="20"/>
          <w:lang w:eastAsia="cs-CZ"/>
        </w:rPr>
        <w:t xml:space="preserve"> </w:t>
      </w:r>
      <w:r w:rsidR="00B41D30" w:rsidRPr="00B41D30">
        <w:rPr>
          <w:b w:val="0"/>
        </w:rPr>
        <w:t>přepočtených na plně zaměstnané (FTE) se v</w:t>
      </w:r>
      <w:r w:rsidR="00804BCE" w:rsidRPr="00B41D30">
        <w:rPr>
          <w:b w:val="0"/>
          <w:szCs w:val="20"/>
          <w:lang w:eastAsia="cs-CZ"/>
        </w:rPr>
        <w:t>e</w:t>
      </w:r>
      <w:r w:rsidR="00B916A5" w:rsidRPr="00B41D30">
        <w:rPr>
          <w:b w:val="0"/>
        </w:rPr>
        <w:t> </w:t>
      </w:r>
      <w:r w:rsidR="00804BCE" w:rsidRPr="00B41D30">
        <w:rPr>
          <w:b w:val="0"/>
        </w:rPr>
        <w:t>3</w:t>
      </w:r>
      <w:r w:rsidR="00B916A5" w:rsidRPr="00B41D30">
        <w:rPr>
          <w:b w:val="0"/>
        </w:rPr>
        <w:t>.</w:t>
      </w:r>
      <w:r w:rsidR="00FD43EF" w:rsidRPr="00B41D30">
        <w:rPr>
          <w:b w:val="0"/>
        </w:rPr>
        <w:t> </w:t>
      </w:r>
      <w:r w:rsidR="00E548FE" w:rsidRPr="00B41D30">
        <w:rPr>
          <w:b w:val="0"/>
        </w:rPr>
        <w:t>čtvrtletí</w:t>
      </w:r>
      <w:r w:rsidR="00166977" w:rsidRPr="00B41D30">
        <w:rPr>
          <w:b w:val="0"/>
        </w:rPr>
        <w:t xml:space="preserve"> </w:t>
      </w:r>
      <w:r w:rsidR="004A7A70" w:rsidRPr="00B41D30">
        <w:rPr>
          <w:b w:val="0"/>
        </w:rPr>
        <w:t xml:space="preserve">2022 </w:t>
      </w:r>
      <w:r w:rsidR="007723E2">
        <w:rPr>
          <w:b w:val="0"/>
        </w:rPr>
        <w:t xml:space="preserve">meziročně </w:t>
      </w:r>
      <w:r w:rsidR="00B41D30" w:rsidRPr="00B41D30">
        <w:rPr>
          <w:b w:val="0"/>
        </w:rPr>
        <w:t>zvýšil o 39,9</w:t>
      </w:r>
      <w:r w:rsidR="00B916A5" w:rsidRPr="00B41D30">
        <w:rPr>
          <w:b w:val="0"/>
        </w:rPr>
        <w:t> tis.</w:t>
      </w:r>
      <w:r w:rsidR="00B41D30" w:rsidRPr="00B41D30">
        <w:rPr>
          <w:b w:val="0"/>
        </w:rPr>
        <w:t>,</w:t>
      </w:r>
      <w:r w:rsidR="00B916A5" w:rsidRPr="00B41D30">
        <w:rPr>
          <w:b w:val="0"/>
        </w:rPr>
        <w:t xml:space="preserve"> </w:t>
      </w:r>
      <w:r w:rsidR="00FD43EF" w:rsidRPr="00B41D30">
        <w:rPr>
          <w:b w:val="0"/>
        </w:rPr>
        <w:t>c</w:t>
      </w:r>
      <w:r w:rsidR="00B916A5" w:rsidRPr="00B41D30">
        <w:rPr>
          <w:b w:val="0"/>
        </w:rPr>
        <w:t>o</w:t>
      </w:r>
      <w:r w:rsidR="00FD43EF" w:rsidRPr="00B41D30">
        <w:rPr>
          <w:b w:val="0"/>
        </w:rPr>
        <w:t>ž</w:t>
      </w:r>
      <w:r w:rsidR="00B916A5" w:rsidRPr="00B41D30">
        <w:rPr>
          <w:b w:val="0"/>
        </w:rPr>
        <w:t xml:space="preserve"> </w:t>
      </w:r>
      <w:r w:rsidR="00B41D30" w:rsidRPr="00B41D30">
        <w:rPr>
          <w:b w:val="0"/>
        </w:rPr>
        <w:t>byl</w:t>
      </w:r>
      <w:r w:rsidR="00B916A5" w:rsidRPr="00B41D30">
        <w:rPr>
          <w:b w:val="0"/>
        </w:rPr>
        <w:t xml:space="preserve"> relativní </w:t>
      </w:r>
      <w:r w:rsidR="00FA5066" w:rsidRPr="00B41D30">
        <w:rPr>
          <w:b w:val="0"/>
        </w:rPr>
        <w:t>nárůst</w:t>
      </w:r>
      <w:r w:rsidR="00314C58" w:rsidRPr="00B41D30">
        <w:rPr>
          <w:b w:val="0"/>
        </w:rPr>
        <w:t xml:space="preserve"> o </w:t>
      </w:r>
      <w:r w:rsidR="00B50A22" w:rsidRPr="00B41D30">
        <w:rPr>
          <w:b w:val="0"/>
        </w:rPr>
        <w:t>1,</w:t>
      </w:r>
      <w:r w:rsidR="00B41D30" w:rsidRPr="00B41D30">
        <w:rPr>
          <w:b w:val="0"/>
        </w:rPr>
        <w:t>0</w:t>
      </w:r>
      <w:r w:rsidR="00B916A5" w:rsidRPr="00B41D30">
        <w:rPr>
          <w:b w:val="0"/>
        </w:rPr>
        <w:t> %</w:t>
      </w:r>
      <w:r w:rsidR="00166977" w:rsidRPr="00B41D30">
        <w:rPr>
          <w:b w:val="0"/>
        </w:rPr>
        <w:t>.</w:t>
      </w:r>
    </w:p>
    <w:p w:rsidR="001D0BC3" w:rsidRPr="00EA0046" w:rsidRDefault="002B44AE" w:rsidP="001726A5">
      <w:pPr>
        <w:pStyle w:val="Perex"/>
        <w:spacing w:after="0"/>
        <w:rPr>
          <w:b w:val="0"/>
        </w:rPr>
      </w:pPr>
      <w:r w:rsidRPr="00B41D30">
        <w:rPr>
          <w:b w:val="0"/>
        </w:rPr>
        <w:t>Z hlediska jednotlivých</w:t>
      </w:r>
      <w:r w:rsidR="00B916A5" w:rsidRPr="00B41D30">
        <w:rPr>
          <w:b w:val="0"/>
        </w:rPr>
        <w:t xml:space="preserve"> odvětví</w:t>
      </w:r>
      <w:r w:rsidRPr="00B41D30">
        <w:rPr>
          <w:b w:val="0"/>
        </w:rPr>
        <w:t xml:space="preserve"> </w:t>
      </w:r>
      <w:r w:rsidR="00B0382A" w:rsidRPr="00B41D30">
        <w:rPr>
          <w:b w:val="0"/>
        </w:rPr>
        <w:t>byl</w:t>
      </w:r>
      <w:r w:rsidR="00994FD3" w:rsidRPr="00B41D30">
        <w:rPr>
          <w:b w:val="0"/>
        </w:rPr>
        <w:t>a</w:t>
      </w:r>
      <w:r w:rsidR="00B94AAC" w:rsidRPr="00B41D30">
        <w:rPr>
          <w:b w:val="0"/>
        </w:rPr>
        <w:t xml:space="preserve"> </w:t>
      </w:r>
      <w:r w:rsidR="00994FD3" w:rsidRPr="00B41D30">
        <w:rPr>
          <w:b w:val="0"/>
        </w:rPr>
        <w:t xml:space="preserve">situace </w:t>
      </w:r>
      <w:r w:rsidR="0070073E">
        <w:rPr>
          <w:b w:val="0"/>
        </w:rPr>
        <w:t>nejednoznačn</w:t>
      </w:r>
      <w:r w:rsidR="00994FD3" w:rsidRPr="00B41D30">
        <w:rPr>
          <w:b w:val="0"/>
        </w:rPr>
        <w:t>á</w:t>
      </w:r>
      <w:r w:rsidR="003E2665" w:rsidRPr="00B41D30">
        <w:rPr>
          <w:b w:val="0"/>
        </w:rPr>
        <w:t>.</w:t>
      </w:r>
      <w:r w:rsidR="00595963" w:rsidRPr="00B41D30">
        <w:rPr>
          <w:b w:val="0"/>
        </w:rPr>
        <w:t xml:space="preserve"> </w:t>
      </w:r>
      <w:r w:rsidR="00544100" w:rsidRPr="00B41D30">
        <w:rPr>
          <w:b w:val="0"/>
        </w:rPr>
        <w:t xml:space="preserve">V </w:t>
      </w:r>
      <w:r w:rsidR="00B83D65" w:rsidRPr="00B41D30">
        <w:rPr>
          <w:b w:val="0"/>
        </w:rPr>
        <w:t>sedm</w:t>
      </w:r>
      <w:r w:rsidR="001726A5" w:rsidRPr="00B41D30">
        <w:rPr>
          <w:b w:val="0"/>
        </w:rPr>
        <w:t>i</w:t>
      </w:r>
      <w:r w:rsidR="00544100" w:rsidRPr="00B41D30">
        <w:rPr>
          <w:b w:val="0"/>
        </w:rPr>
        <w:t xml:space="preserve"> </w:t>
      </w:r>
      <w:r w:rsidR="00DF23CA" w:rsidRPr="00B41D30">
        <w:rPr>
          <w:b w:val="0"/>
        </w:rPr>
        <w:t>sekcí</w:t>
      </w:r>
      <w:r w:rsidR="00F81099" w:rsidRPr="00B41D30">
        <w:rPr>
          <w:b w:val="0"/>
        </w:rPr>
        <w:t>ch</w:t>
      </w:r>
      <w:r w:rsidR="0042238D" w:rsidRPr="00B41D30">
        <w:rPr>
          <w:b w:val="0"/>
        </w:rPr>
        <w:t xml:space="preserve"> CZ-NACE </w:t>
      </w:r>
      <w:r w:rsidR="003E2665" w:rsidRPr="00B41D30">
        <w:rPr>
          <w:b w:val="0"/>
        </w:rPr>
        <w:t xml:space="preserve">se </w:t>
      </w:r>
      <w:r w:rsidR="0042238D" w:rsidRPr="00B41D30">
        <w:rPr>
          <w:b w:val="0"/>
        </w:rPr>
        <w:t>počet zaměstnanců</w:t>
      </w:r>
      <w:r w:rsidR="001726A5" w:rsidRPr="00B41D30">
        <w:rPr>
          <w:b w:val="0"/>
        </w:rPr>
        <w:t xml:space="preserve"> </w:t>
      </w:r>
      <w:r w:rsidR="007723E2">
        <w:rPr>
          <w:b w:val="0"/>
        </w:rPr>
        <w:t>meziročně</w:t>
      </w:r>
      <w:r w:rsidR="007723E2" w:rsidRPr="00B41D30">
        <w:rPr>
          <w:b w:val="0"/>
        </w:rPr>
        <w:t xml:space="preserve"> </w:t>
      </w:r>
      <w:r w:rsidR="001726A5" w:rsidRPr="00B41D30">
        <w:rPr>
          <w:b w:val="0"/>
        </w:rPr>
        <w:t>snížil</w:t>
      </w:r>
      <w:r w:rsidR="00B50A22" w:rsidRPr="00EA0046">
        <w:rPr>
          <w:b w:val="0"/>
        </w:rPr>
        <w:t>,</w:t>
      </w:r>
      <w:r w:rsidR="001726A5" w:rsidRPr="00EA0046">
        <w:rPr>
          <w:b w:val="0"/>
        </w:rPr>
        <w:t xml:space="preserve"> </w:t>
      </w:r>
      <w:r w:rsidR="001D0BC3" w:rsidRPr="00EA0046">
        <w:rPr>
          <w:b w:val="0"/>
        </w:rPr>
        <w:t>ubylo v nich 1</w:t>
      </w:r>
      <w:r w:rsidR="00B41D30" w:rsidRPr="00EA0046">
        <w:rPr>
          <w:b w:val="0"/>
        </w:rPr>
        <w:t>4</w:t>
      </w:r>
      <w:r w:rsidR="001D0BC3" w:rsidRPr="00EA0046">
        <w:rPr>
          <w:b w:val="0"/>
        </w:rPr>
        <w:t>,</w:t>
      </w:r>
      <w:r w:rsidR="00B41D30" w:rsidRPr="00EA0046">
        <w:rPr>
          <w:b w:val="0"/>
        </w:rPr>
        <w:t>0</w:t>
      </w:r>
      <w:r w:rsidR="001D0BC3" w:rsidRPr="00EA0046">
        <w:rPr>
          <w:b w:val="0"/>
        </w:rPr>
        <w:t xml:space="preserve"> tis. V</w:t>
      </w:r>
      <w:r w:rsidR="00B50A22" w:rsidRPr="00EA0046">
        <w:rPr>
          <w:b w:val="0"/>
        </w:rPr>
        <w:t>e zbylých</w:t>
      </w:r>
      <w:r w:rsidR="001726A5" w:rsidRPr="00EA0046">
        <w:rPr>
          <w:b w:val="0"/>
        </w:rPr>
        <w:t xml:space="preserve"> </w:t>
      </w:r>
      <w:r w:rsidR="001D0BC3" w:rsidRPr="00EA0046">
        <w:rPr>
          <w:b w:val="0"/>
        </w:rPr>
        <w:t xml:space="preserve">dvanácti se </w:t>
      </w:r>
      <w:r w:rsidR="0042238D" w:rsidRPr="00EA0046">
        <w:rPr>
          <w:b w:val="0"/>
        </w:rPr>
        <w:t>zvýšil</w:t>
      </w:r>
      <w:r w:rsidR="001D0BC3" w:rsidRPr="00EA0046">
        <w:rPr>
          <w:b w:val="0"/>
        </w:rPr>
        <w:t xml:space="preserve"> o 5</w:t>
      </w:r>
      <w:r w:rsidR="00EA0046" w:rsidRPr="00EA0046">
        <w:rPr>
          <w:b w:val="0"/>
        </w:rPr>
        <w:t>3</w:t>
      </w:r>
      <w:r w:rsidR="001D0BC3" w:rsidRPr="00EA0046">
        <w:rPr>
          <w:b w:val="0"/>
        </w:rPr>
        <w:t>,</w:t>
      </w:r>
      <w:r w:rsidR="00EA0046" w:rsidRPr="00EA0046">
        <w:rPr>
          <w:b w:val="0"/>
        </w:rPr>
        <w:t>9</w:t>
      </w:r>
      <w:r w:rsidR="001D0BC3" w:rsidRPr="00EA0046">
        <w:rPr>
          <w:b w:val="0"/>
        </w:rPr>
        <w:t xml:space="preserve"> tis.</w:t>
      </w:r>
      <w:r w:rsidR="001572B0" w:rsidRPr="00EA0046">
        <w:rPr>
          <w:b w:val="0"/>
        </w:rPr>
        <w:t xml:space="preserve"> </w:t>
      </w:r>
      <w:r w:rsidR="00CB1466" w:rsidRPr="00EA0046">
        <w:rPr>
          <w:b w:val="0"/>
        </w:rPr>
        <w:t>Jednotliv</w:t>
      </w:r>
      <w:r w:rsidR="001726A5" w:rsidRPr="00EA0046">
        <w:rPr>
          <w:b w:val="0"/>
        </w:rPr>
        <w:t>ě</w:t>
      </w:r>
      <w:r w:rsidR="001572B0" w:rsidRPr="00EA0046">
        <w:rPr>
          <w:b w:val="0"/>
        </w:rPr>
        <w:t xml:space="preserve"> </w:t>
      </w:r>
      <w:r w:rsidR="001D0BC3" w:rsidRPr="00EA0046">
        <w:rPr>
          <w:b w:val="0"/>
        </w:rPr>
        <w:t xml:space="preserve">šlo o </w:t>
      </w:r>
      <w:r w:rsidR="00CB1466" w:rsidRPr="00EA0046">
        <w:rPr>
          <w:b w:val="0"/>
        </w:rPr>
        <w:t xml:space="preserve">odvětvové </w:t>
      </w:r>
      <w:r w:rsidR="00747301" w:rsidRPr="00EA0046">
        <w:rPr>
          <w:b w:val="0"/>
        </w:rPr>
        <w:t xml:space="preserve">relativní </w:t>
      </w:r>
      <w:r w:rsidR="001D0BC3" w:rsidRPr="00EA0046">
        <w:rPr>
          <w:b w:val="0"/>
        </w:rPr>
        <w:t xml:space="preserve">přírůstky či úbytky </w:t>
      </w:r>
      <w:r w:rsidR="001572B0" w:rsidRPr="00EA0046">
        <w:rPr>
          <w:b w:val="0"/>
        </w:rPr>
        <w:t xml:space="preserve">v rozsahu od </w:t>
      </w:r>
      <w:r w:rsidR="001726A5" w:rsidRPr="00EA0046">
        <w:rPr>
          <w:b w:val="0"/>
        </w:rPr>
        <w:t>-</w:t>
      </w:r>
      <w:r w:rsidR="00EA0046" w:rsidRPr="00EA0046">
        <w:rPr>
          <w:b w:val="0"/>
        </w:rPr>
        <w:t>3</w:t>
      </w:r>
      <w:r w:rsidR="001572B0" w:rsidRPr="00EA0046">
        <w:rPr>
          <w:b w:val="0"/>
        </w:rPr>
        <w:t>,</w:t>
      </w:r>
      <w:r w:rsidR="00EA0046" w:rsidRPr="00EA0046">
        <w:rPr>
          <w:b w:val="0"/>
        </w:rPr>
        <w:t>7</w:t>
      </w:r>
      <w:r w:rsidR="001726A5" w:rsidRPr="00EA0046">
        <w:rPr>
          <w:b w:val="0"/>
        </w:rPr>
        <w:t> %</w:t>
      </w:r>
      <w:r w:rsidR="001572B0" w:rsidRPr="00EA0046">
        <w:rPr>
          <w:b w:val="0"/>
        </w:rPr>
        <w:t xml:space="preserve"> do </w:t>
      </w:r>
      <w:r w:rsidR="00EA0046" w:rsidRPr="00EA0046">
        <w:rPr>
          <w:b w:val="0"/>
        </w:rPr>
        <w:t>10</w:t>
      </w:r>
      <w:r w:rsidR="00B83D65" w:rsidRPr="00EA0046">
        <w:rPr>
          <w:b w:val="0"/>
        </w:rPr>
        <w:t>,</w:t>
      </w:r>
      <w:r w:rsidR="00EA0046" w:rsidRPr="00EA0046">
        <w:rPr>
          <w:b w:val="0"/>
        </w:rPr>
        <w:t>3</w:t>
      </w:r>
      <w:r w:rsidR="000F396B" w:rsidRPr="00EA0046">
        <w:rPr>
          <w:b w:val="0"/>
        </w:rPr>
        <w:t xml:space="preserve"> %</w:t>
      </w:r>
      <w:r w:rsidR="001D0BC3" w:rsidRPr="00EA0046">
        <w:rPr>
          <w:b w:val="0"/>
        </w:rPr>
        <w:t>.</w:t>
      </w:r>
    </w:p>
    <w:p w:rsidR="00EA0046" w:rsidRPr="00EA0046" w:rsidRDefault="00F81099" w:rsidP="00EA0046">
      <w:r w:rsidRPr="00EA0046">
        <w:lastRenderedPageBreak/>
        <w:t xml:space="preserve">Relativně </w:t>
      </w:r>
      <w:r w:rsidR="0042238D" w:rsidRPr="00EA0046">
        <w:t>nejvýznamnější</w:t>
      </w:r>
      <w:r w:rsidR="001726A5" w:rsidRPr="00EA0046">
        <w:t xml:space="preserve"> </w:t>
      </w:r>
      <w:r w:rsidR="00EA0046">
        <w:t xml:space="preserve">a jediný dvouciferný </w:t>
      </w:r>
      <w:r w:rsidR="001726A5" w:rsidRPr="00EA0046">
        <w:t>nárůst</w:t>
      </w:r>
      <w:r w:rsidR="0042238D" w:rsidRPr="00EA0046">
        <w:t xml:space="preserve"> </w:t>
      </w:r>
      <w:r w:rsidR="001D0BC3" w:rsidRPr="00EA0046">
        <w:t>(o </w:t>
      </w:r>
      <w:r w:rsidR="00EA0046" w:rsidRPr="00EA0046">
        <w:t>10</w:t>
      </w:r>
      <w:r w:rsidR="001D0BC3" w:rsidRPr="00EA0046">
        <w:t>,</w:t>
      </w:r>
      <w:r w:rsidR="00EA0046" w:rsidRPr="00EA0046">
        <w:t>3 </w:t>
      </w:r>
      <w:r w:rsidR="001D0BC3" w:rsidRPr="00EA0046">
        <w:t xml:space="preserve">%) </w:t>
      </w:r>
      <w:r w:rsidR="003517C4" w:rsidRPr="00EA0046">
        <w:t>najdeme</w:t>
      </w:r>
      <w:r w:rsidR="00EA0046" w:rsidRPr="00EA0046">
        <w:t xml:space="preserve"> </w:t>
      </w:r>
      <w:r w:rsidR="00EA0046">
        <w:t>v </w:t>
      </w:r>
      <w:r w:rsidR="00EA0046" w:rsidRPr="00EA0046">
        <w:t>odvětví činnosti v</w:t>
      </w:r>
      <w:r w:rsidR="00EA0046">
        <w:t> </w:t>
      </w:r>
      <w:r w:rsidR="00EA0046" w:rsidRPr="00EA0046">
        <w:t>oblasti nemovitostí, kde přibylo 4,4 tis. pracovních míst na celkový počet 47,2 tis.</w:t>
      </w:r>
      <w:r w:rsidR="00EA0046">
        <w:t xml:space="preserve"> Toto odvětví přesto zůstává v počtech </w:t>
      </w:r>
      <w:r w:rsidR="007C7F72">
        <w:t>čtvrté</w:t>
      </w:r>
      <w:r w:rsidR="00EA0046">
        <w:t xml:space="preserve"> nejmenší. Druhý největší nárůst byl v </w:t>
      </w:r>
      <w:r w:rsidR="00665F02">
        <w:t>ubytování, stravování a </w:t>
      </w:r>
      <w:r w:rsidR="00EA0046" w:rsidRPr="00EA0046">
        <w:t xml:space="preserve">pohostinství, kde se počet zaměstnanců zvýšil o </w:t>
      </w:r>
      <w:r w:rsidR="00EA0046">
        <w:t>5,6</w:t>
      </w:r>
      <w:r w:rsidR="00EA0046" w:rsidRPr="00EA0046">
        <w:t> </w:t>
      </w:r>
      <w:r w:rsidR="00EA0046">
        <w:t>%, tedy o 5,7</w:t>
      </w:r>
      <w:r w:rsidR="00EA0046" w:rsidRPr="00EA0046">
        <w:t> tis.</w:t>
      </w:r>
      <w:r w:rsidR="00EA0046">
        <w:t xml:space="preserve"> na 108,6 tis.</w:t>
      </w:r>
    </w:p>
    <w:p w:rsidR="0035080D" w:rsidRDefault="0014288F" w:rsidP="001726A5">
      <w:pPr>
        <w:pStyle w:val="Perex"/>
        <w:spacing w:after="0"/>
        <w:rPr>
          <w:b w:val="0"/>
        </w:rPr>
      </w:pPr>
      <w:r w:rsidRPr="00EA0046">
        <w:rPr>
          <w:b w:val="0"/>
        </w:rPr>
        <w:t>V absolutních počtech přibylo nejvíce zaměstnanců v odvětví velkoobchod a maloobchod; opravy a údržba motorových vozidel (o 1</w:t>
      </w:r>
      <w:r w:rsidR="00EA0046">
        <w:rPr>
          <w:b w:val="0"/>
        </w:rPr>
        <w:t>0,9 </w:t>
      </w:r>
      <w:r w:rsidRPr="00EA0046">
        <w:rPr>
          <w:b w:val="0"/>
        </w:rPr>
        <w:t xml:space="preserve">tis.), což byl </w:t>
      </w:r>
      <w:r w:rsidR="00EA0046">
        <w:rPr>
          <w:b w:val="0"/>
        </w:rPr>
        <w:t xml:space="preserve">relativní </w:t>
      </w:r>
      <w:r w:rsidRPr="00EA0046">
        <w:rPr>
          <w:b w:val="0"/>
        </w:rPr>
        <w:t>nárůst o 2,</w:t>
      </w:r>
      <w:r w:rsidR="00EA0046">
        <w:rPr>
          <w:b w:val="0"/>
        </w:rPr>
        <w:t>2</w:t>
      </w:r>
      <w:r w:rsidRPr="00EA0046">
        <w:rPr>
          <w:b w:val="0"/>
        </w:rPr>
        <w:t> %.</w:t>
      </w:r>
      <w:r w:rsidR="00EA0046">
        <w:rPr>
          <w:b w:val="0"/>
        </w:rPr>
        <w:t xml:space="preserve"> Toto odvětví je početně </w:t>
      </w:r>
      <w:r w:rsidR="00EA0046" w:rsidRPr="00EA0046">
        <w:rPr>
          <w:b w:val="0"/>
        </w:rPr>
        <w:t xml:space="preserve">druhé nejvýznamnější. </w:t>
      </w:r>
      <w:r w:rsidR="0035080D" w:rsidRPr="0035080D">
        <w:rPr>
          <w:b w:val="0"/>
        </w:rPr>
        <w:t xml:space="preserve">V informačních a komunikačních činnostech najdeme nárůst o 4,4 %, početně o 5,7 tis. na 135,1 tis. </w:t>
      </w:r>
      <w:r w:rsidR="00EA0046" w:rsidRPr="00EA0046">
        <w:rPr>
          <w:b w:val="0"/>
        </w:rPr>
        <w:t xml:space="preserve">Zaznamenáníhodný </w:t>
      </w:r>
      <w:r w:rsidRPr="00EA0046">
        <w:rPr>
          <w:b w:val="0"/>
        </w:rPr>
        <w:t>byl též</w:t>
      </w:r>
      <w:r w:rsidR="00EA0046" w:rsidRPr="00EA0046">
        <w:rPr>
          <w:b w:val="0"/>
        </w:rPr>
        <w:t xml:space="preserve"> nárůst</w:t>
      </w:r>
      <w:r w:rsidR="00EA0046">
        <w:rPr>
          <w:b w:val="0"/>
        </w:rPr>
        <w:t xml:space="preserve"> o 6,2 tis.</w:t>
      </w:r>
      <w:r w:rsidR="00EA0046" w:rsidRPr="00EA0046">
        <w:rPr>
          <w:b w:val="0"/>
        </w:rPr>
        <w:t xml:space="preserve"> </w:t>
      </w:r>
      <w:r w:rsidR="0035080D">
        <w:rPr>
          <w:b w:val="0"/>
        </w:rPr>
        <w:t xml:space="preserve">na 173,3 tis. </w:t>
      </w:r>
      <w:r w:rsidR="00EA0046" w:rsidRPr="00EA0046">
        <w:rPr>
          <w:b w:val="0"/>
        </w:rPr>
        <w:t>v odvětví profesní, vědecké a technické činnosti</w:t>
      </w:r>
      <w:r w:rsidR="00EA0046">
        <w:rPr>
          <w:b w:val="0"/>
        </w:rPr>
        <w:t>, relativně to bylo o 3,7 </w:t>
      </w:r>
      <w:r w:rsidR="00EA0046" w:rsidRPr="007C7F72">
        <w:rPr>
          <w:b w:val="0"/>
        </w:rPr>
        <w:t>%. Vysoké ná</w:t>
      </w:r>
      <w:r w:rsidRPr="007C7F72">
        <w:rPr>
          <w:b w:val="0"/>
        </w:rPr>
        <w:t>růst</w:t>
      </w:r>
      <w:r w:rsidR="00EA0046" w:rsidRPr="007C7F72">
        <w:rPr>
          <w:b w:val="0"/>
        </w:rPr>
        <w:t>y přetrvaly též</w:t>
      </w:r>
      <w:r w:rsidRPr="007C7F72">
        <w:rPr>
          <w:b w:val="0"/>
        </w:rPr>
        <w:t xml:space="preserve"> ve zdravotní a sociální </w:t>
      </w:r>
      <w:r w:rsidRPr="00EA0046">
        <w:rPr>
          <w:b w:val="0"/>
        </w:rPr>
        <w:t>péči o 8,</w:t>
      </w:r>
      <w:r w:rsidR="00EA0046" w:rsidRPr="00EA0046">
        <w:rPr>
          <w:b w:val="0"/>
        </w:rPr>
        <w:t>1</w:t>
      </w:r>
      <w:r w:rsidRPr="00EA0046">
        <w:rPr>
          <w:b w:val="0"/>
        </w:rPr>
        <w:t xml:space="preserve"> tis. (2,</w:t>
      </w:r>
      <w:r w:rsidR="00EA0046" w:rsidRPr="00EA0046">
        <w:rPr>
          <w:b w:val="0"/>
        </w:rPr>
        <w:t>5</w:t>
      </w:r>
      <w:r w:rsidRPr="00EA0046">
        <w:rPr>
          <w:b w:val="0"/>
        </w:rPr>
        <w:t> %) a ve vzdělávání o </w:t>
      </w:r>
      <w:r w:rsidR="00EA0046" w:rsidRPr="00EA0046">
        <w:rPr>
          <w:b w:val="0"/>
        </w:rPr>
        <w:t>10,5 </w:t>
      </w:r>
      <w:r w:rsidRPr="00EA0046">
        <w:rPr>
          <w:b w:val="0"/>
        </w:rPr>
        <w:t>tis. (</w:t>
      </w:r>
      <w:r w:rsidR="00EA0046" w:rsidRPr="00EA0046">
        <w:rPr>
          <w:b w:val="0"/>
        </w:rPr>
        <w:t>3,3</w:t>
      </w:r>
      <w:r w:rsidRPr="00EA0046">
        <w:rPr>
          <w:b w:val="0"/>
        </w:rPr>
        <w:t> %).</w:t>
      </w:r>
    </w:p>
    <w:p w:rsidR="00EA0046" w:rsidRPr="00EA0046" w:rsidRDefault="007C7F72" w:rsidP="001726A5">
      <w:pPr>
        <w:pStyle w:val="Perex"/>
        <w:spacing w:after="0"/>
        <w:rPr>
          <w:b w:val="0"/>
        </w:rPr>
      </w:pPr>
      <w:r>
        <w:rPr>
          <w:b w:val="0"/>
        </w:rPr>
        <w:t xml:space="preserve">Překvapivý snad může být zvrat trendu v těžbě a dobývání </w:t>
      </w:r>
      <w:r w:rsidR="00665F02">
        <w:rPr>
          <w:b w:val="0"/>
        </w:rPr>
        <w:t xml:space="preserve">a nárůst </w:t>
      </w:r>
      <w:r>
        <w:rPr>
          <w:b w:val="0"/>
        </w:rPr>
        <w:t xml:space="preserve">o 0,6 %, což však početně představuje jen 0,1 tis. Toto odvětví klesalo </w:t>
      </w:r>
      <w:r w:rsidR="0035080D">
        <w:rPr>
          <w:b w:val="0"/>
        </w:rPr>
        <w:t xml:space="preserve">od začátku století </w:t>
      </w:r>
      <w:r>
        <w:rPr>
          <w:b w:val="0"/>
        </w:rPr>
        <w:t>setrvale a dlouhodobě, aktuálně zaměstnává</w:t>
      </w:r>
      <w:r w:rsidR="00665F02">
        <w:rPr>
          <w:b w:val="0"/>
        </w:rPr>
        <w:t xml:space="preserve"> pouze</w:t>
      </w:r>
      <w:r>
        <w:rPr>
          <w:b w:val="0"/>
        </w:rPr>
        <w:t xml:space="preserve"> 18,3 tis. zaměstnanců, což představuje početně nejmenší sekci CZ-NACE.</w:t>
      </w:r>
    </w:p>
    <w:p w:rsidR="007C7F72" w:rsidRDefault="0014288F" w:rsidP="001D7F8F">
      <w:pPr>
        <w:pStyle w:val="Perex"/>
        <w:spacing w:after="0"/>
        <w:rPr>
          <w:b w:val="0"/>
        </w:rPr>
      </w:pPr>
      <w:r w:rsidRPr="007C7F72">
        <w:rPr>
          <w:b w:val="0"/>
        </w:rPr>
        <w:t>V </w:t>
      </w:r>
      <w:r w:rsidR="00DB5F44" w:rsidRPr="007C7F72">
        <w:rPr>
          <w:b w:val="0"/>
        </w:rPr>
        <w:t>opačném směru byl</w:t>
      </w:r>
      <w:r w:rsidR="007C7F72" w:rsidRPr="007C7F72">
        <w:rPr>
          <w:b w:val="0"/>
        </w:rPr>
        <w:t>y</w:t>
      </w:r>
      <w:r w:rsidR="008E7769" w:rsidRPr="007C7F72">
        <w:rPr>
          <w:b w:val="0"/>
        </w:rPr>
        <w:t xml:space="preserve"> </w:t>
      </w:r>
      <w:r w:rsidR="007C7F72" w:rsidRPr="007C7F72">
        <w:rPr>
          <w:b w:val="0"/>
        </w:rPr>
        <w:t xml:space="preserve">největší </w:t>
      </w:r>
      <w:r w:rsidR="008E7769" w:rsidRPr="007C7F72">
        <w:rPr>
          <w:b w:val="0"/>
        </w:rPr>
        <w:t>relativní pokles</w:t>
      </w:r>
      <w:r w:rsidR="00665F02">
        <w:rPr>
          <w:b w:val="0"/>
        </w:rPr>
        <w:t xml:space="preserve">y </w:t>
      </w:r>
      <w:r w:rsidR="007C7F72" w:rsidRPr="007C7F72">
        <w:rPr>
          <w:b w:val="0"/>
        </w:rPr>
        <w:t>o 3,7 % hned</w:t>
      </w:r>
      <w:r w:rsidR="008E7769" w:rsidRPr="007C7F72">
        <w:rPr>
          <w:b w:val="0"/>
        </w:rPr>
        <w:t xml:space="preserve"> </w:t>
      </w:r>
      <w:r w:rsidR="00DB5F44" w:rsidRPr="007C7F72">
        <w:rPr>
          <w:b w:val="0"/>
        </w:rPr>
        <w:t>v</w:t>
      </w:r>
      <w:r w:rsidR="007C7F72" w:rsidRPr="007C7F72">
        <w:rPr>
          <w:b w:val="0"/>
        </w:rPr>
        <w:t>e dvou odvětvích. V administrativních a podpůrných činnostech ubylo 6,5 tis. na hodnotu 168,0 tis. Tam spadají agenturní zaměstnanci, tato skupina nejvýrazněji reaguje na ekonomické výkyvy, je tedy dobrým barometrem změn na trhu práce.</w:t>
      </w:r>
      <w:r w:rsidR="007C7F72">
        <w:rPr>
          <w:b w:val="0"/>
        </w:rPr>
        <w:t xml:space="preserve"> Druhým odvětvím byly ostatn</w:t>
      </w:r>
      <w:r w:rsidR="007765CC">
        <w:rPr>
          <w:b w:val="0"/>
        </w:rPr>
        <w:t>í činnosti, kde se počty snížily</w:t>
      </w:r>
      <w:r w:rsidR="007C7F72">
        <w:rPr>
          <w:b w:val="0"/>
        </w:rPr>
        <w:t xml:space="preserve"> o 1,7 tis. na 45,6 tis. Toto odvětví je tak třetí nejmenší.</w:t>
      </w:r>
    </w:p>
    <w:p w:rsidR="007C7F72" w:rsidRPr="0035080D" w:rsidRDefault="0035080D" w:rsidP="007C7F72">
      <w:r>
        <w:t>Pokles o 1,6 %, resp. o 1,5 tis. na 92,5 tis., najdeme v z</w:t>
      </w:r>
      <w:r w:rsidRPr="0035080D">
        <w:t>emědělství, lesnictví a rybářství</w:t>
      </w:r>
      <w:r>
        <w:t>; o 1,</w:t>
      </w:r>
      <w:r w:rsidRPr="0035080D">
        <w:t>3 % se snížil počet zaměstnanců ve výrobě a rozvodu elektřiny, plynu, tepla a klimatizovaného vzduchu, což znamená o 0,4 tis. na 33,9 tis., přičemž toto odvětví je početně druhé nejmenší.</w:t>
      </w:r>
    </w:p>
    <w:p w:rsidR="0035080D" w:rsidRPr="007B4288" w:rsidRDefault="0035080D" w:rsidP="001D7F8F">
      <w:pPr>
        <w:pStyle w:val="Perex"/>
        <w:spacing w:after="0"/>
        <w:rPr>
          <w:b w:val="0"/>
        </w:rPr>
      </w:pPr>
      <w:r w:rsidRPr="0035080D">
        <w:rPr>
          <w:b w:val="0"/>
        </w:rPr>
        <w:t>K další</w:t>
      </w:r>
      <w:r w:rsidR="0014288F" w:rsidRPr="0035080D">
        <w:rPr>
          <w:b w:val="0"/>
        </w:rPr>
        <w:t>mu poklesu došlo ve veřejné správě a obraně</w:t>
      </w:r>
      <w:r w:rsidR="001D7F8F" w:rsidRPr="0035080D">
        <w:rPr>
          <w:b w:val="0"/>
        </w:rPr>
        <w:t xml:space="preserve">, kde meziročně ubylo </w:t>
      </w:r>
      <w:r w:rsidRPr="0035080D">
        <w:rPr>
          <w:b w:val="0"/>
        </w:rPr>
        <w:t>3,2</w:t>
      </w:r>
      <w:r w:rsidR="001D7F8F" w:rsidRPr="0035080D">
        <w:rPr>
          <w:b w:val="0"/>
        </w:rPr>
        <w:t xml:space="preserve"> tis. zaměstnanců, což je </w:t>
      </w:r>
      <w:r w:rsidR="003D5EB8" w:rsidRPr="0035080D">
        <w:rPr>
          <w:b w:val="0"/>
        </w:rPr>
        <w:t>úbytek</w:t>
      </w:r>
      <w:r w:rsidR="008C1ADD" w:rsidRPr="0035080D">
        <w:rPr>
          <w:b w:val="0"/>
        </w:rPr>
        <w:t xml:space="preserve"> </w:t>
      </w:r>
      <w:r w:rsidR="001D7F8F" w:rsidRPr="0035080D">
        <w:rPr>
          <w:b w:val="0"/>
        </w:rPr>
        <w:t xml:space="preserve">o </w:t>
      </w:r>
      <w:r w:rsidRPr="0035080D">
        <w:rPr>
          <w:b w:val="0"/>
        </w:rPr>
        <w:t>1,1 </w:t>
      </w:r>
      <w:r w:rsidR="001D7F8F" w:rsidRPr="0035080D">
        <w:rPr>
          <w:b w:val="0"/>
        </w:rPr>
        <w:t xml:space="preserve">%. </w:t>
      </w:r>
      <w:r w:rsidRPr="0035080D">
        <w:rPr>
          <w:b w:val="0"/>
        </w:rPr>
        <w:t>O něco slabší byl v peněžnictví a pojišťovnictví (0,6 tis.; 0,8 %)</w:t>
      </w:r>
      <w:r w:rsidR="00E10A71">
        <w:rPr>
          <w:b w:val="0"/>
        </w:rPr>
        <w:t>;</w:t>
      </w:r>
      <w:r w:rsidRPr="0035080D">
        <w:rPr>
          <w:b w:val="0"/>
        </w:rPr>
        <w:t xml:space="preserve"> poslední malý </w:t>
      </w:r>
      <w:r w:rsidR="001D7F8F" w:rsidRPr="0035080D">
        <w:rPr>
          <w:b w:val="0"/>
        </w:rPr>
        <w:t>pokles najdeme v </w:t>
      </w:r>
      <w:r w:rsidR="00075E49" w:rsidRPr="0035080D">
        <w:rPr>
          <w:b w:val="0"/>
        </w:rPr>
        <w:t>kulturních, zábavních a rekrea</w:t>
      </w:r>
      <w:r w:rsidR="00075E49" w:rsidRPr="007B4288">
        <w:rPr>
          <w:b w:val="0"/>
        </w:rPr>
        <w:t>čních činnostech</w:t>
      </w:r>
      <w:r w:rsidR="005476CB" w:rsidRPr="007B4288">
        <w:rPr>
          <w:b w:val="0"/>
        </w:rPr>
        <w:t xml:space="preserve"> (</w:t>
      </w:r>
      <w:r w:rsidR="00075E49" w:rsidRPr="007B4288">
        <w:rPr>
          <w:b w:val="0"/>
        </w:rPr>
        <w:t>0,</w:t>
      </w:r>
      <w:r w:rsidRPr="007B4288">
        <w:rPr>
          <w:b w:val="0"/>
        </w:rPr>
        <w:t>1</w:t>
      </w:r>
      <w:r w:rsidR="005476CB" w:rsidRPr="007B4288">
        <w:rPr>
          <w:b w:val="0"/>
        </w:rPr>
        <w:t xml:space="preserve"> tis.</w:t>
      </w:r>
      <w:r w:rsidR="00075E49" w:rsidRPr="007B4288">
        <w:rPr>
          <w:b w:val="0"/>
        </w:rPr>
        <w:t xml:space="preserve">; </w:t>
      </w:r>
      <w:r w:rsidRPr="007B4288">
        <w:rPr>
          <w:b w:val="0"/>
        </w:rPr>
        <w:t>0,1 </w:t>
      </w:r>
      <w:r w:rsidR="00075E49" w:rsidRPr="007B4288">
        <w:rPr>
          <w:b w:val="0"/>
        </w:rPr>
        <w:t>%</w:t>
      </w:r>
      <w:r w:rsidR="005476CB" w:rsidRPr="007B4288">
        <w:rPr>
          <w:b w:val="0"/>
        </w:rPr>
        <w:t>)</w:t>
      </w:r>
      <w:r w:rsidRPr="007B4288">
        <w:rPr>
          <w:b w:val="0"/>
        </w:rPr>
        <w:t>.</w:t>
      </w:r>
    </w:p>
    <w:p w:rsidR="001D7F8F" w:rsidRPr="00372A6D" w:rsidRDefault="00075E49" w:rsidP="001D7F8F">
      <w:pPr>
        <w:pStyle w:val="Perex"/>
        <w:spacing w:after="0"/>
        <w:rPr>
          <w:b w:val="0"/>
          <w:color w:val="806000" w:themeColor="accent4" w:themeShade="80"/>
        </w:rPr>
      </w:pPr>
      <w:r w:rsidRPr="007B4288">
        <w:rPr>
          <w:b w:val="0"/>
        </w:rPr>
        <w:t>Největší sekcí zůstal</w:t>
      </w:r>
      <w:r w:rsidR="001D7F8F" w:rsidRPr="007B4288">
        <w:rPr>
          <w:b w:val="0"/>
        </w:rPr>
        <w:t xml:space="preserve"> zpracovatelský průmysl, který zaměstnáv</w:t>
      </w:r>
      <w:r w:rsidR="000D568D" w:rsidRPr="007B4288">
        <w:rPr>
          <w:b w:val="0"/>
        </w:rPr>
        <w:t>al</w:t>
      </w:r>
      <w:r w:rsidR="001D7F8F" w:rsidRPr="007B4288">
        <w:rPr>
          <w:b w:val="0"/>
        </w:rPr>
        <w:t xml:space="preserve"> 1</w:t>
      </w:r>
      <w:r w:rsidR="00240F9B" w:rsidRPr="007B4288">
        <w:rPr>
          <w:b w:val="0"/>
        </w:rPr>
        <w:t> </w:t>
      </w:r>
      <w:r w:rsidR="0070073E">
        <w:rPr>
          <w:b w:val="0"/>
        </w:rPr>
        <w:t>0</w:t>
      </w:r>
      <w:r w:rsidR="007B4288" w:rsidRPr="007B4288">
        <w:rPr>
          <w:b w:val="0"/>
        </w:rPr>
        <w:t>9</w:t>
      </w:r>
      <w:r w:rsidR="0070073E">
        <w:rPr>
          <w:b w:val="0"/>
        </w:rPr>
        <w:t>1</w:t>
      </w:r>
      <w:r w:rsidR="00240F9B" w:rsidRPr="007B4288">
        <w:rPr>
          <w:b w:val="0"/>
        </w:rPr>
        <w:t>,</w:t>
      </w:r>
      <w:r w:rsidR="0070073E">
        <w:rPr>
          <w:b w:val="0"/>
        </w:rPr>
        <w:t>9</w:t>
      </w:r>
      <w:r w:rsidR="001D7F8F" w:rsidRPr="007B4288">
        <w:rPr>
          <w:b w:val="0"/>
        </w:rPr>
        <w:t xml:space="preserve"> tis. zaměstnanců, meziročně jich </w:t>
      </w:r>
      <w:r w:rsidR="007B4288" w:rsidRPr="007B4288">
        <w:rPr>
          <w:b w:val="0"/>
        </w:rPr>
        <w:t xml:space="preserve">však </w:t>
      </w:r>
      <w:r w:rsidR="00240F9B" w:rsidRPr="007B4288">
        <w:rPr>
          <w:b w:val="0"/>
        </w:rPr>
        <w:t>při</w:t>
      </w:r>
      <w:r w:rsidR="001D7F8F" w:rsidRPr="007B4288">
        <w:rPr>
          <w:b w:val="0"/>
        </w:rPr>
        <w:t>bylo</w:t>
      </w:r>
      <w:r w:rsidR="007B4288" w:rsidRPr="007B4288">
        <w:rPr>
          <w:b w:val="0"/>
        </w:rPr>
        <w:t xml:space="preserve"> jen</w:t>
      </w:r>
      <w:r w:rsidR="001D7F8F" w:rsidRPr="007B4288">
        <w:rPr>
          <w:b w:val="0"/>
        </w:rPr>
        <w:t xml:space="preserve"> </w:t>
      </w:r>
      <w:r w:rsidR="007B4288" w:rsidRPr="007B4288">
        <w:rPr>
          <w:b w:val="0"/>
        </w:rPr>
        <w:t>0,2</w:t>
      </w:r>
      <w:r w:rsidR="001D7F8F" w:rsidRPr="007B4288">
        <w:rPr>
          <w:b w:val="0"/>
        </w:rPr>
        <w:t xml:space="preserve"> tis. (relativně </w:t>
      </w:r>
      <w:r w:rsidR="00193D7F" w:rsidRPr="007B4288">
        <w:rPr>
          <w:b w:val="0"/>
        </w:rPr>
        <w:t>0,</w:t>
      </w:r>
      <w:r w:rsidR="007B4288" w:rsidRPr="007B4288">
        <w:rPr>
          <w:b w:val="0"/>
        </w:rPr>
        <w:t>0</w:t>
      </w:r>
      <w:r w:rsidR="001D7F8F" w:rsidRPr="007B4288">
        <w:rPr>
          <w:b w:val="0"/>
        </w:rPr>
        <w:t xml:space="preserve"> %). Tabulka 1 Rychlých informací o průměrných mzdách </w:t>
      </w:r>
      <w:r w:rsidR="00B7168C" w:rsidRPr="007B4288">
        <w:rPr>
          <w:b w:val="0"/>
        </w:rPr>
        <w:t xml:space="preserve">zahrnuje rovněž </w:t>
      </w:r>
      <w:r w:rsidR="001D7F8F" w:rsidRPr="007B4288">
        <w:rPr>
          <w:b w:val="0"/>
        </w:rPr>
        <w:t>oddíly CZ-NACE z této sekce</w:t>
      </w:r>
      <w:r w:rsidR="009C36B8" w:rsidRPr="007B4288">
        <w:rPr>
          <w:b w:val="0"/>
        </w:rPr>
        <w:t>, které jsou největší z hlediska počtu zaměstnanců.</w:t>
      </w:r>
      <w:r w:rsidR="001D7F8F" w:rsidRPr="007B4288">
        <w:rPr>
          <w:b w:val="0"/>
        </w:rPr>
        <w:t xml:space="preserve"> </w:t>
      </w:r>
      <w:r w:rsidR="000D568D" w:rsidRPr="007B4288">
        <w:rPr>
          <w:b w:val="0"/>
        </w:rPr>
        <w:t>V</w:t>
      </w:r>
      <w:r w:rsidR="009C36B8" w:rsidRPr="007B4288">
        <w:rPr>
          <w:b w:val="0"/>
        </w:rPr>
        <w:t xml:space="preserve"> těchto oddílech </w:t>
      </w:r>
      <w:r w:rsidR="00193D7F" w:rsidRPr="007B4288">
        <w:rPr>
          <w:b w:val="0"/>
        </w:rPr>
        <w:t>n</w:t>
      </w:r>
      <w:r w:rsidR="0037004C" w:rsidRPr="007B4288">
        <w:rPr>
          <w:b w:val="0"/>
        </w:rPr>
        <w:t xml:space="preserve">ajdeme </w:t>
      </w:r>
      <w:r w:rsidR="00BE5A73" w:rsidRPr="007B4288">
        <w:rPr>
          <w:b w:val="0"/>
        </w:rPr>
        <w:t>pokle</w:t>
      </w:r>
      <w:r w:rsidR="0037004C" w:rsidRPr="007B4288">
        <w:rPr>
          <w:b w:val="0"/>
        </w:rPr>
        <w:t>s počtu zaměstnanců</w:t>
      </w:r>
      <w:r w:rsidR="000D568D" w:rsidRPr="007B4288">
        <w:rPr>
          <w:b w:val="0"/>
        </w:rPr>
        <w:t xml:space="preserve"> především ve výrobě motorových vozidel (kromě motocyklů), přívěsů a návěsů (</w:t>
      </w:r>
      <w:r w:rsidR="007B4288" w:rsidRPr="007B4288">
        <w:rPr>
          <w:b w:val="0"/>
        </w:rPr>
        <w:t>4,6</w:t>
      </w:r>
      <w:r w:rsidR="000D568D" w:rsidRPr="007B4288">
        <w:rPr>
          <w:b w:val="0"/>
        </w:rPr>
        <w:t xml:space="preserve"> tis.; </w:t>
      </w:r>
      <w:r w:rsidR="007B4288" w:rsidRPr="007B4288">
        <w:rPr>
          <w:b w:val="0"/>
        </w:rPr>
        <w:t>2,7</w:t>
      </w:r>
      <w:r w:rsidR="000D568D" w:rsidRPr="007B4288">
        <w:rPr>
          <w:b w:val="0"/>
        </w:rPr>
        <w:t> %)</w:t>
      </w:r>
      <w:r w:rsidR="00193D7F" w:rsidRPr="007B4288">
        <w:rPr>
          <w:b w:val="0"/>
        </w:rPr>
        <w:t>.</w:t>
      </w:r>
      <w:r w:rsidR="007B4288" w:rsidRPr="007B4288">
        <w:rPr>
          <w:b w:val="0"/>
        </w:rPr>
        <w:t xml:space="preserve"> Na druhé straně </w:t>
      </w:r>
      <w:r w:rsidR="0070073E">
        <w:rPr>
          <w:b w:val="0"/>
        </w:rPr>
        <w:t xml:space="preserve">nejvíce </w:t>
      </w:r>
      <w:r w:rsidR="000D568D" w:rsidRPr="007B4288">
        <w:rPr>
          <w:b w:val="0"/>
        </w:rPr>
        <w:t>posílila výroba elektrických zařízení (</w:t>
      </w:r>
      <w:r w:rsidR="007B4288" w:rsidRPr="007B4288">
        <w:rPr>
          <w:b w:val="0"/>
        </w:rPr>
        <w:t>1,0</w:t>
      </w:r>
      <w:r w:rsidR="000D568D" w:rsidRPr="007B4288">
        <w:rPr>
          <w:b w:val="0"/>
        </w:rPr>
        <w:t xml:space="preserve"> tis.; </w:t>
      </w:r>
      <w:r w:rsidR="007B4288" w:rsidRPr="007B4288">
        <w:rPr>
          <w:b w:val="0"/>
        </w:rPr>
        <w:t>1,0</w:t>
      </w:r>
      <w:r w:rsidR="000D568D" w:rsidRPr="007B4288">
        <w:rPr>
          <w:b w:val="0"/>
        </w:rPr>
        <w:t> %).</w:t>
      </w:r>
    </w:p>
    <w:p w:rsidR="000D568D" w:rsidRPr="000D568D" w:rsidRDefault="000D568D" w:rsidP="000D568D"/>
    <w:p w:rsidR="00731F58" w:rsidRPr="006163D7" w:rsidRDefault="00731F58" w:rsidP="00731F58">
      <w:pPr>
        <w:pStyle w:val="Nadpis1"/>
      </w:pPr>
      <w:r w:rsidRPr="006163D7">
        <w:t>Průměrné měsíční hrubé mzdy</w:t>
      </w:r>
    </w:p>
    <w:p w:rsidR="002516F2" w:rsidRPr="00D05CCB" w:rsidRDefault="00731F58" w:rsidP="002516F2">
      <w:pPr>
        <w:rPr>
          <w:szCs w:val="20"/>
        </w:rPr>
      </w:pPr>
      <w:r w:rsidRPr="007A4923">
        <w:rPr>
          <w:noProof/>
          <w:szCs w:val="20"/>
          <w:lang w:eastAsia="cs-CZ"/>
        </w:rPr>
        <w:t xml:space="preserve">Průměrná </w:t>
      </w:r>
      <w:r w:rsidRPr="00D05CCB">
        <w:rPr>
          <w:noProof/>
          <w:szCs w:val="20"/>
          <w:lang w:eastAsia="cs-CZ"/>
        </w:rPr>
        <w:t>mzda (3</w:t>
      </w:r>
      <w:r w:rsidR="00D05CCB" w:rsidRPr="00D05CCB">
        <w:rPr>
          <w:noProof/>
          <w:szCs w:val="20"/>
          <w:lang w:eastAsia="cs-CZ"/>
        </w:rPr>
        <w:t>9</w:t>
      </w:r>
      <w:r w:rsidRPr="00D05CCB">
        <w:rPr>
          <w:noProof/>
          <w:szCs w:val="20"/>
          <w:lang w:eastAsia="cs-CZ"/>
        </w:rPr>
        <w:t> </w:t>
      </w:r>
      <w:r w:rsidR="00D05CCB" w:rsidRPr="00D05CCB">
        <w:rPr>
          <w:noProof/>
          <w:szCs w:val="20"/>
          <w:lang w:eastAsia="cs-CZ"/>
        </w:rPr>
        <w:t>858</w:t>
      </w:r>
      <w:r w:rsidRPr="00D05CCB">
        <w:rPr>
          <w:noProof/>
          <w:szCs w:val="20"/>
          <w:lang w:eastAsia="cs-CZ"/>
        </w:rPr>
        <w:t xml:space="preserve"> Kč) </w:t>
      </w:r>
      <w:r w:rsidR="00544100" w:rsidRPr="00D05CCB">
        <w:rPr>
          <w:noProof/>
          <w:szCs w:val="20"/>
          <w:lang w:eastAsia="cs-CZ"/>
        </w:rPr>
        <w:t xml:space="preserve">za </w:t>
      </w:r>
      <w:r w:rsidR="00804BCE" w:rsidRPr="00D05CCB">
        <w:rPr>
          <w:noProof/>
          <w:szCs w:val="20"/>
          <w:lang w:eastAsia="cs-CZ"/>
        </w:rPr>
        <w:t>3</w:t>
      </w:r>
      <w:r w:rsidR="00544100" w:rsidRPr="00D05CCB">
        <w:rPr>
          <w:noProof/>
          <w:szCs w:val="20"/>
          <w:lang w:eastAsia="cs-CZ"/>
        </w:rPr>
        <w:t>. čtvrtletí 202</w:t>
      </w:r>
      <w:r w:rsidR="004A7A70" w:rsidRPr="00D05CCB">
        <w:rPr>
          <w:noProof/>
          <w:szCs w:val="20"/>
          <w:lang w:eastAsia="cs-CZ"/>
        </w:rPr>
        <w:t>2</w:t>
      </w:r>
      <w:r w:rsidR="00544100" w:rsidRPr="00D05CCB">
        <w:rPr>
          <w:noProof/>
          <w:szCs w:val="20"/>
          <w:lang w:eastAsia="cs-CZ"/>
        </w:rPr>
        <w:t xml:space="preserve"> </w:t>
      </w:r>
      <w:r w:rsidRPr="00D05CCB">
        <w:rPr>
          <w:noProof/>
          <w:szCs w:val="20"/>
          <w:lang w:eastAsia="cs-CZ"/>
        </w:rPr>
        <w:t>vzrostla no</w:t>
      </w:r>
      <w:r w:rsidR="005B5924" w:rsidRPr="00D05CCB">
        <w:rPr>
          <w:noProof/>
          <w:szCs w:val="20"/>
          <w:lang w:eastAsia="cs-CZ"/>
        </w:rPr>
        <w:t xml:space="preserve">minálně ke stejnému období </w:t>
      </w:r>
      <w:r w:rsidR="005B5924" w:rsidRPr="00445A1A">
        <w:rPr>
          <w:noProof/>
          <w:szCs w:val="20"/>
          <w:lang w:eastAsia="cs-CZ"/>
        </w:rPr>
        <w:t>předchozího roku</w:t>
      </w:r>
      <w:r w:rsidRPr="00445A1A">
        <w:rPr>
          <w:noProof/>
          <w:szCs w:val="20"/>
          <w:lang w:eastAsia="cs-CZ"/>
        </w:rPr>
        <w:t xml:space="preserve"> o</w:t>
      </w:r>
      <w:r w:rsidR="00544100" w:rsidRPr="00445A1A">
        <w:rPr>
          <w:noProof/>
          <w:szCs w:val="20"/>
          <w:lang w:eastAsia="cs-CZ"/>
        </w:rPr>
        <w:t> </w:t>
      </w:r>
      <w:r w:rsidR="00FF6D8C" w:rsidRPr="00445A1A">
        <w:rPr>
          <w:noProof/>
          <w:szCs w:val="20"/>
          <w:lang w:eastAsia="cs-CZ"/>
        </w:rPr>
        <w:t>2</w:t>
      </w:r>
      <w:r w:rsidR="00573F6B" w:rsidRPr="00445A1A">
        <w:rPr>
          <w:noProof/>
          <w:szCs w:val="20"/>
          <w:lang w:eastAsia="cs-CZ"/>
        </w:rPr>
        <w:t> </w:t>
      </w:r>
      <w:r w:rsidR="00445A1A" w:rsidRPr="00445A1A">
        <w:rPr>
          <w:noProof/>
          <w:szCs w:val="20"/>
          <w:lang w:eastAsia="cs-CZ"/>
        </w:rPr>
        <w:t>295</w:t>
      </w:r>
      <w:r w:rsidR="00FC1C67" w:rsidRPr="00445A1A">
        <w:rPr>
          <w:noProof/>
          <w:szCs w:val="20"/>
          <w:lang w:eastAsia="cs-CZ"/>
        </w:rPr>
        <w:t> Kč, tedy o</w:t>
      </w:r>
      <w:r w:rsidRPr="00445A1A">
        <w:rPr>
          <w:noProof/>
          <w:szCs w:val="20"/>
          <w:lang w:eastAsia="cs-CZ"/>
        </w:rPr>
        <w:t> </w:t>
      </w:r>
      <w:r w:rsidR="00D05CCB" w:rsidRPr="00D05CCB">
        <w:rPr>
          <w:noProof/>
          <w:szCs w:val="20"/>
          <w:lang w:eastAsia="cs-CZ"/>
        </w:rPr>
        <w:t>6</w:t>
      </w:r>
      <w:r w:rsidR="007A4923" w:rsidRPr="00D05CCB">
        <w:rPr>
          <w:noProof/>
          <w:szCs w:val="20"/>
          <w:lang w:eastAsia="cs-CZ"/>
        </w:rPr>
        <w:t>,</w:t>
      </w:r>
      <w:r w:rsidR="00D05CCB" w:rsidRPr="00D05CCB">
        <w:rPr>
          <w:noProof/>
          <w:szCs w:val="20"/>
          <w:lang w:eastAsia="cs-CZ"/>
        </w:rPr>
        <w:t>1</w:t>
      </w:r>
      <w:r w:rsidR="00514275">
        <w:rPr>
          <w:noProof/>
          <w:szCs w:val="20"/>
          <w:lang w:eastAsia="cs-CZ"/>
        </w:rPr>
        <w:t> %.</w:t>
      </w:r>
      <w:r w:rsidR="00573F6B" w:rsidRPr="00D05CCB">
        <w:rPr>
          <w:szCs w:val="20"/>
        </w:rPr>
        <w:t xml:space="preserve"> </w:t>
      </w:r>
      <w:r w:rsidR="00514275">
        <w:rPr>
          <w:szCs w:val="20"/>
        </w:rPr>
        <w:t xml:space="preserve">To bylo </w:t>
      </w:r>
      <w:r w:rsidR="00FA073B">
        <w:rPr>
          <w:szCs w:val="20"/>
        </w:rPr>
        <w:t>mírně více</w:t>
      </w:r>
      <w:r w:rsidR="00514275">
        <w:rPr>
          <w:szCs w:val="20"/>
        </w:rPr>
        <w:t>,</w:t>
      </w:r>
      <w:r w:rsidR="00FA073B">
        <w:rPr>
          <w:szCs w:val="20"/>
        </w:rPr>
        <w:t xml:space="preserve"> než byl </w:t>
      </w:r>
      <w:r w:rsidR="00514275">
        <w:rPr>
          <w:szCs w:val="20"/>
        </w:rPr>
        <w:t xml:space="preserve">nárůst </w:t>
      </w:r>
      <w:r w:rsidR="00FA073B">
        <w:rPr>
          <w:szCs w:val="20"/>
        </w:rPr>
        <w:t xml:space="preserve">v 1. pololetí letošního roku. Jde </w:t>
      </w:r>
      <w:r w:rsidR="00E548FE" w:rsidRPr="00D05CCB">
        <w:rPr>
          <w:szCs w:val="20"/>
        </w:rPr>
        <w:t>při</w:t>
      </w:r>
      <w:r w:rsidR="00FA073B">
        <w:rPr>
          <w:szCs w:val="20"/>
        </w:rPr>
        <w:t>tom</w:t>
      </w:r>
      <w:r w:rsidR="00A04D70" w:rsidRPr="00D05CCB">
        <w:rPr>
          <w:szCs w:val="20"/>
        </w:rPr>
        <w:t xml:space="preserve"> </w:t>
      </w:r>
      <w:r w:rsidR="00573F6B" w:rsidRPr="00D05CCB">
        <w:rPr>
          <w:szCs w:val="20"/>
        </w:rPr>
        <w:t>o zprůměrování velmi různorodého vývoje na úrovni jednotlivých oborů, podniků či organizací.</w:t>
      </w:r>
    </w:p>
    <w:p w:rsidR="00CA4732" w:rsidRPr="00445A1A" w:rsidRDefault="002516F2" w:rsidP="007F5985">
      <w:pPr>
        <w:rPr>
          <w:noProof/>
          <w:lang w:eastAsia="cs-CZ"/>
        </w:rPr>
      </w:pPr>
      <w:r w:rsidRPr="00D05CCB">
        <w:rPr>
          <w:noProof/>
          <w:lang w:eastAsia="cs-CZ"/>
        </w:rPr>
        <w:t xml:space="preserve">V reálném vyjádření </w:t>
      </w:r>
      <w:r w:rsidR="007A4923" w:rsidRPr="00D05CCB">
        <w:rPr>
          <w:noProof/>
          <w:lang w:eastAsia="cs-CZ"/>
        </w:rPr>
        <w:t>šlo o</w:t>
      </w:r>
      <w:r w:rsidR="00445A1A">
        <w:rPr>
          <w:noProof/>
          <w:lang w:eastAsia="cs-CZ"/>
        </w:rPr>
        <w:t> </w:t>
      </w:r>
      <w:r w:rsidR="00963388" w:rsidRPr="00D05CCB">
        <w:rPr>
          <w:noProof/>
          <w:lang w:eastAsia="cs-CZ"/>
        </w:rPr>
        <w:t xml:space="preserve">mzdový </w:t>
      </w:r>
      <w:r w:rsidR="007A4923" w:rsidRPr="00D05CCB">
        <w:rPr>
          <w:noProof/>
          <w:lang w:eastAsia="cs-CZ"/>
        </w:rPr>
        <w:t>pokles</w:t>
      </w:r>
      <w:r w:rsidR="0016750F" w:rsidRPr="00D05CCB">
        <w:rPr>
          <w:noProof/>
          <w:lang w:eastAsia="cs-CZ"/>
        </w:rPr>
        <w:t xml:space="preserve"> o </w:t>
      </w:r>
      <w:r w:rsidR="00D05CCB" w:rsidRPr="00D05CCB">
        <w:rPr>
          <w:noProof/>
          <w:lang w:eastAsia="cs-CZ"/>
        </w:rPr>
        <w:t>9,8</w:t>
      </w:r>
      <w:r w:rsidR="0016750F" w:rsidRPr="00D05CCB">
        <w:rPr>
          <w:noProof/>
          <w:lang w:eastAsia="cs-CZ"/>
        </w:rPr>
        <w:t> %</w:t>
      </w:r>
      <w:r w:rsidR="007A4923" w:rsidRPr="00D05CCB">
        <w:rPr>
          <w:noProof/>
          <w:lang w:eastAsia="cs-CZ"/>
        </w:rPr>
        <w:t xml:space="preserve">, </w:t>
      </w:r>
      <w:r w:rsidR="00D05CCB" w:rsidRPr="00D05CCB">
        <w:rPr>
          <w:noProof/>
          <w:lang w:eastAsia="cs-CZ"/>
        </w:rPr>
        <w:t>shodně jako ve 2. čtvrtletí 2022. Z</w:t>
      </w:r>
      <w:r w:rsidR="007A4923" w:rsidRPr="00D05CCB">
        <w:rPr>
          <w:noProof/>
          <w:lang w:eastAsia="cs-CZ"/>
        </w:rPr>
        <w:t>am</w:t>
      </w:r>
      <w:r w:rsidR="0016750F" w:rsidRPr="00D05CCB">
        <w:rPr>
          <w:noProof/>
          <w:lang w:eastAsia="cs-CZ"/>
        </w:rPr>
        <w:t>ěstnan</w:t>
      </w:r>
      <w:r w:rsidR="007A4923" w:rsidRPr="00D05CCB">
        <w:rPr>
          <w:noProof/>
          <w:lang w:eastAsia="cs-CZ"/>
        </w:rPr>
        <w:t>ci si tedy moh</w:t>
      </w:r>
      <w:r w:rsidR="00BD1ED8" w:rsidRPr="00D05CCB">
        <w:rPr>
          <w:noProof/>
          <w:lang w:eastAsia="cs-CZ"/>
        </w:rPr>
        <w:t>l</w:t>
      </w:r>
      <w:r w:rsidR="00747301" w:rsidRPr="00D05CCB">
        <w:rPr>
          <w:noProof/>
          <w:lang w:eastAsia="cs-CZ"/>
        </w:rPr>
        <w:t>i</w:t>
      </w:r>
      <w:r w:rsidR="007A4923" w:rsidRPr="00D05CCB">
        <w:rPr>
          <w:noProof/>
          <w:lang w:eastAsia="cs-CZ"/>
        </w:rPr>
        <w:t xml:space="preserve"> koupit za průměrnou mzdu </w:t>
      </w:r>
      <w:r w:rsidR="00445A1A">
        <w:rPr>
          <w:noProof/>
          <w:lang w:eastAsia="cs-CZ"/>
        </w:rPr>
        <w:t xml:space="preserve">o takřka desetinu </w:t>
      </w:r>
      <w:r w:rsidR="007A4923" w:rsidRPr="00D05CCB">
        <w:rPr>
          <w:noProof/>
          <w:lang w:eastAsia="cs-CZ"/>
        </w:rPr>
        <w:t>mén</w:t>
      </w:r>
      <w:r w:rsidR="00445A1A">
        <w:rPr>
          <w:noProof/>
          <w:lang w:eastAsia="cs-CZ"/>
        </w:rPr>
        <w:t xml:space="preserve">ě zboží či služeb než před rokem. </w:t>
      </w:r>
      <w:r w:rsidRPr="00D05CCB">
        <w:rPr>
          <w:noProof/>
          <w:lang w:eastAsia="cs-CZ"/>
        </w:rPr>
        <w:t xml:space="preserve"> </w:t>
      </w:r>
      <w:r w:rsidR="00B21CE4" w:rsidRPr="00D05CCB">
        <w:rPr>
          <w:noProof/>
          <w:lang w:eastAsia="cs-CZ"/>
        </w:rPr>
        <w:t>R</w:t>
      </w:r>
      <w:r w:rsidR="00573F6B" w:rsidRPr="00D05CCB">
        <w:rPr>
          <w:noProof/>
          <w:lang w:eastAsia="cs-CZ"/>
        </w:rPr>
        <w:t xml:space="preserve">eálný </w:t>
      </w:r>
      <w:r w:rsidR="00060E79" w:rsidRPr="00D05CCB">
        <w:rPr>
          <w:noProof/>
          <w:lang w:eastAsia="cs-CZ"/>
        </w:rPr>
        <w:t xml:space="preserve">mzdový </w:t>
      </w:r>
      <w:r w:rsidR="00B21CE4" w:rsidRPr="00D05CCB">
        <w:rPr>
          <w:noProof/>
          <w:lang w:eastAsia="cs-CZ"/>
        </w:rPr>
        <w:t>růst</w:t>
      </w:r>
      <w:r w:rsidR="00E32403" w:rsidRPr="00D05CCB">
        <w:rPr>
          <w:noProof/>
          <w:lang w:eastAsia="cs-CZ"/>
        </w:rPr>
        <w:t xml:space="preserve"> se odvíjí od inflace neboli růstu spotřebitelských cen</w:t>
      </w:r>
      <w:r w:rsidR="00BC4831" w:rsidRPr="00D05CCB">
        <w:rPr>
          <w:noProof/>
          <w:lang w:eastAsia="cs-CZ"/>
        </w:rPr>
        <w:t xml:space="preserve">. Ten se </w:t>
      </w:r>
      <w:r w:rsidR="007A4923" w:rsidRPr="00D05CCB">
        <w:rPr>
          <w:noProof/>
          <w:lang w:eastAsia="cs-CZ"/>
        </w:rPr>
        <w:t>v</w:t>
      </w:r>
      <w:r w:rsidR="00FA073B">
        <w:rPr>
          <w:noProof/>
          <w:lang w:eastAsia="cs-CZ"/>
        </w:rPr>
        <w:t xml:space="preserve"> letošním</w:t>
      </w:r>
      <w:r w:rsidR="007A4923" w:rsidRPr="00D05CCB">
        <w:rPr>
          <w:noProof/>
          <w:lang w:eastAsia="cs-CZ"/>
        </w:rPr>
        <w:t xml:space="preserve"> </w:t>
      </w:r>
      <w:r w:rsidR="00D05CCB" w:rsidRPr="00D05CCB">
        <w:rPr>
          <w:noProof/>
          <w:szCs w:val="20"/>
          <w:lang w:eastAsia="cs-CZ"/>
        </w:rPr>
        <w:t>3</w:t>
      </w:r>
      <w:r w:rsidR="00FA073B">
        <w:rPr>
          <w:noProof/>
          <w:szCs w:val="20"/>
          <w:lang w:eastAsia="cs-CZ"/>
        </w:rPr>
        <w:t xml:space="preserve">. čtvrtletí </w:t>
      </w:r>
      <w:r w:rsidR="00D05CCB" w:rsidRPr="00D05CCB">
        <w:rPr>
          <w:noProof/>
          <w:szCs w:val="20"/>
          <w:lang w:eastAsia="cs-CZ"/>
        </w:rPr>
        <w:t xml:space="preserve">silně </w:t>
      </w:r>
      <w:r w:rsidR="0040769C" w:rsidRPr="00D05CCB">
        <w:rPr>
          <w:noProof/>
          <w:lang w:eastAsia="cs-CZ"/>
        </w:rPr>
        <w:t>zvýši</w:t>
      </w:r>
      <w:r w:rsidR="00BC4831" w:rsidRPr="00D05CCB">
        <w:rPr>
          <w:noProof/>
          <w:lang w:eastAsia="cs-CZ"/>
        </w:rPr>
        <w:t xml:space="preserve">l </w:t>
      </w:r>
      <w:r w:rsidR="00D05CCB" w:rsidRPr="00D05CCB">
        <w:rPr>
          <w:noProof/>
          <w:lang w:eastAsia="cs-CZ"/>
        </w:rPr>
        <w:t xml:space="preserve">až </w:t>
      </w:r>
      <w:r w:rsidR="00BC4831" w:rsidRPr="00D05CCB">
        <w:rPr>
          <w:noProof/>
          <w:lang w:eastAsia="cs-CZ"/>
        </w:rPr>
        <w:t xml:space="preserve">na </w:t>
      </w:r>
      <w:r w:rsidR="00D05CCB" w:rsidRPr="00D05CCB">
        <w:rPr>
          <w:noProof/>
          <w:lang w:eastAsia="cs-CZ"/>
        </w:rPr>
        <w:t>17</w:t>
      </w:r>
      <w:r w:rsidR="00CA4732" w:rsidRPr="00D05CCB">
        <w:rPr>
          <w:noProof/>
          <w:lang w:eastAsia="cs-CZ"/>
        </w:rPr>
        <w:t>,</w:t>
      </w:r>
      <w:r w:rsidR="00D05CCB" w:rsidRPr="00D05CCB">
        <w:rPr>
          <w:noProof/>
          <w:lang w:eastAsia="cs-CZ"/>
        </w:rPr>
        <w:t>6</w:t>
      </w:r>
      <w:r w:rsidR="00CA4732" w:rsidRPr="00D05CCB">
        <w:rPr>
          <w:noProof/>
          <w:lang w:eastAsia="cs-CZ"/>
        </w:rPr>
        <w:t> </w:t>
      </w:r>
      <w:r w:rsidR="0040769C" w:rsidRPr="00D05CCB">
        <w:rPr>
          <w:noProof/>
          <w:lang w:eastAsia="cs-CZ"/>
        </w:rPr>
        <w:t>%</w:t>
      </w:r>
      <w:r w:rsidR="00D05CCB" w:rsidRPr="00D05CCB">
        <w:rPr>
          <w:noProof/>
          <w:lang w:eastAsia="cs-CZ"/>
        </w:rPr>
        <w:t>, což je rekordní hodnota v tomto století</w:t>
      </w:r>
      <w:r w:rsidR="00BC4831" w:rsidRPr="00D05CCB">
        <w:rPr>
          <w:noProof/>
          <w:lang w:eastAsia="cs-CZ"/>
        </w:rPr>
        <w:t xml:space="preserve">. </w:t>
      </w:r>
      <w:r w:rsidR="00A300AA" w:rsidRPr="00D05CCB">
        <w:rPr>
          <w:noProof/>
          <w:lang w:eastAsia="cs-CZ"/>
        </w:rPr>
        <w:t xml:space="preserve">Pro </w:t>
      </w:r>
      <w:r w:rsidR="003D5EB8" w:rsidRPr="00D05CCB">
        <w:rPr>
          <w:noProof/>
          <w:lang w:eastAsia="cs-CZ"/>
        </w:rPr>
        <w:t>úplnost</w:t>
      </w:r>
      <w:r w:rsidR="00A300AA" w:rsidRPr="00D05CCB">
        <w:rPr>
          <w:noProof/>
          <w:lang w:eastAsia="cs-CZ"/>
        </w:rPr>
        <w:t xml:space="preserve"> sumarizujme, že </w:t>
      </w:r>
      <w:r w:rsidR="00CA4732" w:rsidRPr="00D05CCB">
        <w:rPr>
          <w:noProof/>
          <w:lang w:eastAsia="cs-CZ"/>
        </w:rPr>
        <w:t>v</w:t>
      </w:r>
      <w:r w:rsidR="00D05CCB" w:rsidRPr="00D05CCB">
        <w:rPr>
          <w:noProof/>
          <w:lang w:eastAsia="cs-CZ"/>
        </w:rPr>
        <w:t xml:space="preserve"> 1. čtvrtletí 2022 reálná </w:t>
      </w:r>
      <w:r w:rsidR="00C42509">
        <w:rPr>
          <w:noProof/>
          <w:lang w:eastAsia="cs-CZ"/>
        </w:rPr>
        <w:t xml:space="preserve">mzda </w:t>
      </w:r>
      <w:r w:rsidR="00D05CCB" w:rsidRPr="00D05CCB">
        <w:rPr>
          <w:noProof/>
          <w:lang w:eastAsia="cs-CZ"/>
        </w:rPr>
        <w:t>poklesla o 3,5 %; v </w:t>
      </w:r>
      <w:r w:rsidR="00EE2155" w:rsidRPr="00D05CCB">
        <w:rPr>
          <w:noProof/>
          <w:lang w:eastAsia="cs-CZ"/>
        </w:rPr>
        <w:t>roce</w:t>
      </w:r>
      <w:r w:rsidR="00CA4732" w:rsidRPr="00D05CCB">
        <w:rPr>
          <w:noProof/>
          <w:lang w:eastAsia="cs-CZ"/>
        </w:rPr>
        <w:t xml:space="preserve"> 2021 </w:t>
      </w:r>
      <w:r w:rsidR="00747301" w:rsidRPr="00D05CCB">
        <w:rPr>
          <w:noProof/>
          <w:lang w:eastAsia="cs-CZ"/>
        </w:rPr>
        <w:t xml:space="preserve">se </w:t>
      </w:r>
      <w:r w:rsidR="00CA4732" w:rsidRPr="00D05CCB">
        <w:rPr>
          <w:noProof/>
          <w:lang w:eastAsia="cs-CZ"/>
        </w:rPr>
        <w:t xml:space="preserve">průměrná mzda reálně </w:t>
      </w:r>
      <w:r w:rsidR="00EE2155" w:rsidRPr="00D05CCB">
        <w:rPr>
          <w:noProof/>
          <w:lang w:eastAsia="cs-CZ"/>
        </w:rPr>
        <w:t>zvýši</w:t>
      </w:r>
      <w:r w:rsidR="00CA4732" w:rsidRPr="00D05CCB">
        <w:rPr>
          <w:noProof/>
          <w:lang w:eastAsia="cs-CZ"/>
        </w:rPr>
        <w:t xml:space="preserve">la o </w:t>
      </w:r>
      <w:r w:rsidR="00EE2155" w:rsidRPr="00D05CCB">
        <w:rPr>
          <w:noProof/>
          <w:lang w:eastAsia="cs-CZ"/>
        </w:rPr>
        <w:t>1,0</w:t>
      </w:r>
      <w:r w:rsidR="00CA4732" w:rsidRPr="00D05CCB">
        <w:rPr>
          <w:noProof/>
          <w:lang w:eastAsia="cs-CZ"/>
        </w:rPr>
        <w:t> %</w:t>
      </w:r>
      <w:r w:rsidR="00EE2155" w:rsidRPr="00D05CCB">
        <w:rPr>
          <w:noProof/>
          <w:lang w:eastAsia="cs-CZ"/>
        </w:rPr>
        <w:t xml:space="preserve"> a v roce 2020</w:t>
      </w:r>
      <w:r w:rsidR="00CA4732" w:rsidRPr="00D05CCB">
        <w:rPr>
          <w:noProof/>
          <w:lang w:eastAsia="cs-CZ"/>
        </w:rPr>
        <w:t xml:space="preserve"> o </w:t>
      </w:r>
      <w:r w:rsidR="00EE2155" w:rsidRPr="00D05CCB">
        <w:rPr>
          <w:noProof/>
          <w:lang w:eastAsia="cs-CZ"/>
        </w:rPr>
        <w:t>1,4</w:t>
      </w:r>
      <w:r w:rsidR="0016750F" w:rsidRPr="00D05CCB">
        <w:rPr>
          <w:noProof/>
          <w:lang w:eastAsia="cs-CZ"/>
        </w:rPr>
        <w:t> %;</w:t>
      </w:r>
      <w:r w:rsidR="00EE2155" w:rsidRPr="00D05CCB">
        <w:rPr>
          <w:noProof/>
          <w:lang w:eastAsia="cs-CZ"/>
        </w:rPr>
        <w:t xml:space="preserve"> tehdy se inflace pohybovala mezi 3</w:t>
      </w:r>
      <w:r w:rsidR="00514275" w:rsidRPr="00A46E8F">
        <w:rPr>
          <w:rFonts w:eastAsia="Times New Roman"/>
          <w:bCs/>
          <w:szCs w:val="28"/>
        </w:rPr>
        <w:t>–</w:t>
      </w:r>
      <w:r w:rsidR="00EE2155" w:rsidRPr="00D05CCB">
        <w:rPr>
          <w:noProof/>
          <w:lang w:eastAsia="cs-CZ"/>
        </w:rPr>
        <w:t>4 procenty</w:t>
      </w:r>
      <w:r w:rsidR="00796A3F" w:rsidRPr="00D05CCB">
        <w:rPr>
          <w:noProof/>
          <w:lang w:eastAsia="cs-CZ"/>
        </w:rPr>
        <w:t>.</w:t>
      </w:r>
    </w:p>
    <w:p w:rsidR="00EE2155" w:rsidRPr="00372A6D" w:rsidRDefault="00EE2155" w:rsidP="007F5985">
      <w:pPr>
        <w:rPr>
          <w:noProof/>
          <w:color w:val="806000" w:themeColor="accent4" w:themeShade="80"/>
          <w:lang w:eastAsia="cs-CZ"/>
        </w:rPr>
      </w:pPr>
    </w:p>
    <w:p w:rsidR="00E548FE" w:rsidRPr="00372A6D" w:rsidRDefault="008C02E8" w:rsidP="00847E00">
      <w:pPr>
        <w:pStyle w:val="TabulkaGraf"/>
        <w:rPr>
          <w:color w:val="806000" w:themeColor="accent4" w:themeShade="80"/>
        </w:rPr>
      </w:pPr>
      <w:r>
        <w:lastRenderedPageBreak/>
        <w:t xml:space="preserve">Graf 1: </w:t>
      </w:r>
      <w:r w:rsidR="00E548FE" w:rsidRPr="00AD4436">
        <w:t>Vývoj nominální a reálné průměrné mzdy, index ke stejnému čtvrtletí předchozího roku</w:t>
      </w:r>
      <w:r w:rsidR="00AD4436">
        <w:rPr>
          <w:noProof/>
          <w:lang w:eastAsia="cs-CZ"/>
        </w:rPr>
        <w:drawing>
          <wp:inline distT="0" distB="0" distL="0" distR="0" wp14:anchorId="51933C2C" wp14:editId="02A6174E">
            <wp:extent cx="5400040" cy="3348355"/>
            <wp:effectExtent l="0" t="0" r="10160" b="444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720D5" w:rsidRPr="00372A6D" w:rsidRDefault="001720D5" w:rsidP="00C012EE">
      <w:pPr>
        <w:rPr>
          <w:color w:val="806000" w:themeColor="accent4" w:themeShade="80"/>
        </w:rPr>
      </w:pPr>
    </w:p>
    <w:p w:rsidR="007B4288" w:rsidRPr="00445A1A" w:rsidRDefault="007B4288" w:rsidP="007B4288">
      <w:pPr>
        <w:rPr>
          <w:noProof/>
          <w:lang w:eastAsia="cs-CZ"/>
        </w:rPr>
      </w:pPr>
      <w:r w:rsidRPr="00445A1A">
        <w:rPr>
          <w:noProof/>
          <w:lang w:eastAsia="cs-CZ"/>
        </w:rPr>
        <w:t>Celkový vývoj nominálních a reálných mezd vidíme v</w:t>
      </w:r>
      <w:r w:rsidR="008C02E8">
        <w:rPr>
          <w:noProof/>
          <w:lang w:eastAsia="cs-CZ"/>
        </w:rPr>
        <w:t> </w:t>
      </w:r>
      <w:r w:rsidRPr="00445A1A">
        <w:rPr>
          <w:noProof/>
          <w:lang w:eastAsia="cs-CZ"/>
        </w:rPr>
        <w:t>grafu</w:t>
      </w:r>
      <w:r w:rsidR="008C02E8">
        <w:rPr>
          <w:noProof/>
          <w:lang w:eastAsia="cs-CZ"/>
        </w:rPr>
        <w:t xml:space="preserve"> 1</w:t>
      </w:r>
      <w:r w:rsidRPr="00445A1A">
        <w:rPr>
          <w:noProof/>
          <w:lang w:eastAsia="cs-CZ"/>
        </w:rPr>
        <w:t>, který zachycuje období od roku 2012. Prostor mezi oběma čarami vyjadřuje právě inflaci. Vidíme, že koronavirové období bylo velmi rozbouřené především v důsledku dočasného uz</w:t>
      </w:r>
      <w:r w:rsidR="00F84787">
        <w:rPr>
          <w:noProof/>
          <w:lang w:eastAsia="cs-CZ"/>
        </w:rPr>
        <w:t>avírání ekonomiky (lockdownů) a </w:t>
      </w:r>
      <w:r w:rsidRPr="00445A1A">
        <w:rPr>
          <w:noProof/>
          <w:lang w:eastAsia="cs-CZ"/>
        </w:rPr>
        <w:t>v poslední době se právě rozevřely nůžky mezi nominálním a reálným vývojem.</w:t>
      </w:r>
    </w:p>
    <w:p w:rsidR="00D45FE7" w:rsidRDefault="002516F2" w:rsidP="00E548FE">
      <w:r w:rsidRPr="00445A1A">
        <w:t>Mzdový vývoj byl</w:t>
      </w:r>
      <w:r w:rsidR="009D6CC1" w:rsidRPr="00445A1A">
        <w:t xml:space="preserve"> </w:t>
      </w:r>
      <w:r w:rsidR="008C02E8">
        <w:t>však</w:t>
      </w:r>
      <w:r w:rsidR="00D45FE7" w:rsidRPr="00445A1A">
        <w:t xml:space="preserve"> </w:t>
      </w:r>
      <w:r w:rsidR="008C02E8">
        <w:t>různorodý</w:t>
      </w:r>
      <w:r w:rsidR="00796A3F" w:rsidRPr="00445A1A">
        <w:t xml:space="preserve"> podle odvětví</w:t>
      </w:r>
      <w:r w:rsidR="007B4288">
        <w:t>.</w:t>
      </w:r>
      <w:r w:rsidR="00E27139" w:rsidRPr="00445A1A">
        <w:t xml:space="preserve"> </w:t>
      </w:r>
      <w:r w:rsidR="007B4288">
        <w:t>Reálný</w:t>
      </w:r>
      <w:r w:rsidR="00874E7B" w:rsidRPr="00445A1A">
        <w:t xml:space="preserve"> </w:t>
      </w:r>
      <w:r w:rsidR="007B4288">
        <w:t>pokles</w:t>
      </w:r>
      <w:r w:rsidR="00E27139" w:rsidRPr="00445A1A">
        <w:t xml:space="preserve"> průměrných mezd by</w:t>
      </w:r>
      <w:r w:rsidR="00E27139" w:rsidRPr="00B24F7E">
        <w:t xml:space="preserve">l </w:t>
      </w:r>
      <w:r w:rsidR="00237CA2">
        <w:t>u </w:t>
      </w:r>
      <w:r w:rsidR="002C5EA1">
        <w:t xml:space="preserve">sekcí CZ-NACE </w:t>
      </w:r>
      <w:r w:rsidR="00E27139" w:rsidRPr="00B24F7E">
        <w:t xml:space="preserve">v rozsahu od </w:t>
      </w:r>
      <w:r w:rsidR="002C5EA1">
        <w:t>6,4</w:t>
      </w:r>
      <w:r w:rsidR="00E27139" w:rsidRPr="00B24F7E">
        <w:t> % do 1</w:t>
      </w:r>
      <w:r w:rsidR="002C5EA1">
        <w:t>4,5</w:t>
      </w:r>
      <w:r w:rsidR="00E27139" w:rsidRPr="00B24F7E">
        <w:t> %</w:t>
      </w:r>
      <w:r w:rsidR="002C5EA1">
        <w:t>, viz přiložený graf 2</w:t>
      </w:r>
      <w:r w:rsidRPr="00B24F7E">
        <w:t>.</w:t>
      </w:r>
      <w:r w:rsidR="00BE31B7" w:rsidRPr="00B24F7E">
        <w:t xml:space="preserve"> </w:t>
      </w:r>
      <w:r w:rsidR="00B24F7E" w:rsidRPr="00B24F7E">
        <w:t xml:space="preserve">U žádné </w:t>
      </w:r>
      <w:r w:rsidR="00F84787">
        <w:t xml:space="preserve">sekce </w:t>
      </w:r>
      <w:r w:rsidR="002C5EA1">
        <w:t>tedy</w:t>
      </w:r>
      <w:r w:rsidR="00FF6D8C" w:rsidRPr="00B24F7E">
        <w:t xml:space="preserve"> </w:t>
      </w:r>
      <w:r w:rsidR="00B24F7E" w:rsidRPr="00B24F7E">
        <w:t xml:space="preserve">mzdový </w:t>
      </w:r>
      <w:r w:rsidR="00E27139" w:rsidRPr="00B24F7E">
        <w:t xml:space="preserve">růst </w:t>
      </w:r>
      <w:r w:rsidR="00B24F7E" w:rsidRPr="00B24F7E">
        <w:t>ne</w:t>
      </w:r>
      <w:r w:rsidR="00E27139" w:rsidRPr="00B24F7E">
        <w:t xml:space="preserve">překonal </w:t>
      </w:r>
      <w:r w:rsidR="00FF6D8C" w:rsidRPr="00B24F7E">
        <w:t>hodnotu nárůst</w:t>
      </w:r>
      <w:r w:rsidR="00D45FE7" w:rsidRPr="00B24F7E">
        <w:t>u</w:t>
      </w:r>
      <w:r w:rsidR="00FF6D8C" w:rsidRPr="00B24F7E">
        <w:t xml:space="preserve"> </w:t>
      </w:r>
      <w:r w:rsidR="00D45FE7" w:rsidRPr="00B24F7E">
        <w:t xml:space="preserve">spotřebitelských </w:t>
      </w:r>
      <w:r w:rsidR="00FF6D8C" w:rsidRPr="00B24F7E">
        <w:t>cen (1</w:t>
      </w:r>
      <w:r w:rsidR="00B24F7E" w:rsidRPr="00B24F7E">
        <w:t>7</w:t>
      </w:r>
      <w:r w:rsidR="00E27139" w:rsidRPr="00B24F7E">
        <w:t>,</w:t>
      </w:r>
      <w:r w:rsidR="00B24F7E" w:rsidRPr="00B24F7E">
        <w:t>6</w:t>
      </w:r>
      <w:r w:rsidR="00FF6D8C" w:rsidRPr="00B24F7E">
        <w:t xml:space="preserve"> %), </w:t>
      </w:r>
      <w:r w:rsidR="00E27139" w:rsidRPr="00B24F7E">
        <w:t xml:space="preserve">takže u nich došlo ke </w:t>
      </w:r>
      <w:r w:rsidR="002C5EA1">
        <w:t xml:space="preserve">značnému </w:t>
      </w:r>
      <w:r w:rsidR="00B24F7E" w:rsidRPr="00B24F7E">
        <w:t>sníž</w:t>
      </w:r>
      <w:r w:rsidR="00E27139" w:rsidRPr="00B24F7E">
        <w:t xml:space="preserve">ení </w:t>
      </w:r>
      <w:r w:rsidR="002C5EA1">
        <w:t xml:space="preserve">průměrných </w:t>
      </w:r>
      <w:r w:rsidR="00B040B6" w:rsidRPr="00B24F7E">
        <w:t xml:space="preserve">mezd </w:t>
      </w:r>
      <w:r w:rsidR="00FF6D8C" w:rsidRPr="00B24F7E">
        <w:t>v reálném vyjádření</w:t>
      </w:r>
      <w:r w:rsidR="00D45FE7" w:rsidRPr="00B24F7E">
        <w:t>.</w:t>
      </w:r>
      <w:r w:rsidR="002C5EA1">
        <w:t xml:space="preserve"> Lze proto předpokládat, že až na </w:t>
      </w:r>
      <w:r w:rsidR="007765CC">
        <w:t>menší</w:t>
      </w:r>
      <w:r w:rsidR="00181109">
        <w:t xml:space="preserve"> výjimky většině </w:t>
      </w:r>
      <w:r w:rsidR="002C5EA1">
        <w:t>zaměstnanc</w:t>
      </w:r>
      <w:r w:rsidR="00181109">
        <w:t>ů</w:t>
      </w:r>
      <w:r w:rsidR="002C5EA1">
        <w:t xml:space="preserve"> meziročně </w:t>
      </w:r>
      <w:r w:rsidR="00181109">
        <w:t>poklesl</w:t>
      </w:r>
      <w:r w:rsidR="002C5EA1">
        <w:t>a kupní síla výdělku.</w:t>
      </w:r>
    </w:p>
    <w:p w:rsidR="00237CA2" w:rsidRPr="00237CA2" w:rsidRDefault="002C5EA1" w:rsidP="00D90B0F">
      <w:r w:rsidRPr="002C5EA1">
        <w:t xml:space="preserve">Obecný trend je jednoznačný – nejhlouběji se propadaly reálné mzdy v odvětvích s dominancí státu, tedy tam, kde o zvyšování </w:t>
      </w:r>
      <w:r>
        <w:t>platů rozhodují především vládní opatření.</w:t>
      </w:r>
      <w:r w:rsidR="00237CA2">
        <w:t xml:space="preserve"> </w:t>
      </w:r>
      <w:r w:rsidR="00D90B0F" w:rsidRPr="002C5EA1">
        <w:t>Vůbec nej</w:t>
      </w:r>
      <w:r w:rsidRPr="002C5EA1">
        <w:t>vět</w:t>
      </w:r>
      <w:r w:rsidR="00D90B0F" w:rsidRPr="002C5EA1">
        <w:t xml:space="preserve">ší </w:t>
      </w:r>
      <w:r w:rsidRPr="002C5EA1">
        <w:t xml:space="preserve">pokles </w:t>
      </w:r>
      <w:r w:rsidR="00D90B0F" w:rsidRPr="002C5EA1">
        <w:t xml:space="preserve">najdeme </w:t>
      </w:r>
      <w:r w:rsidRPr="002C5EA1">
        <w:t xml:space="preserve">ve zdravotní a sociální péči, kde se </w:t>
      </w:r>
      <w:r w:rsidR="00237CA2">
        <w:t xml:space="preserve">meziročně </w:t>
      </w:r>
      <w:r w:rsidRPr="002C5EA1">
        <w:t xml:space="preserve">snížila reálná průměrná mzda o 14,5 %, </w:t>
      </w:r>
      <w:r w:rsidR="00D90B0F" w:rsidRPr="002C5EA1">
        <w:t>ve veřejné správě a obraně</w:t>
      </w:r>
      <w:r w:rsidRPr="002C5EA1">
        <w:t xml:space="preserve"> klesla o 14,2 % a ve vzdělávání o 13,2 %. Více j</w:t>
      </w:r>
      <w:r>
        <w:t>ak desetiprocentní byl pokles v k</w:t>
      </w:r>
      <w:r w:rsidRPr="002C5EA1">
        <w:t>ulturní</w:t>
      </w:r>
      <w:r>
        <w:t>ch</w:t>
      </w:r>
      <w:r w:rsidRPr="002C5EA1">
        <w:t>, zábavní</w:t>
      </w:r>
      <w:r>
        <w:t>ch a rekreačních činnostech (10,7 %) a v z</w:t>
      </w:r>
      <w:r w:rsidR="00F84787">
        <w:t>emědělství, lesnictví a </w:t>
      </w:r>
      <w:r w:rsidRPr="002C5EA1">
        <w:t>rybářství</w:t>
      </w:r>
      <w:r w:rsidR="00237CA2">
        <w:t xml:space="preserve"> (1</w:t>
      </w:r>
      <w:r w:rsidR="00237CA2" w:rsidRPr="00237CA2">
        <w:t>0,1 %). Měl</w:t>
      </w:r>
      <w:r w:rsidR="00F84787">
        <w:t>čí</w:t>
      </w:r>
      <w:r w:rsidR="00237CA2" w:rsidRPr="00237CA2">
        <w:t xml:space="preserve"> poklesy pak najdeme v</w:t>
      </w:r>
      <w:r w:rsidR="0070073E">
        <w:t> zbývajících sekcích CZ-NACE</w:t>
      </w:r>
      <w:r w:rsidR="00237CA2" w:rsidRPr="00237CA2">
        <w:t>.</w:t>
      </w:r>
    </w:p>
    <w:p w:rsidR="00D90B0F" w:rsidRDefault="00D90B0F" w:rsidP="00D90B0F">
      <w:pPr>
        <w:rPr>
          <w:color w:val="806000" w:themeColor="accent4" w:themeShade="80"/>
        </w:rPr>
      </w:pPr>
      <w:r w:rsidRPr="00237CA2">
        <w:t xml:space="preserve">Nejvyšší </w:t>
      </w:r>
      <w:r w:rsidR="00237CA2" w:rsidRPr="00237CA2">
        <w:t xml:space="preserve">nominální </w:t>
      </w:r>
      <w:r w:rsidRPr="00237CA2">
        <w:t>průměrnou mzdu najdeme v informačních a komunikačních činnostech s úrovní 7</w:t>
      </w:r>
      <w:r w:rsidR="00237CA2" w:rsidRPr="00237CA2">
        <w:t>0</w:t>
      </w:r>
      <w:r w:rsidRPr="00237CA2">
        <w:t> </w:t>
      </w:r>
      <w:r w:rsidR="00237CA2" w:rsidRPr="00237CA2">
        <w:t>719</w:t>
      </w:r>
      <w:r w:rsidRPr="00237CA2">
        <w:t xml:space="preserve"> Kč. Druhou příčku drží peněžnictví a pojišťovnictví s průměrnou mzdou </w:t>
      </w:r>
      <w:r w:rsidR="00237CA2" w:rsidRPr="00237CA2">
        <w:t>63 848 Kč</w:t>
      </w:r>
      <w:r w:rsidRPr="00237CA2">
        <w:t>. Třetí příčka pak s odstupem patří odvětví výroba a rozvod elektřiny, plynu, tepla a klimatizovaného vzduchu s </w:t>
      </w:r>
      <w:r w:rsidR="00237CA2" w:rsidRPr="00237CA2">
        <w:t>54</w:t>
      </w:r>
      <w:r w:rsidRPr="00237CA2">
        <w:t> 0</w:t>
      </w:r>
      <w:r w:rsidR="00237CA2" w:rsidRPr="00237CA2">
        <w:t>61</w:t>
      </w:r>
      <w:r w:rsidRPr="00237CA2">
        <w:t> Kč.</w:t>
      </w:r>
    </w:p>
    <w:p w:rsidR="00D90B0F" w:rsidRPr="00372A6D" w:rsidRDefault="00D90B0F" w:rsidP="00D90B0F">
      <w:pPr>
        <w:rPr>
          <w:color w:val="806000" w:themeColor="accent4" w:themeShade="80"/>
        </w:rPr>
      </w:pPr>
      <w:r w:rsidRPr="00237CA2">
        <w:t>Naopak nejnižší úroveň mezd přetrvala v ubytován</w:t>
      </w:r>
      <w:r w:rsidR="00237CA2" w:rsidRPr="00237CA2">
        <w:t>í, stravování a pohostinství (24</w:t>
      </w:r>
      <w:r w:rsidRPr="00237CA2">
        <w:t> </w:t>
      </w:r>
      <w:r w:rsidR="00237CA2" w:rsidRPr="00237CA2">
        <w:t>350</w:t>
      </w:r>
      <w:r w:rsidRPr="00237CA2">
        <w:t> Kč),</w:t>
      </w:r>
      <w:r w:rsidR="00237CA2" w:rsidRPr="00237CA2">
        <w:t xml:space="preserve"> </w:t>
      </w:r>
      <w:r w:rsidR="00F84787">
        <w:t>to </w:t>
      </w:r>
      <w:r w:rsidR="00237CA2" w:rsidRPr="00237CA2">
        <w:t xml:space="preserve">představuje jen zhruba třetinu úrovně v informačních a komunikačních činnostech. </w:t>
      </w:r>
      <w:r w:rsidRPr="00237CA2">
        <w:t xml:space="preserve">Druhá </w:t>
      </w:r>
      <w:r w:rsidRPr="00237CA2">
        <w:lastRenderedPageBreak/>
        <w:t xml:space="preserve">nejnižší průměrná mzda byla </w:t>
      </w:r>
      <w:r w:rsidR="00237CA2" w:rsidRPr="00237CA2">
        <w:t xml:space="preserve">– také tradičně – </w:t>
      </w:r>
      <w:r w:rsidRPr="00237CA2">
        <w:t xml:space="preserve">v administrativních a  podpůrných </w:t>
      </w:r>
      <w:r w:rsidR="00237CA2" w:rsidRPr="00237CA2">
        <w:t>činnostech s</w:t>
      </w:r>
      <w:r w:rsidR="00BC0CA8">
        <w:t> </w:t>
      </w:r>
      <w:r w:rsidRPr="00237CA2">
        <w:t>hodnot</w:t>
      </w:r>
      <w:r w:rsidR="00237CA2" w:rsidRPr="00237CA2">
        <w:t>ou 28</w:t>
      </w:r>
      <w:r w:rsidRPr="00237CA2">
        <w:t> </w:t>
      </w:r>
      <w:r w:rsidR="00237CA2" w:rsidRPr="00237CA2">
        <w:t>795</w:t>
      </w:r>
      <w:r w:rsidRPr="00237CA2">
        <w:t> Kč.</w:t>
      </w:r>
    </w:p>
    <w:p w:rsidR="00D90B0F" w:rsidRDefault="00D90B0F" w:rsidP="00E548FE">
      <w:pPr>
        <w:rPr>
          <w:color w:val="806000" w:themeColor="accent4" w:themeShade="80"/>
        </w:rPr>
      </w:pPr>
    </w:p>
    <w:p w:rsidR="00D90B0F" w:rsidRPr="00D90B0F" w:rsidRDefault="008C02E8" w:rsidP="00E548FE">
      <w:pPr>
        <w:rPr>
          <w:b/>
        </w:rPr>
      </w:pPr>
      <w:r>
        <w:rPr>
          <w:b/>
        </w:rPr>
        <w:t xml:space="preserve">Graf 2: </w:t>
      </w:r>
      <w:r w:rsidR="00D90B0F" w:rsidRPr="00D90B0F">
        <w:rPr>
          <w:b/>
        </w:rPr>
        <w:t xml:space="preserve">Meziroční poklesy reálných mezd podle sekce CZ-NACE, </w:t>
      </w:r>
      <w:r w:rsidR="008C6453">
        <w:rPr>
          <w:b/>
        </w:rPr>
        <w:t xml:space="preserve">3. čtvrtletí 2022, </w:t>
      </w:r>
      <w:r w:rsidR="00D90B0F" w:rsidRPr="00D90B0F">
        <w:rPr>
          <w:b/>
        </w:rPr>
        <w:t>v %</w:t>
      </w:r>
    </w:p>
    <w:p w:rsidR="00D90B0F" w:rsidRDefault="00514275" w:rsidP="00E548FE">
      <w:pPr>
        <w:rPr>
          <w:color w:val="806000" w:themeColor="accent4" w:themeShade="80"/>
        </w:rPr>
      </w:pPr>
      <w:r>
        <w:rPr>
          <w:noProof/>
          <w:lang w:eastAsia="cs-CZ"/>
        </w:rPr>
        <w:drawing>
          <wp:inline distT="0" distB="0" distL="0" distR="0" wp14:anchorId="79406533" wp14:editId="3433FD35">
            <wp:extent cx="5391509" cy="3415665"/>
            <wp:effectExtent l="0" t="0" r="0" b="13335"/>
            <wp:docPr id="23" name="Graf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0B0F" w:rsidRDefault="00D90B0F" w:rsidP="00E548FE">
      <w:pPr>
        <w:rPr>
          <w:color w:val="806000" w:themeColor="accent4" w:themeShade="80"/>
        </w:rPr>
      </w:pPr>
    </w:p>
    <w:p w:rsidR="00B50A22" w:rsidRPr="00372A6D" w:rsidRDefault="00E548FE" w:rsidP="00E548FE">
      <w:pPr>
        <w:rPr>
          <w:color w:val="806000" w:themeColor="accent4" w:themeShade="80"/>
        </w:rPr>
      </w:pPr>
      <w:r w:rsidRPr="008C02E8">
        <w:t xml:space="preserve">V obchodě (velkoobchod a maloobchod; opravy a údržba motorových vozidel) </w:t>
      </w:r>
      <w:r w:rsidR="008C02E8">
        <w:t xml:space="preserve">dosáhla </w:t>
      </w:r>
      <w:r w:rsidRPr="008C02E8">
        <w:t>průměrná mzda na 3</w:t>
      </w:r>
      <w:r w:rsidR="00237CA2" w:rsidRPr="008C02E8">
        <w:t>7</w:t>
      </w:r>
      <w:r w:rsidRPr="008C02E8">
        <w:t> </w:t>
      </w:r>
      <w:r w:rsidR="008C02E8" w:rsidRPr="008C02E8">
        <w:t>231</w:t>
      </w:r>
      <w:r w:rsidRPr="008C02E8">
        <w:t> Kč</w:t>
      </w:r>
      <w:r w:rsidR="008C02E8">
        <w:t xml:space="preserve">, což je </w:t>
      </w:r>
      <w:r w:rsidR="008C02E8" w:rsidRPr="008C02E8">
        <w:t>o něco nižší než v </w:t>
      </w:r>
      <w:r w:rsidRPr="008C02E8">
        <w:t>průmyslových odvětvích (</w:t>
      </w:r>
      <w:r w:rsidR="008C02E8" w:rsidRPr="008C02E8">
        <w:t>38 645 Kč).</w:t>
      </w:r>
      <w:r w:rsidRPr="008C02E8">
        <w:t xml:space="preserve"> </w:t>
      </w:r>
      <w:r w:rsidR="008C02E8" w:rsidRPr="008C02E8">
        <w:t>V</w:t>
      </w:r>
      <w:r w:rsidRPr="008C02E8">
        <w:t xml:space="preserve"> dominantním zpracovatelském průmyslu se </w:t>
      </w:r>
      <w:r w:rsidR="008C02E8" w:rsidRPr="008C02E8">
        <w:t>průměrná mzda</w:t>
      </w:r>
      <w:r w:rsidRPr="008C02E8">
        <w:t xml:space="preserve"> dostal</w:t>
      </w:r>
      <w:r w:rsidR="008C02E8" w:rsidRPr="008C02E8">
        <w:t>a</w:t>
      </w:r>
      <w:r w:rsidRPr="008C02E8">
        <w:t xml:space="preserve"> na 3</w:t>
      </w:r>
      <w:r w:rsidR="008C02E8" w:rsidRPr="008C02E8">
        <w:t>8</w:t>
      </w:r>
      <w:r w:rsidRPr="008C02E8">
        <w:t> </w:t>
      </w:r>
      <w:r w:rsidR="00176C4A" w:rsidRPr="008C02E8">
        <w:t>2</w:t>
      </w:r>
      <w:r w:rsidR="008C02E8" w:rsidRPr="008C02E8">
        <w:t>82</w:t>
      </w:r>
      <w:r w:rsidRPr="008C02E8">
        <w:t> Kč</w:t>
      </w:r>
      <w:r w:rsidR="008C02E8" w:rsidRPr="008C02E8">
        <w:t>,</w:t>
      </w:r>
      <w:r w:rsidRPr="008C02E8">
        <w:t xml:space="preserve"> </w:t>
      </w:r>
      <w:r w:rsidR="008C02E8" w:rsidRPr="008C02E8">
        <w:t>v</w:t>
      </w:r>
      <w:r w:rsidR="00B50A22" w:rsidRPr="008C02E8">
        <w:t> t</w:t>
      </w:r>
      <w:r w:rsidR="00D77D51" w:rsidRPr="008C02E8">
        <w:t>ěžbě a </w:t>
      </w:r>
      <w:r w:rsidR="00B50A22" w:rsidRPr="008C02E8">
        <w:t xml:space="preserve">dobývání mzdy </w:t>
      </w:r>
      <w:r w:rsidR="008C02E8" w:rsidRPr="008C02E8">
        <w:t>byla</w:t>
      </w:r>
      <w:r w:rsidR="00B50A22" w:rsidRPr="008C02E8">
        <w:t xml:space="preserve"> </w:t>
      </w:r>
      <w:r w:rsidR="008C02E8" w:rsidRPr="008C02E8">
        <w:t>41</w:t>
      </w:r>
      <w:r w:rsidR="00B50A22" w:rsidRPr="008C02E8">
        <w:t> </w:t>
      </w:r>
      <w:r w:rsidR="008C02E8" w:rsidRPr="008C02E8">
        <w:t>612</w:t>
      </w:r>
      <w:r w:rsidR="00B50A22" w:rsidRPr="008C02E8">
        <w:t> Kč.</w:t>
      </w:r>
      <w:r w:rsidR="00CE1FC4" w:rsidRPr="008C02E8">
        <w:t xml:space="preserve"> V</w:t>
      </w:r>
      <w:r w:rsidR="008C02E8" w:rsidRPr="008C02E8">
        <w:t>e</w:t>
      </w:r>
      <w:r w:rsidR="00CE1FC4" w:rsidRPr="008C02E8">
        <w:t> s</w:t>
      </w:r>
      <w:r w:rsidR="008C02E8" w:rsidRPr="008C02E8">
        <w:t>tavebnictví najdeme</w:t>
      </w:r>
      <w:r w:rsidR="00CE1FC4" w:rsidRPr="008C02E8">
        <w:t xml:space="preserve"> </w:t>
      </w:r>
      <w:r w:rsidR="008C02E8" w:rsidRPr="008C02E8">
        <w:t xml:space="preserve">údaj </w:t>
      </w:r>
      <w:r w:rsidR="00CE1FC4" w:rsidRPr="008C02E8">
        <w:t>3</w:t>
      </w:r>
      <w:r w:rsidR="008C02E8" w:rsidRPr="008C02E8">
        <w:t>5</w:t>
      </w:r>
      <w:r w:rsidR="00CE1FC4" w:rsidRPr="008C02E8">
        <w:t> </w:t>
      </w:r>
      <w:r w:rsidR="008C02E8" w:rsidRPr="008C02E8">
        <w:t>290</w:t>
      </w:r>
      <w:r w:rsidR="00CE1FC4" w:rsidRPr="008C02E8">
        <w:t> Kč</w:t>
      </w:r>
      <w:r w:rsidR="008C02E8">
        <w:t xml:space="preserve"> a v d</w:t>
      </w:r>
      <w:r w:rsidR="008C02E8" w:rsidRPr="008C02E8">
        <w:t>oprav</w:t>
      </w:r>
      <w:r w:rsidR="008C02E8">
        <w:t>ě a </w:t>
      </w:r>
      <w:r w:rsidR="008C02E8" w:rsidRPr="008C02E8">
        <w:t>skladování</w:t>
      </w:r>
      <w:r w:rsidR="008C02E8">
        <w:t xml:space="preserve"> 36 904 Kč</w:t>
      </w:r>
      <w:r w:rsidR="00CE1FC4" w:rsidRPr="008C02E8">
        <w:t>.</w:t>
      </w:r>
      <w:r w:rsidR="008C02E8">
        <w:t xml:space="preserve"> Výrazně </w:t>
      </w:r>
      <w:r w:rsidR="001C0219">
        <w:t>pod úrovní celkové průměrné mzdy</w:t>
      </w:r>
      <w:r w:rsidR="008C02E8">
        <w:t xml:space="preserve"> (39 858 Kč) jsou mzdy v z</w:t>
      </w:r>
      <w:r w:rsidR="008C02E8" w:rsidRPr="008C02E8">
        <w:t>emědělství, lesnictví a rybářství</w:t>
      </w:r>
      <w:r w:rsidR="008C02E8">
        <w:t xml:space="preserve"> (32 781 Kč)</w:t>
      </w:r>
      <w:r w:rsidR="00965635">
        <w:t xml:space="preserve"> a v ostatních činnostech (30 828 Kč).</w:t>
      </w:r>
    </w:p>
    <w:p w:rsidR="00E548FE" w:rsidRPr="00D91154" w:rsidRDefault="00E548FE" w:rsidP="00E548FE">
      <w:pPr>
        <w:rPr>
          <w:noProof/>
          <w:lang w:eastAsia="cs-CZ"/>
        </w:rPr>
      </w:pPr>
      <w:r w:rsidRPr="00D91154">
        <w:rPr>
          <w:noProof/>
          <w:lang w:eastAsia="cs-CZ"/>
        </w:rPr>
        <w:t xml:space="preserve">Z hlediska statistiky pracovní doby bylo </w:t>
      </w:r>
      <w:r w:rsidR="00804BCE" w:rsidRPr="00D91154">
        <w:rPr>
          <w:noProof/>
          <w:lang w:eastAsia="cs-CZ"/>
        </w:rPr>
        <w:t>3</w:t>
      </w:r>
      <w:r w:rsidRPr="00D91154">
        <w:rPr>
          <w:noProof/>
          <w:lang w:eastAsia="cs-CZ"/>
        </w:rPr>
        <w:t>. čtvrtletí 20</w:t>
      </w:r>
      <w:r w:rsidR="00DB5F44" w:rsidRPr="00D91154">
        <w:rPr>
          <w:noProof/>
          <w:lang w:eastAsia="cs-CZ"/>
        </w:rPr>
        <w:t>2</w:t>
      </w:r>
      <w:r w:rsidR="00CE1FC4" w:rsidRPr="00D91154">
        <w:rPr>
          <w:noProof/>
          <w:lang w:eastAsia="cs-CZ"/>
        </w:rPr>
        <w:t>2</w:t>
      </w:r>
      <w:r w:rsidRPr="00D91154">
        <w:rPr>
          <w:noProof/>
          <w:lang w:eastAsia="cs-CZ"/>
        </w:rPr>
        <w:t xml:space="preserve"> charakteristické vyšším počtem </w:t>
      </w:r>
      <w:r w:rsidR="005C2BEF" w:rsidRPr="00D91154">
        <w:rPr>
          <w:noProof/>
          <w:lang w:eastAsia="cs-CZ"/>
        </w:rPr>
        <w:t>odpracovaných hodin</w:t>
      </w:r>
      <w:r w:rsidRPr="00D91154">
        <w:rPr>
          <w:noProof/>
          <w:lang w:eastAsia="cs-CZ"/>
        </w:rPr>
        <w:t xml:space="preserve"> ve srovnání se stejným obdobím předchozího roku.</w:t>
      </w:r>
    </w:p>
    <w:p w:rsidR="00595963" w:rsidRPr="00741BE7" w:rsidRDefault="00595963" w:rsidP="00595963">
      <w:pPr>
        <w:rPr>
          <w:color w:val="833C0B" w:themeColor="accent2" w:themeShade="80"/>
        </w:rPr>
      </w:pPr>
    </w:p>
    <w:p w:rsidR="00B916A5" w:rsidRPr="006163D7" w:rsidRDefault="00B916A5" w:rsidP="00B916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b/>
          <w:szCs w:val="20"/>
        </w:rPr>
      </w:pPr>
      <w:r w:rsidRPr="006163D7">
        <w:rPr>
          <w:rFonts w:cs="Arial"/>
          <w:b/>
          <w:szCs w:val="20"/>
        </w:rPr>
        <w:t>Regionální vývoj</w:t>
      </w:r>
    </w:p>
    <w:p w:rsidR="000B3269" w:rsidRDefault="00D34B88" w:rsidP="007A4BE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 w:rsidRPr="000B3269">
        <w:rPr>
          <w:rFonts w:cs="Arial"/>
          <w:szCs w:val="20"/>
        </w:rPr>
        <w:t>Také k</w:t>
      </w:r>
      <w:r w:rsidR="00B916A5" w:rsidRPr="000B3269">
        <w:rPr>
          <w:rFonts w:cs="Arial"/>
          <w:szCs w:val="20"/>
        </w:rPr>
        <w:t>rajské výsledky přináší</w:t>
      </w:r>
      <w:r w:rsidR="00813EDB" w:rsidRPr="000B3269">
        <w:rPr>
          <w:rFonts w:cs="Arial"/>
          <w:szCs w:val="20"/>
        </w:rPr>
        <w:t xml:space="preserve"> </w:t>
      </w:r>
      <w:r w:rsidRPr="000B3269">
        <w:rPr>
          <w:rFonts w:cs="Arial"/>
          <w:szCs w:val="20"/>
        </w:rPr>
        <w:t>vývoj</w:t>
      </w:r>
      <w:r w:rsidR="00813EDB" w:rsidRPr="000B3269">
        <w:rPr>
          <w:rFonts w:cs="Arial"/>
          <w:szCs w:val="20"/>
        </w:rPr>
        <w:t xml:space="preserve">, </w:t>
      </w:r>
      <w:r w:rsidR="00526DAD" w:rsidRPr="000B3269">
        <w:rPr>
          <w:rFonts w:cs="Arial"/>
          <w:szCs w:val="20"/>
        </w:rPr>
        <w:t xml:space="preserve">který </w:t>
      </w:r>
      <w:r w:rsidRPr="000B3269">
        <w:rPr>
          <w:rFonts w:cs="Arial"/>
          <w:szCs w:val="20"/>
        </w:rPr>
        <w:t>není jedno</w:t>
      </w:r>
      <w:r w:rsidR="00592F60" w:rsidRPr="000B3269">
        <w:rPr>
          <w:rFonts w:cs="Arial"/>
          <w:szCs w:val="20"/>
        </w:rPr>
        <w:t>značný</w:t>
      </w:r>
      <w:r w:rsidR="00526DAD" w:rsidRPr="000B3269">
        <w:rPr>
          <w:rFonts w:cs="Arial"/>
          <w:szCs w:val="20"/>
        </w:rPr>
        <w:t xml:space="preserve">. Z pohledu </w:t>
      </w:r>
      <w:r w:rsidR="00813EDB" w:rsidRPr="000B3269">
        <w:rPr>
          <w:rFonts w:cs="Arial"/>
          <w:szCs w:val="20"/>
        </w:rPr>
        <w:t>počt</w:t>
      </w:r>
      <w:r w:rsidR="00526DAD" w:rsidRPr="000B3269">
        <w:rPr>
          <w:rFonts w:cs="Arial"/>
          <w:szCs w:val="20"/>
        </w:rPr>
        <w:t>u</w:t>
      </w:r>
      <w:r w:rsidR="00813EDB" w:rsidRPr="000B3269">
        <w:rPr>
          <w:rFonts w:cs="Arial"/>
          <w:szCs w:val="20"/>
        </w:rPr>
        <w:t xml:space="preserve"> zaměstnanců </w:t>
      </w:r>
      <w:r w:rsidR="00F84E8A" w:rsidRPr="000B3269">
        <w:rPr>
          <w:rFonts w:cs="Arial"/>
          <w:szCs w:val="20"/>
        </w:rPr>
        <w:t>došlo v</w:t>
      </w:r>
      <w:r w:rsidR="00804BCE" w:rsidRPr="000B3269">
        <w:rPr>
          <w:rFonts w:cs="Arial"/>
          <w:szCs w:val="20"/>
        </w:rPr>
        <w:t>e</w:t>
      </w:r>
      <w:r w:rsidR="00F84E8A" w:rsidRPr="000B3269">
        <w:rPr>
          <w:rFonts w:cs="Arial"/>
          <w:szCs w:val="20"/>
        </w:rPr>
        <w:t> </w:t>
      </w:r>
      <w:r w:rsidR="00804BCE" w:rsidRPr="000B3269">
        <w:rPr>
          <w:rFonts w:cs="Arial"/>
          <w:szCs w:val="20"/>
        </w:rPr>
        <w:t>3</w:t>
      </w:r>
      <w:r w:rsidRPr="000B3269">
        <w:rPr>
          <w:rFonts w:cs="Arial"/>
          <w:szCs w:val="20"/>
        </w:rPr>
        <w:t>. </w:t>
      </w:r>
      <w:r w:rsidR="00915E31" w:rsidRPr="000B3269">
        <w:rPr>
          <w:rFonts w:cs="Arial"/>
          <w:szCs w:val="20"/>
        </w:rPr>
        <w:t xml:space="preserve">čtvrtletí </w:t>
      </w:r>
      <w:r w:rsidR="00032252" w:rsidRPr="000B3269">
        <w:rPr>
          <w:rFonts w:cs="Arial"/>
          <w:szCs w:val="20"/>
        </w:rPr>
        <w:t>202</w:t>
      </w:r>
      <w:r w:rsidR="00963388" w:rsidRPr="000B3269">
        <w:rPr>
          <w:rFonts w:cs="Arial"/>
          <w:szCs w:val="20"/>
        </w:rPr>
        <w:t>2</w:t>
      </w:r>
      <w:r w:rsidR="006774B1" w:rsidRPr="000B3269">
        <w:rPr>
          <w:rFonts w:cs="Arial"/>
          <w:szCs w:val="20"/>
        </w:rPr>
        <w:t xml:space="preserve"> </w:t>
      </w:r>
      <w:r w:rsidR="00965635">
        <w:rPr>
          <w:rFonts w:cs="Arial"/>
          <w:szCs w:val="20"/>
        </w:rPr>
        <w:t>ve</w:t>
      </w:r>
      <w:r w:rsidR="00A61706" w:rsidRPr="000B3269">
        <w:rPr>
          <w:rFonts w:cs="Arial"/>
          <w:szCs w:val="20"/>
        </w:rPr>
        <w:t xml:space="preserve"> </w:t>
      </w:r>
      <w:r w:rsidR="000B3269" w:rsidRPr="000B3269">
        <w:rPr>
          <w:rFonts w:cs="Arial"/>
          <w:szCs w:val="20"/>
        </w:rPr>
        <w:t>třech</w:t>
      </w:r>
      <w:r w:rsidR="00526DAD" w:rsidRPr="000B3269">
        <w:rPr>
          <w:rFonts w:cs="Arial"/>
          <w:szCs w:val="20"/>
        </w:rPr>
        <w:t xml:space="preserve"> </w:t>
      </w:r>
      <w:r w:rsidR="00A61706" w:rsidRPr="000B3269">
        <w:rPr>
          <w:rFonts w:cs="Arial"/>
          <w:szCs w:val="20"/>
        </w:rPr>
        <w:t>kraj</w:t>
      </w:r>
      <w:r w:rsidR="00965635">
        <w:rPr>
          <w:rFonts w:cs="Arial"/>
          <w:szCs w:val="20"/>
        </w:rPr>
        <w:t>ích</w:t>
      </w:r>
      <w:r w:rsidR="00A61706" w:rsidRPr="000B3269">
        <w:rPr>
          <w:rFonts w:cs="Arial"/>
          <w:szCs w:val="20"/>
        </w:rPr>
        <w:t xml:space="preserve"> </w:t>
      </w:r>
      <w:r w:rsidR="00915E31" w:rsidRPr="000B3269">
        <w:rPr>
          <w:rFonts w:cs="Arial"/>
          <w:szCs w:val="20"/>
        </w:rPr>
        <w:t>k</w:t>
      </w:r>
      <w:r w:rsidR="00E75E03" w:rsidRPr="000B3269">
        <w:rPr>
          <w:rFonts w:cs="Arial"/>
          <w:szCs w:val="20"/>
        </w:rPr>
        <w:t xml:space="preserve"> meziročnímu </w:t>
      </w:r>
      <w:r w:rsidR="00813EDB" w:rsidRPr="000B3269">
        <w:rPr>
          <w:rFonts w:cs="Arial"/>
          <w:szCs w:val="20"/>
        </w:rPr>
        <w:t>pokles</w:t>
      </w:r>
      <w:r w:rsidR="000B3269" w:rsidRPr="000B3269">
        <w:rPr>
          <w:rFonts w:cs="Arial"/>
          <w:szCs w:val="20"/>
        </w:rPr>
        <w:t>u:</w:t>
      </w:r>
      <w:r w:rsidR="00915E31" w:rsidRPr="000B3269">
        <w:rPr>
          <w:rFonts w:cs="Arial"/>
          <w:szCs w:val="20"/>
        </w:rPr>
        <w:t xml:space="preserve"> </w:t>
      </w:r>
      <w:r w:rsidR="00F84E8A" w:rsidRPr="000B3269">
        <w:rPr>
          <w:rFonts w:cs="Arial"/>
          <w:szCs w:val="20"/>
        </w:rPr>
        <w:t>o </w:t>
      </w:r>
      <w:r w:rsidR="00915E31" w:rsidRPr="000B3269">
        <w:rPr>
          <w:rFonts w:cs="Arial"/>
          <w:szCs w:val="20"/>
        </w:rPr>
        <w:t>0</w:t>
      </w:r>
      <w:r w:rsidR="00526DAD" w:rsidRPr="000B3269">
        <w:rPr>
          <w:rFonts w:cs="Arial"/>
          <w:szCs w:val="20"/>
        </w:rPr>
        <w:t>,</w:t>
      </w:r>
      <w:r w:rsidR="000B3269" w:rsidRPr="000B3269">
        <w:rPr>
          <w:rFonts w:cs="Arial"/>
          <w:szCs w:val="20"/>
        </w:rPr>
        <w:t>5</w:t>
      </w:r>
      <w:r w:rsidR="00D6680C" w:rsidRPr="000B3269">
        <w:rPr>
          <w:rFonts w:cs="Arial"/>
          <w:szCs w:val="20"/>
        </w:rPr>
        <w:t> %</w:t>
      </w:r>
      <w:r w:rsidR="007375BD" w:rsidRPr="000B3269">
        <w:rPr>
          <w:rFonts w:cs="Arial"/>
          <w:szCs w:val="20"/>
        </w:rPr>
        <w:t xml:space="preserve"> </w:t>
      </w:r>
      <w:r w:rsidR="00526DAD" w:rsidRPr="000B3269">
        <w:rPr>
          <w:rFonts w:cs="Arial"/>
          <w:szCs w:val="20"/>
        </w:rPr>
        <w:t>v </w:t>
      </w:r>
      <w:r w:rsidR="000B5922" w:rsidRPr="000B3269">
        <w:rPr>
          <w:rFonts w:cs="Arial"/>
          <w:szCs w:val="20"/>
        </w:rPr>
        <w:t>Ústec</w:t>
      </w:r>
      <w:r w:rsidR="00526DAD" w:rsidRPr="000B3269">
        <w:rPr>
          <w:rFonts w:cs="Arial"/>
          <w:szCs w:val="20"/>
        </w:rPr>
        <w:t>kém kraji</w:t>
      </w:r>
      <w:r w:rsidR="000B3269" w:rsidRPr="000B3269">
        <w:rPr>
          <w:rFonts w:cs="Arial"/>
          <w:szCs w:val="20"/>
        </w:rPr>
        <w:t>,</w:t>
      </w:r>
      <w:r w:rsidRPr="000B3269">
        <w:rPr>
          <w:rFonts w:cs="Arial"/>
          <w:szCs w:val="20"/>
        </w:rPr>
        <w:t xml:space="preserve"> </w:t>
      </w:r>
      <w:r w:rsidR="00526DAD" w:rsidRPr="000B3269">
        <w:rPr>
          <w:rFonts w:cs="Arial"/>
          <w:szCs w:val="20"/>
        </w:rPr>
        <w:t>o 0,</w:t>
      </w:r>
      <w:r w:rsidRPr="000B3269">
        <w:rPr>
          <w:rFonts w:cs="Arial"/>
          <w:szCs w:val="20"/>
        </w:rPr>
        <w:t>2</w:t>
      </w:r>
      <w:r w:rsidR="00915E31" w:rsidRPr="000B3269">
        <w:rPr>
          <w:rFonts w:cs="Arial"/>
          <w:szCs w:val="20"/>
        </w:rPr>
        <w:t> </w:t>
      </w:r>
      <w:r w:rsidR="00C8169C" w:rsidRPr="000B3269">
        <w:rPr>
          <w:rFonts w:cs="Arial"/>
          <w:szCs w:val="20"/>
        </w:rPr>
        <w:t>%</w:t>
      </w:r>
      <w:r w:rsidR="00526DAD" w:rsidRPr="000B3269">
        <w:rPr>
          <w:rFonts w:cs="Arial"/>
          <w:szCs w:val="20"/>
        </w:rPr>
        <w:t xml:space="preserve"> v</w:t>
      </w:r>
      <w:r w:rsidR="000B3269" w:rsidRPr="000B3269">
        <w:rPr>
          <w:rFonts w:cs="Arial"/>
          <w:szCs w:val="20"/>
        </w:rPr>
        <w:t> </w:t>
      </w:r>
      <w:r w:rsidR="00526DAD" w:rsidRPr="000B3269">
        <w:rPr>
          <w:rFonts w:cs="Arial"/>
          <w:szCs w:val="20"/>
        </w:rPr>
        <w:t>Moravskoslezském</w:t>
      </w:r>
      <w:r w:rsidR="000B3269" w:rsidRPr="000B3269">
        <w:rPr>
          <w:rFonts w:cs="Arial"/>
          <w:szCs w:val="20"/>
        </w:rPr>
        <w:t xml:space="preserve"> a o 0,1 % ve Zlínském. </w:t>
      </w:r>
      <w:r w:rsidR="00526DAD" w:rsidRPr="000B3269">
        <w:rPr>
          <w:rFonts w:cs="Arial"/>
          <w:szCs w:val="20"/>
        </w:rPr>
        <w:t xml:space="preserve">Na druhé straně </w:t>
      </w:r>
      <w:r w:rsidR="000B3269" w:rsidRPr="000B3269">
        <w:rPr>
          <w:rFonts w:cs="Arial"/>
          <w:szCs w:val="20"/>
        </w:rPr>
        <w:t xml:space="preserve">velmi </w:t>
      </w:r>
      <w:r w:rsidR="00526DAD" w:rsidRPr="000B3269">
        <w:rPr>
          <w:rFonts w:cs="Arial"/>
          <w:szCs w:val="20"/>
        </w:rPr>
        <w:t>výrazně vzro</w:t>
      </w:r>
      <w:r w:rsidRPr="000B3269">
        <w:rPr>
          <w:rFonts w:cs="Arial"/>
          <w:szCs w:val="20"/>
        </w:rPr>
        <w:t>stl počet zaměstnanců v Praze (3,</w:t>
      </w:r>
      <w:r w:rsidR="000B3269" w:rsidRPr="000B3269">
        <w:rPr>
          <w:rFonts w:cs="Arial"/>
          <w:szCs w:val="20"/>
        </w:rPr>
        <w:t>5</w:t>
      </w:r>
      <w:r w:rsidR="00526DAD" w:rsidRPr="000B3269">
        <w:rPr>
          <w:rFonts w:cs="Arial"/>
          <w:szCs w:val="20"/>
        </w:rPr>
        <w:t xml:space="preserve"> %), </w:t>
      </w:r>
      <w:r w:rsidR="000B3269" w:rsidRPr="000B3269">
        <w:rPr>
          <w:rFonts w:cs="Arial"/>
          <w:szCs w:val="20"/>
        </w:rPr>
        <w:t>značné</w:t>
      </w:r>
      <w:r w:rsidR="00B91CF5" w:rsidRPr="000B3269">
        <w:rPr>
          <w:rFonts w:cs="Arial"/>
          <w:szCs w:val="20"/>
        </w:rPr>
        <w:t xml:space="preserve"> nárůst</w:t>
      </w:r>
      <w:r w:rsidR="00F84E8A" w:rsidRPr="000B3269">
        <w:rPr>
          <w:rFonts w:cs="Arial"/>
          <w:szCs w:val="20"/>
        </w:rPr>
        <w:t>y</w:t>
      </w:r>
      <w:r w:rsidR="00B91CF5" w:rsidRPr="000B3269">
        <w:rPr>
          <w:rFonts w:cs="Arial"/>
          <w:szCs w:val="20"/>
        </w:rPr>
        <w:t xml:space="preserve"> </w:t>
      </w:r>
      <w:r w:rsidR="000B3269" w:rsidRPr="000B3269">
        <w:rPr>
          <w:rFonts w:cs="Arial"/>
          <w:szCs w:val="20"/>
        </w:rPr>
        <w:t>zaznamenaly</w:t>
      </w:r>
      <w:r w:rsidR="00526DAD" w:rsidRPr="000B3269">
        <w:rPr>
          <w:rFonts w:cs="Arial"/>
          <w:szCs w:val="20"/>
        </w:rPr>
        <w:t xml:space="preserve"> </w:t>
      </w:r>
      <w:r w:rsidR="00074ED5" w:rsidRPr="000B3269">
        <w:rPr>
          <w:rFonts w:cs="Arial"/>
          <w:szCs w:val="20"/>
        </w:rPr>
        <w:t>i </w:t>
      </w:r>
      <w:r w:rsidR="00526DAD" w:rsidRPr="000B3269">
        <w:rPr>
          <w:rFonts w:cs="Arial"/>
          <w:szCs w:val="20"/>
        </w:rPr>
        <w:t>Středočesk</w:t>
      </w:r>
      <w:r w:rsidR="000B3269" w:rsidRPr="000B3269">
        <w:rPr>
          <w:rFonts w:cs="Arial"/>
          <w:szCs w:val="20"/>
        </w:rPr>
        <w:t>ý a Plzeňský kraj</w:t>
      </w:r>
      <w:r w:rsidR="00526DAD" w:rsidRPr="000B3269">
        <w:rPr>
          <w:rFonts w:cs="Arial"/>
          <w:szCs w:val="20"/>
        </w:rPr>
        <w:t xml:space="preserve"> (</w:t>
      </w:r>
      <w:r w:rsidR="00554A81">
        <w:rPr>
          <w:rFonts w:cs="Arial"/>
          <w:szCs w:val="20"/>
        </w:rPr>
        <w:t>shodně </w:t>
      </w:r>
      <w:r w:rsidR="00B91CF5" w:rsidRPr="000B3269">
        <w:rPr>
          <w:rFonts w:cs="Arial"/>
          <w:szCs w:val="20"/>
        </w:rPr>
        <w:t>1,</w:t>
      </w:r>
      <w:r w:rsidR="000B3269" w:rsidRPr="000B3269">
        <w:rPr>
          <w:rFonts w:cs="Arial"/>
          <w:szCs w:val="20"/>
        </w:rPr>
        <w:t>2</w:t>
      </w:r>
      <w:r w:rsidR="00B91CF5" w:rsidRPr="000B3269">
        <w:rPr>
          <w:rFonts w:cs="Arial"/>
          <w:szCs w:val="20"/>
        </w:rPr>
        <w:t> %)</w:t>
      </w:r>
      <w:r w:rsidR="000B3269" w:rsidRPr="000B3269">
        <w:rPr>
          <w:rFonts w:cs="Arial"/>
          <w:szCs w:val="20"/>
        </w:rPr>
        <w:t>.</w:t>
      </w:r>
      <w:r w:rsidR="006774B1" w:rsidRPr="000B3269">
        <w:rPr>
          <w:rFonts w:cs="Arial"/>
          <w:szCs w:val="20"/>
        </w:rPr>
        <w:t xml:space="preserve"> </w:t>
      </w:r>
      <w:r w:rsidR="000B3269" w:rsidRPr="000B3269">
        <w:rPr>
          <w:rFonts w:cs="Arial"/>
          <w:szCs w:val="20"/>
        </w:rPr>
        <w:t>V </w:t>
      </w:r>
      <w:r w:rsidRPr="000B3269">
        <w:rPr>
          <w:rFonts w:cs="Arial"/>
          <w:szCs w:val="20"/>
        </w:rPr>
        <w:t>Jihomoravsk</w:t>
      </w:r>
      <w:r w:rsidR="006774B1" w:rsidRPr="000B3269">
        <w:rPr>
          <w:rFonts w:cs="Arial"/>
          <w:szCs w:val="20"/>
        </w:rPr>
        <w:t>é</w:t>
      </w:r>
      <w:r w:rsidR="00196300" w:rsidRPr="000B3269">
        <w:rPr>
          <w:rFonts w:cs="Arial"/>
          <w:szCs w:val="20"/>
        </w:rPr>
        <w:t>m</w:t>
      </w:r>
      <w:r w:rsidR="000B3269" w:rsidRPr="000B3269">
        <w:rPr>
          <w:rFonts w:cs="Arial"/>
          <w:szCs w:val="20"/>
        </w:rPr>
        <w:t xml:space="preserve"> kraji vzrostl evidenční počet zaměstnanců o 0,7 %</w:t>
      </w:r>
      <w:r w:rsidR="000B3269">
        <w:rPr>
          <w:rFonts w:cs="Arial"/>
          <w:szCs w:val="20"/>
        </w:rPr>
        <w:t>,</w:t>
      </w:r>
      <w:r w:rsidR="00554A81">
        <w:rPr>
          <w:rFonts w:cs="Arial"/>
          <w:szCs w:val="20"/>
        </w:rPr>
        <w:t xml:space="preserve"> </w:t>
      </w:r>
      <w:r w:rsidR="000B3269" w:rsidRPr="000B3269">
        <w:rPr>
          <w:rFonts w:cs="Arial"/>
          <w:szCs w:val="20"/>
        </w:rPr>
        <w:t>v Pardubickém o 0,6 %</w:t>
      </w:r>
      <w:r w:rsidR="000B3269">
        <w:rPr>
          <w:rFonts w:cs="Arial"/>
          <w:szCs w:val="20"/>
        </w:rPr>
        <w:t xml:space="preserve"> a v Jihočeském o 0,4 %</w:t>
      </w:r>
      <w:r w:rsidR="000B3269" w:rsidRPr="000B3269">
        <w:rPr>
          <w:rFonts w:cs="Arial"/>
          <w:szCs w:val="20"/>
        </w:rPr>
        <w:t xml:space="preserve">. </w:t>
      </w:r>
      <w:r w:rsidR="000B3269">
        <w:rPr>
          <w:rFonts w:cs="Arial"/>
          <w:szCs w:val="20"/>
        </w:rPr>
        <w:t>Ve dvou</w:t>
      </w:r>
      <w:r w:rsidR="000B3269" w:rsidRPr="000B3269">
        <w:rPr>
          <w:rFonts w:cs="Arial"/>
          <w:szCs w:val="20"/>
        </w:rPr>
        <w:t xml:space="preserve"> krajích</w:t>
      </w:r>
      <w:r w:rsidR="000B3269">
        <w:rPr>
          <w:rFonts w:cs="Arial"/>
          <w:szCs w:val="20"/>
        </w:rPr>
        <w:t xml:space="preserve"> (</w:t>
      </w:r>
      <w:r w:rsidR="000B3269" w:rsidRPr="000B3269">
        <w:rPr>
          <w:rFonts w:cs="Arial"/>
          <w:szCs w:val="20"/>
        </w:rPr>
        <w:t>Královéhradeck</w:t>
      </w:r>
      <w:r w:rsidR="000B3269">
        <w:rPr>
          <w:rFonts w:cs="Arial"/>
          <w:szCs w:val="20"/>
        </w:rPr>
        <w:t>ém a </w:t>
      </w:r>
      <w:r w:rsidR="000B3269" w:rsidRPr="000B3269">
        <w:rPr>
          <w:rFonts w:cs="Arial"/>
          <w:szCs w:val="20"/>
        </w:rPr>
        <w:t>Olomouck</w:t>
      </w:r>
      <w:r w:rsidR="000B3269">
        <w:rPr>
          <w:rFonts w:cs="Arial"/>
          <w:szCs w:val="20"/>
        </w:rPr>
        <w:t>ém)</w:t>
      </w:r>
      <w:r w:rsidR="000B3269" w:rsidRPr="000B3269">
        <w:rPr>
          <w:rFonts w:cs="Arial"/>
          <w:szCs w:val="20"/>
        </w:rPr>
        <w:t xml:space="preserve"> počty </w:t>
      </w:r>
      <w:r w:rsidR="000B3269">
        <w:rPr>
          <w:rFonts w:cs="Arial"/>
          <w:szCs w:val="20"/>
        </w:rPr>
        <w:t>stagnovaly</w:t>
      </w:r>
      <w:r w:rsidR="00B91CF5" w:rsidRPr="000B3269">
        <w:rPr>
          <w:rFonts w:cs="Arial"/>
          <w:szCs w:val="20"/>
        </w:rPr>
        <w:t>.</w:t>
      </w:r>
    </w:p>
    <w:p w:rsidR="00DF57B0" w:rsidRPr="00D733A0" w:rsidRDefault="00BD2152" w:rsidP="007A4BE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 w:rsidRPr="00DF57B0">
        <w:rPr>
          <w:rFonts w:cs="Arial"/>
          <w:szCs w:val="20"/>
        </w:rPr>
        <w:t>U vývoje průměrných</w:t>
      </w:r>
      <w:r w:rsidR="007375BD" w:rsidRPr="00DF57B0">
        <w:rPr>
          <w:rFonts w:cs="Arial"/>
          <w:szCs w:val="20"/>
        </w:rPr>
        <w:t xml:space="preserve"> mezd</w:t>
      </w:r>
      <w:r w:rsidRPr="00DF57B0">
        <w:rPr>
          <w:rFonts w:cs="Arial"/>
          <w:szCs w:val="20"/>
        </w:rPr>
        <w:t xml:space="preserve"> </w:t>
      </w:r>
      <w:r w:rsidR="00D34B88" w:rsidRPr="00DF57B0">
        <w:rPr>
          <w:rFonts w:cs="Arial"/>
          <w:szCs w:val="20"/>
        </w:rPr>
        <w:t xml:space="preserve">je rozptyl </w:t>
      </w:r>
      <w:r w:rsidRPr="00DF57B0">
        <w:rPr>
          <w:rFonts w:cs="Arial"/>
          <w:szCs w:val="20"/>
        </w:rPr>
        <w:t>p</w:t>
      </w:r>
      <w:r w:rsidR="00D34B88" w:rsidRPr="00DF57B0">
        <w:rPr>
          <w:rFonts w:cs="Arial"/>
          <w:szCs w:val="20"/>
        </w:rPr>
        <w:t xml:space="preserve">odstatně menší než </w:t>
      </w:r>
      <w:r w:rsidR="000B5922" w:rsidRPr="00DF57B0">
        <w:rPr>
          <w:rFonts w:cs="Arial"/>
          <w:szCs w:val="20"/>
        </w:rPr>
        <w:t xml:space="preserve">v třídění podle </w:t>
      </w:r>
      <w:r w:rsidR="00DF57B0" w:rsidRPr="00DF57B0">
        <w:rPr>
          <w:rFonts w:cs="Arial"/>
          <w:szCs w:val="20"/>
        </w:rPr>
        <w:t>odvětví.</w:t>
      </w:r>
      <w:r w:rsidR="00D34B88" w:rsidRPr="00DF57B0">
        <w:rPr>
          <w:rFonts w:cs="Arial"/>
          <w:szCs w:val="20"/>
        </w:rPr>
        <w:t xml:space="preserve"> </w:t>
      </w:r>
      <w:r w:rsidR="00DF57B0" w:rsidRPr="00DF57B0">
        <w:rPr>
          <w:rFonts w:cs="Arial"/>
          <w:szCs w:val="20"/>
        </w:rPr>
        <w:t xml:space="preserve">Také zde platí, že reálná kupní síla se </w:t>
      </w:r>
      <w:r w:rsidR="00965635" w:rsidRPr="00DF57B0">
        <w:rPr>
          <w:rFonts w:cs="Arial"/>
          <w:szCs w:val="20"/>
        </w:rPr>
        <w:t xml:space="preserve">ve všech krajích </w:t>
      </w:r>
      <w:r w:rsidR="00DF57B0" w:rsidRPr="00DF57B0">
        <w:rPr>
          <w:rFonts w:cs="Arial"/>
          <w:szCs w:val="20"/>
        </w:rPr>
        <w:t>meziročně propadal</w:t>
      </w:r>
      <w:r w:rsidR="00DF57B0">
        <w:rPr>
          <w:rFonts w:cs="Arial"/>
          <w:szCs w:val="20"/>
        </w:rPr>
        <w:t xml:space="preserve">a, </w:t>
      </w:r>
      <w:r w:rsidR="00965635">
        <w:rPr>
          <w:rFonts w:cs="Arial"/>
          <w:szCs w:val="20"/>
        </w:rPr>
        <w:t xml:space="preserve">a to v rozmezí </w:t>
      </w:r>
      <w:r w:rsidR="00DF57B0">
        <w:rPr>
          <w:rFonts w:cs="Arial"/>
          <w:szCs w:val="20"/>
        </w:rPr>
        <w:t xml:space="preserve">od 8,9 % do 10,5 %. </w:t>
      </w:r>
      <w:r w:rsidR="00DF57B0">
        <w:rPr>
          <w:rFonts w:cs="Arial"/>
          <w:szCs w:val="20"/>
        </w:rPr>
        <w:lastRenderedPageBreak/>
        <w:t>Nejlépe vychází ze srov</w:t>
      </w:r>
      <w:r w:rsidR="00DF57B0" w:rsidRPr="00D733A0">
        <w:rPr>
          <w:rFonts w:cs="Arial"/>
          <w:szCs w:val="20"/>
        </w:rPr>
        <w:t xml:space="preserve">nání Moravskoslezský kraj, kde se reálná mzda snížila právě </w:t>
      </w:r>
      <w:r w:rsidR="00D733A0">
        <w:rPr>
          <w:rFonts w:cs="Arial"/>
          <w:szCs w:val="20"/>
        </w:rPr>
        <w:t>o </w:t>
      </w:r>
      <w:r w:rsidR="00DF57B0" w:rsidRPr="00D733A0">
        <w:rPr>
          <w:rFonts w:cs="Arial"/>
          <w:szCs w:val="20"/>
        </w:rPr>
        <w:t>8,9 %</w:t>
      </w:r>
      <w:r w:rsidR="00D733A0" w:rsidRPr="00D733A0">
        <w:rPr>
          <w:rFonts w:cs="Arial"/>
          <w:szCs w:val="20"/>
        </w:rPr>
        <w:t xml:space="preserve"> díky vyššímu nominálnímu nárůstu průměrné mzd</w:t>
      </w:r>
      <w:r w:rsidR="001D3B73">
        <w:rPr>
          <w:rFonts w:cs="Arial"/>
          <w:szCs w:val="20"/>
        </w:rPr>
        <w:t>y</w:t>
      </w:r>
      <w:bookmarkStart w:id="0" w:name="_GoBack"/>
      <w:bookmarkEnd w:id="0"/>
      <w:r w:rsidR="00D733A0" w:rsidRPr="00D733A0">
        <w:rPr>
          <w:rFonts w:cs="Arial"/>
          <w:szCs w:val="20"/>
        </w:rPr>
        <w:t>, který zde jako jediný překonal hranici sedmi procent (7,1 %)</w:t>
      </w:r>
      <w:r w:rsidR="00DF57B0" w:rsidRPr="00D733A0">
        <w:rPr>
          <w:rFonts w:cs="Arial"/>
          <w:szCs w:val="20"/>
        </w:rPr>
        <w:t>.</w:t>
      </w:r>
      <w:r w:rsidR="00D733A0" w:rsidRPr="00D733A0">
        <w:rPr>
          <w:rFonts w:cs="Arial"/>
          <w:szCs w:val="20"/>
        </w:rPr>
        <w:t xml:space="preserve"> </w:t>
      </w:r>
    </w:p>
    <w:p w:rsidR="005A793F" w:rsidRPr="00D733A0" w:rsidRDefault="00D733A0" w:rsidP="007A4BE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 w:rsidRPr="00D733A0">
        <w:rPr>
          <w:rFonts w:cs="Arial"/>
          <w:szCs w:val="20"/>
        </w:rPr>
        <w:t>Hlavní město zaznamenalo propad reálné mzd</w:t>
      </w:r>
      <w:r>
        <w:rPr>
          <w:rFonts w:cs="Arial"/>
          <w:szCs w:val="20"/>
        </w:rPr>
        <w:t>y</w:t>
      </w:r>
      <w:r w:rsidRPr="00D733A0">
        <w:rPr>
          <w:rFonts w:cs="Arial"/>
          <w:szCs w:val="20"/>
        </w:rPr>
        <w:t xml:space="preserve"> o 9,7 %, stejně jako kraje Jihomoravský a Liberecký. Ve Zlínském kraj se mzdy reálně snížily o 9,8 % a ve Středočeském kraji o 9,9 %. V</w:t>
      </w:r>
      <w:r w:rsidR="000B5922" w:rsidRPr="00D733A0">
        <w:rPr>
          <w:rFonts w:cs="Arial"/>
          <w:szCs w:val="20"/>
        </w:rPr>
        <w:t xml:space="preserve"> Ústeckém </w:t>
      </w:r>
      <w:r w:rsidRPr="00D733A0">
        <w:rPr>
          <w:rFonts w:cs="Arial"/>
          <w:szCs w:val="20"/>
        </w:rPr>
        <w:t xml:space="preserve">a Plzeňském </w:t>
      </w:r>
      <w:r w:rsidR="000B5922" w:rsidRPr="00D733A0">
        <w:rPr>
          <w:rFonts w:cs="Arial"/>
          <w:szCs w:val="20"/>
        </w:rPr>
        <w:t xml:space="preserve">kraji </w:t>
      </w:r>
      <w:r w:rsidRPr="00D733A0">
        <w:rPr>
          <w:rFonts w:cs="Arial"/>
          <w:szCs w:val="20"/>
        </w:rPr>
        <w:t xml:space="preserve">byl pokles </w:t>
      </w:r>
      <w:r w:rsidR="00554A81">
        <w:rPr>
          <w:rFonts w:cs="Arial"/>
          <w:szCs w:val="20"/>
        </w:rPr>
        <w:t>o </w:t>
      </w:r>
      <w:r w:rsidRPr="00D733A0">
        <w:rPr>
          <w:rFonts w:cs="Arial"/>
          <w:szCs w:val="20"/>
        </w:rPr>
        <w:t>10</w:t>
      </w:r>
      <w:r w:rsidR="000B5922" w:rsidRPr="00D733A0">
        <w:rPr>
          <w:rFonts w:cs="Arial"/>
          <w:szCs w:val="20"/>
        </w:rPr>
        <w:t>,</w:t>
      </w:r>
      <w:r w:rsidRPr="00D733A0">
        <w:rPr>
          <w:rFonts w:cs="Arial"/>
          <w:szCs w:val="20"/>
        </w:rPr>
        <w:t xml:space="preserve">4 %, a o </w:t>
      </w:r>
      <w:r>
        <w:rPr>
          <w:rFonts w:cs="Arial"/>
          <w:szCs w:val="20"/>
        </w:rPr>
        <w:t xml:space="preserve">hodnotu </w:t>
      </w:r>
      <w:r w:rsidRPr="00D733A0">
        <w:rPr>
          <w:rFonts w:cs="Arial"/>
          <w:szCs w:val="20"/>
        </w:rPr>
        <w:t xml:space="preserve">10,5 % se jedná </w:t>
      </w:r>
      <w:r w:rsidR="000B5922" w:rsidRPr="00D733A0">
        <w:rPr>
          <w:rFonts w:cs="Arial"/>
          <w:szCs w:val="20"/>
        </w:rPr>
        <w:t>v</w:t>
      </w:r>
      <w:r w:rsidRPr="00D733A0">
        <w:rPr>
          <w:rFonts w:cs="Arial"/>
          <w:szCs w:val="20"/>
        </w:rPr>
        <w:t xml:space="preserve"> krajích </w:t>
      </w:r>
      <w:r w:rsidR="000B5922" w:rsidRPr="00D733A0">
        <w:rPr>
          <w:rFonts w:cs="Arial"/>
          <w:szCs w:val="20"/>
        </w:rPr>
        <w:t>Karlovarském</w:t>
      </w:r>
      <w:r w:rsidRPr="00D733A0">
        <w:rPr>
          <w:rFonts w:cs="Arial"/>
          <w:szCs w:val="20"/>
        </w:rPr>
        <w:t>, Jihočeském, Pa</w:t>
      </w:r>
      <w:r w:rsidR="00965635">
        <w:rPr>
          <w:rFonts w:cs="Arial"/>
          <w:szCs w:val="20"/>
        </w:rPr>
        <w:t xml:space="preserve">rdubickém, Královéhradeckém a v kraji </w:t>
      </w:r>
      <w:r w:rsidRPr="00D733A0">
        <w:rPr>
          <w:rFonts w:cs="Arial"/>
          <w:szCs w:val="20"/>
        </w:rPr>
        <w:t>Vysočin</w:t>
      </w:r>
      <w:r w:rsidR="00965635">
        <w:rPr>
          <w:rFonts w:cs="Arial"/>
          <w:szCs w:val="20"/>
        </w:rPr>
        <w:t>a</w:t>
      </w:r>
      <w:r w:rsidRPr="00D733A0">
        <w:rPr>
          <w:rFonts w:cs="Arial"/>
          <w:szCs w:val="20"/>
        </w:rPr>
        <w:t>.</w:t>
      </w:r>
    </w:p>
    <w:p w:rsidR="00915E31" w:rsidRPr="00372A6D" w:rsidRDefault="00D53B9E" w:rsidP="00B916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color w:val="806000" w:themeColor="accent4" w:themeShade="80"/>
          <w:szCs w:val="20"/>
        </w:rPr>
      </w:pPr>
      <w:r w:rsidRPr="00D733A0">
        <w:rPr>
          <w:rFonts w:cs="Arial"/>
          <w:szCs w:val="20"/>
        </w:rPr>
        <w:t xml:space="preserve">Podle </w:t>
      </w:r>
      <w:r w:rsidR="00991E4B" w:rsidRPr="00D733A0">
        <w:rPr>
          <w:rFonts w:cs="Arial"/>
          <w:szCs w:val="20"/>
        </w:rPr>
        <w:t xml:space="preserve">absolutní </w:t>
      </w:r>
      <w:r w:rsidR="00813EDB" w:rsidRPr="00D733A0">
        <w:rPr>
          <w:rFonts w:cs="Arial"/>
          <w:szCs w:val="20"/>
        </w:rPr>
        <w:t>úrov</w:t>
      </w:r>
      <w:r w:rsidRPr="00D733A0">
        <w:rPr>
          <w:rFonts w:cs="Arial"/>
          <w:szCs w:val="20"/>
        </w:rPr>
        <w:t>ně</w:t>
      </w:r>
      <w:r w:rsidR="00813EDB" w:rsidRPr="00D733A0">
        <w:rPr>
          <w:rFonts w:cs="Arial"/>
          <w:szCs w:val="20"/>
        </w:rPr>
        <w:t xml:space="preserve"> výdělků </w:t>
      </w:r>
      <w:r w:rsidRPr="00D733A0">
        <w:rPr>
          <w:rFonts w:cs="Arial"/>
          <w:szCs w:val="20"/>
        </w:rPr>
        <w:t xml:space="preserve">zůstává </w:t>
      </w:r>
      <w:r w:rsidR="00F84E8A" w:rsidRPr="00D733A0">
        <w:rPr>
          <w:rFonts w:cs="Arial"/>
          <w:szCs w:val="20"/>
        </w:rPr>
        <w:t>Praha</w:t>
      </w:r>
      <w:r w:rsidRPr="00D733A0">
        <w:rPr>
          <w:rFonts w:cs="Arial"/>
          <w:szCs w:val="20"/>
        </w:rPr>
        <w:t xml:space="preserve"> stále nejbohatším regione</w:t>
      </w:r>
      <w:r w:rsidR="007A4BED" w:rsidRPr="00D733A0">
        <w:rPr>
          <w:rFonts w:cs="Arial"/>
          <w:szCs w:val="20"/>
        </w:rPr>
        <w:t xml:space="preserve">m, průměrná mzda </w:t>
      </w:r>
      <w:r w:rsidR="00F84E8A" w:rsidRPr="00D733A0">
        <w:rPr>
          <w:rFonts w:cs="Arial"/>
          <w:szCs w:val="20"/>
        </w:rPr>
        <w:t>tu</w:t>
      </w:r>
      <w:r w:rsidR="00740AD3" w:rsidRPr="00D733A0">
        <w:rPr>
          <w:rFonts w:cs="Arial"/>
          <w:szCs w:val="20"/>
        </w:rPr>
        <w:t xml:space="preserve"> </w:t>
      </w:r>
      <w:r w:rsidR="00CE6689" w:rsidRPr="00D733A0">
        <w:rPr>
          <w:rFonts w:cs="Arial"/>
          <w:szCs w:val="20"/>
        </w:rPr>
        <w:t>by</w:t>
      </w:r>
      <w:r w:rsidR="00740AD3" w:rsidRPr="00D733A0">
        <w:rPr>
          <w:rFonts w:cs="Arial"/>
          <w:szCs w:val="20"/>
        </w:rPr>
        <w:t xml:space="preserve">la </w:t>
      </w:r>
      <w:r w:rsidR="007A4BED" w:rsidRPr="00D733A0">
        <w:rPr>
          <w:rFonts w:cs="Arial"/>
          <w:szCs w:val="20"/>
        </w:rPr>
        <w:t>4</w:t>
      </w:r>
      <w:r w:rsidR="000B5922" w:rsidRPr="00D733A0">
        <w:rPr>
          <w:rFonts w:cs="Arial"/>
          <w:szCs w:val="20"/>
        </w:rPr>
        <w:t>8</w:t>
      </w:r>
      <w:r w:rsidRPr="00D733A0">
        <w:rPr>
          <w:rFonts w:cs="Arial"/>
          <w:szCs w:val="20"/>
        </w:rPr>
        <w:t> </w:t>
      </w:r>
      <w:r w:rsidR="00D733A0" w:rsidRPr="00D733A0">
        <w:rPr>
          <w:rFonts w:cs="Arial"/>
          <w:szCs w:val="20"/>
        </w:rPr>
        <w:t>712</w:t>
      </w:r>
      <w:r w:rsidRPr="00D733A0">
        <w:rPr>
          <w:rFonts w:cs="Arial"/>
          <w:szCs w:val="20"/>
        </w:rPr>
        <w:t> Kč</w:t>
      </w:r>
      <w:r w:rsidR="00A61706" w:rsidRPr="00D733A0">
        <w:rPr>
          <w:rFonts w:cs="Arial"/>
          <w:szCs w:val="20"/>
        </w:rPr>
        <w:t>.</w:t>
      </w:r>
      <w:r w:rsidRPr="00D733A0">
        <w:rPr>
          <w:rFonts w:cs="Arial"/>
          <w:szCs w:val="20"/>
        </w:rPr>
        <w:t xml:space="preserve"> </w:t>
      </w:r>
      <w:r w:rsidR="00A61706" w:rsidRPr="00D733A0">
        <w:rPr>
          <w:rFonts w:cs="Arial"/>
          <w:szCs w:val="20"/>
        </w:rPr>
        <w:t>N</w:t>
      </w:r>
      <w:r w:rsidRPr="00D733A0">
        <w:rPr>
          <w:rFonts w:cs="Arial"/>
          <w:szCs w:val="20"/>
        </w:rPr>
        <w:t xml:space="preserve">a druhém místě se udržuje </w:t>
      </w:r>
      <w:r w:rsidR="00B91CF5" w:rsidRPr="00D733A0">
        <w:rPr>
          <w:rFonts w:cs="Arial"/>
          <w:szCs w:val="20"/>
        </w:rPr>
        <w:t xml:space="preserve">Středočeský kraj </w:t>
      </w:r>
      <w:r w:rsidRPr="00D733A0">
        <w:rPr>
          <w:rFonts w:cs="Arial"/>
          <w:szCs w:val="20"/>
        </w:rPr>
        <w:t>s 3</w:t>
      </w:r>
      <w:r w:rsidR="00D733A0" w:rsidRPr="00D733A0">
        <w:rPr>
          <w:rFonts w:cs="Arial"/>
          <w:szCs w:val="20"/>
        </w:rPr>
        <w:t>9</w:t>
      </w:r>
      <w:r w:rsidRPr="00D733A0">
        <w:rPr>
          <w:rFonts w:cs="Arial"/>
          <w:szCs w:val="20"/>
        </w:rPr>
        <w:t> </w:t>
      </w:r>
      <w:r w:rsidR="00D733A0" w:rsidRPr="00D733A0">
        <w:rPr>
          <w:rFonts w:cs="Arial"/>
          <w:szCs w:val="20"/>
        </w:rPr>
        <w:t>711</w:t>
      </w:r>
      <w:r w:rsidRPr="00D733A0">
        <w:rPr>
          <w:rFonts w:cs="Arial"/>
          <w:szCs w:val="20"/>
        </w:rPr>
        <w:t> Kč</w:t>
      </w:r>
      <w:r w:rsidR="00CE6689" w:rsidRPr="00D733A0">
        <w:rPr>
          <w:rFonts w:cs="Arial"/>
          <w:szCs w:val="20"/>
        </w:rPr>
        <w:t xml:space="preserve">. </w:t>
      </w:r>
      <w:r w:rsidRPr="00D733A0">
        <w:rPr>
          <w:rFonts w:cs="Arial"/>
          <w:szCs w:val="20"/>
        </w:rPr>
        <w:t>Na</w:t>
      </w:r>
      <w:r w:rsidR="00CE6689" w:rsidRPr="00D733A0">
        <w:rPr>
          <w:rFonts w:cs="Arial"/>
          <w:szCs w:val="20"/>
        </w:rPr>
        <w:t>opak</w:t>
      </w:r>
      <w:r w:rsidRPr="00D733A0">
        <w:rPr>
          <w:rFonts w:cs="Arial"/>
          <w:szCs w:val="20"/>
        </w:rPr>
        <w:t xml:space="preserve"> </w:t>
      </w:r>
      <w:r w:rsidR="00C8169C" w:rsidRPr="00D733A0">
        <w:rPr>
          <w:rFonts w:cs="Arial"/>
          <w:szCs w:val="20"/>
        </w:rPr>
        <w:t xml:space="preserve">Karlovarský kraj </w:t>
      </w:r>
      <w:r w:rsidR="00BC7DD0" w:rsidRPr="00D733A0">
        <w:rPr>
          <w:rFonts w:cs="Arial"/>
          <w:szCs w:val="20"/>
        </w:rPr>
        <w:t>zůst</w:t>
      </w:r>
      <w:r w:rsidRPr="00D733A0">
        <w:rPr>
          <w:rFonts w:cs="Arial"/>
          <w:szCs w:val="20"/>
        </w:rPr>
        <w:t>ává</w:t>
      </w:r>
      <w:r w:rsidR="00BC7DD0" w:rsidRPr="00D733A0">
        <w:rPr>
          <w:rFonts w:cs="Arial"/>
          <w:szCs w:val="20"/>
        </w:rPr>
        <w:t xml:space="preserve"> nadále regionem s nejnižší mzdovou úrovní</w:t>
      </w:r>
      <w:r w:rsidR="00D733A0" w:rsidRPr="00D733A0">
        <w:rPr>
          <w:rFonts w:cs="Arial"/>
          <w:szCs w:val="20"/>
        </w:rPr>
        <w:t xml:space="preserve">, </w:t>
      </w:r>
      <w:r w:rsidR="001E5DE1">
        <w:rPr>
          <w:rFonts w:cs="Arial"/>
          <w:szCs w:val="20"/>
        </w:rPr>
        <w:t xml:space="preserve">aktuálně </w:t>
      </w:r>
      <w:r w:rsidR="00D733A0" w:rsidRPr="00D733A0">
        <w:rPr>
          <w:rFonts w:cs="Arial"/>
          <w:szCs w:val="20"/>
        </w:rPr>
        <w:t>jediný pod hranicí 35 tis.</w:t>
      </w:r>
      <w:r w:rsidR="00BC7DD0" w:rsidRPr="00D733A0">
        <w:rPr>
          <w:rFonts w:cs="Arial"/>
          <w:szCs w:val="20"/>
        </w:rPr>
        <w:t xml:space="preserve"> (</w:t>
      </w:r>
      <w:r w:rsidRPr="00D733A0">
        <w:rPr>
          <w:rFonts w:cs="Arial"/>
          <w:szCs w:val="20"/>
        </w:rPr>
        <w:t>3</w:t>
      </w:r>
      <w:r w:rsidR="00D733A0" w:rsidRPr="00D733A0">
        <w:rPr>
          <w:rFonts w:cs="Arial"/>
          <w:szCs w:val="20"/>
        </w:rPr>
        <w:t>4</w:t>
      </w:r>
      <w:r w:rsidR="00BC7DD0" w:rsidRPr="00D733A0">
        <w:rPr>
          <w:rFonts w:cs="Arial"/>
          <w:szCs w:val="20"/>
        </w:rPr>
        <w:t> </w:t>
      </w:r>
      <w:r w:rsidR="00D733A0" w:rsidRPr="00D733A0">
        <w:rPr>
          <w:rFonts w:cs="Arial"/>
          <w:szCs w:val="20"/>
        </w:rPr>
        <w:t>995</w:t>
      </w:r>
      <w:r w:rsidR="00BC7DD0" w:rsidRPr="00D733A0">
        <w:rPr>
          <w:rFonts w:cs="Arial"/>
          <w:szCs w:val="20"/>
        </w:rPr>
        <w:t> Kč</w:t>
      </w:r>
      <w:r w:rsidR="00D733A0" w:rsidRPr="00D733A0">
        <w:rPr>
          <w:rFonts w:cs="Arial"/>
          <w:szCs w:val="20"/>
        </w:rPr>
        <w:t>).</w:t>
      </w:r>
      <w:r w:rsidR="00A61706" w:rsidRPr="00D733A0">
        <w:rPr>
          <w:rFonts w:cs="Arial"/>
          <w:szCs w:val="20"/>
        </w:rPr>
        <w:t xml:space="preserve"> </w:t>
      </w:r>
      <w:r w:rsidR="00D733A0" w:rsidRPr="00D733A0">
        <w:rPr>
          <w:rFonts w:cs="Arial"/>
          <w:szCs w:val="20"/>
        </w:rPr>
        <w:t>S</w:t>
      </w:r>
      <w:r w:rsidR="006774B1" w:rsidRPr="00D733A0">
        <w:rPr>
          <w:rFonts w:cs="Arial"/>
          <w:szCs w:val="20"/>
        </w:rPr>
        <w:t> menším odstupem</w:t>
      </w:r>
      <w:r w:rsidR="00991E4B" w:rsidRPr="00D733A0">
        <w:rPr>
          <w:rFonts w:cs="Arial"/>
          <w:szCs w:val="20"/>
        </w:rPr>
        <w:t xml:space="preserve"> </w:t>
      </w:r>
      <w:r w:rsidR="00D733A0" w:rsidRPr="00D733A0">
        <w:rPr>
          <w:rFonts w:cs="Arial"/>
          <w:szCs w:val="20"/>
        </w:rPr>
        <w:t xml:space="preserve">byl </w:t>
      </w:r>
      <w:r w:rsidRPr="00D733A0">
        <w:rPr>
          <w:rFonts w:cs="Arial"/>
          <w:szCs w:val="20"/>
        </w:rPr>
        <w:t>násled</w:t>
      </w:r>
      <w:r w:rsidR="00ED1CAD" w:rsidRPr="00D733A0">
        <w:rPr>
          <w:rFonts w:cs="Arial"/>
          <w:szCs w:val="20"/>
        </w:rPr>
        <w:t>ován</w:t>
      </w:r>
      <w:r w:rsidR="00AD1BAE" w:rsidRPr="00D733A0">
        <w:rPr>
          <w:rFonts w:cs="Arial"/>
          <w:szCs w:val="20"/>
        </w:rPr>
        <w:t xml:space="preserve"> </w:t>
      </w:r>
      <w:r w:rsidR="000B5922" w:rsidRPr="00D733A0">
        <w:rPr>
          <w:rFonts w:cs="Arial"/>
          <w:szCs w:val="20"/>
        </w:rPr>
        <w:t>Pardubickým kraj</w:t>
      </w:r>
      <w:r w:rsidR="000B5922" w:rsidRPr="001E5DE1">
        <w:rPr>
          <w:rFonts w:cs="Arial"/>
          <w:szCs w:val="20"/>
        </w:rPr>
        <w:t>em (3</w:t>
      </w:r>
      <w:r w:rsidR="00D733A0" w:rsidRPr="001E5DE1">
        <w:rPr>
          <w:rFonts w:cs="Arial"/>
          <w:szCs w:val="20"/>
        </w:rPr>
        <w:t>5</w:t>
      </w:r>
      <w:r w:rsidR="000B5922" w:rsidRPr="001E5DE1">
        <w:rPr>
          <w:rFonts w:cs="Arial"/>
          <w:szCs w:val="20"/>
        </w:rPr>
        <w:t> </w:t>
      </w:r>
      <w:r w:rsidR="00D733A0" w:rsidRPr="001E5DE1">
        <w:rPr>
          <w:rFonts w:cs="Arial"/>
          <w:szCs w:val="20"/>
        </w:rPr>
        <w:t>729</w:t>
      </w:r>
      <w:r w:rsidR="000B5922" w:rsidRPr="001E5DE1">
        <w:rPr>
          <w:rFonts w:cs="Arial"/>
          <w:szCs w:val="20"/>
        </w:rPr>
        <w:t> Kč) a</w:t>
      </w:r>
      <w:r w:rsidR="00D733A0" w:rsidRPr="001E5DE1">
        <w:rPr>
          <w:rFonts w:cs="Arial"/>
          <w:szCs w:val="20"/>
        </w:rPr>
        <w:t xml:space="preserve"> Zlínským</w:t>
      </w:r>
      <w:r w:rsidRPr="001E5DE1">
        <w:rPr>
          <w:rFonts w:cs="Arial"/>
          <w:szCs w:val="20"/>
        </w:rPr>
        <w:t xml:space="preserve">, kde </w:t>
      </w:r>
      <w:r w:rsidR="004F11E6" w:rsidRPr="001E5DE1">
        <w:rPr>
          <w:rFonts w:cs="Arial"/>
          <w:szCs w:val="20"/>
        </w:rPr>
        <w:t xml:space="preserve">se </w:t>
      </w:r>
      <w:r w:rsidRPr="001E5DE1">
        <w:rPr>
          <w:rFonts w:cs="Arial"/>
          <w:szCs w:val="20"/>
        </w:rPr>
        <w:t xml:space="preserve">průměrná mzda </w:t>
      </w:r>
      <w:r w:rsidR="004F11E6" w:rsidRPr="001E5DE1">
        <w:rPr>
          <w:rFonts w:cs="Arial"/>
          <w:szCs w:val="20"/>
        </w:rPr>
        <w:t xml:space="preserve">dostala </w:t>
      </w:r>
      <w:r w:rsidR="00CE6689" w:rsidRPr="001E5DE1">
        <w:rPr>
          <w:rFonts w:cs="Arial"/>
          <w:szCs w:val="20"/>
        </w:rPr>
        <w:t>na</w:t>
      </w:r>
      <w:r w:rsidR="00F84E8A" w:rsidRPr="001E5DE1">
        <w:rPr>
          <w:rFonts w:cs="Arial"/>
          <w:szCs w:val="20"/>
        </w:rPr>
        <w:t> </w:t>
      </w:r>
      <w:r w:rsidR="00D733A0" w:rsidRPr="001E5DE1">
        <w:rPr>
          <w:rFonts w:cs="Arial"/>
          <w:szCs w:val="20"/>
        </w:rPr>
        <w:t>35</w:t>
      </w:r>
      <w:r w:rsidR="00CE6689" w:rsidRPr="001E5DE1">
        <w:rPr>
          <w:rFonts w:cs="Arial"/>
          <w:szCs w:val="20"/>
        </w:rPr>
        <w:t> </w:t>
      </w:r>
      <w:r w:rsidR="00D733A0" w:rsidRPr="001E5DE1">
        <w:rPr>
          <w:rFonts w:cs="Arial"/>
          <w:szCs w:val="20"/>
        </w:rPr>
        <w:t>935</w:t>
      </w:r>
      <w:r w:rsidR="00CE6689" w:rsidRPr="001E5DE1">
        <w:rPr>
          <w:rFonts w:cs="Arial"/>
          <w:szCs w:val="20"/>
        </w:rPr>
        <w:t xml:space="preserve"> Kč. </w:t>
      </w:r>
      <w:r w:rsidR="00965635" w:rsidRPr="00965635">
        <w:rPr>
          <w:rFonts w:cs="Arial"/>
          <w:szCs w:val="20"/>
        </w:rPr>
        <w:t>V Jihomoravském a Moravskoslezském kraji, což jsou vedle Prahy a Středočeského kraje regiony s nejvyšším počtem zaměstnanců, dosáhly průměrné mzdy hodnot 39 274 Kč a 36 588 Kč</w:t>
      </w:r>
      <w:r w:rsidR="00CE6689" w:rsidRPr="001E5DE1">
        <w:rPr>
          <w:rFonts w:cs="Arial"/>
          <w:szCs w:val="20"/>
        </w:rPr>
        <w:t>.</w:t>
      </w:r>
    </w:p>
    <w:p w:rsidR="00032252" w:rsidRPr="00741BE7" w:rsidRDefault="00032252" w:rsidP="00B916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color w:val="833C0B" w:themeColor="accent2" w:themeShade="80"/>
          <w:szCs w:val="20"/>
        </w:rPr>
      </w:pPr>
    </w:p>
    <w:p w:rsidR="001931FC" w:rsidRPr="006163D7" w:rsidRDefault="001931FC" w:rsidP="00B916A5">
      <w:pPr>
        <w:pStyle w:val="Zkladntextodsazen3"/>
        <w:spacing w:after="0" w:line="276" w:lineRule="auto"/>
        <w:ind w:firstLine="0"/>
        <w:rPr>
          <w:rFonts w:cs="Arial"/>
          <w:b/>
          <w:bCs/>
          <w:szCs w:val="20"/>
        </w:rPr>
      </w:pPr>
      <w:r w:rsidRPr="006163D7">
        <w:rPr>
          <w:rFonts w:cs="Arial"/>
          <w:b/>
          <w:bCs/>
          <w:szCs w:val="20"/>
        </w:rPr>
        <w:t>Mediány</w:t>
      </w:r>
      <w:r w:rsidR="00936E49" w:rsidRPr="006163D7">
        <w:rPr>
          <w:rFonts w:cs="Arial"/>
          <w:b/>
          <w:bCs/>
          <w:szCs w:val="20"/>
        </w:rPr>
        <w:t xml:space="preserve"> a decilové rozpětí</w:t>
      </w:r>
      <w:r w:rsidRPr="006163D7">
        <w:rPr>
          <w:rFonts w:cs="Arial"/>
          <w:b/>
          <w:bCs/>
          <w:szCs w:val="20"/>
        </w:rPr>
        <w:t xml:space="preserve"> </w:t>
      </w:r>
      <w:r w:rsidR="00936E49" w:rsidRPr="006163D7">
        <w:rPr>
          <w:rFonts w:cs="Arial"/>
          <w:b/>
          <w:bCs/>
          <w:szCs w:val="20"/>
        </w:rPr>
        <w:t>mezd</w:t>
      </w:r>
      <w:r w:rsidR="00074ED5" w:rsidRPr="006163D7">
        <w:rPr>
          <w:rFonts w:cs="Arial"/>
          <w:b/>
          <w:bCs/>
          <w:szCs w:val="20"/>
        </w:rPr>
        <w:t>, třídění podle pohlaví</w:t>
      </w:r>
    </w:p>
    <w:p w:rsidR="00173FB8" w:rsidRPr="00372A6D" w:rsidRDefault="00B916A5" w:rsidP="00B916A5">
      <w:pPr>
        <w:pStyle w:val="Zkladntextodsazen3"/>
        <w:spacing w:after="0" w:line="276" w:lineRule="auto"/>
        <w:ind w:firstLine="0"/>
        <w:rPr>
          <w:rFonts w:cs="Arial"/>
          <w:bCs/>
          <w:color w:val="806000" w:themeColor="accent4" w:themeShade="80"/>
          <w:szCs w:val="20"/>
        </w:rPr>
      </w:pPr>
      <w:r w:rsidRPr="000B5922">
        <w:rPr>
          <w:rFonts w:cs="Arial"/>
          <w:bCs/>
          <w:szCs w:val="20"/>
        </w:rPr>
        <w:t xml:space="preserve">Rychlá informace za </w:t>
      </w:r>
      <w:r w:rsidR="00372A6D">
        <w:rPr>
          <w:rFonts w:cs="Arial"/>
          <w:bCs/>
          <w:szCs w:val="20"/>
        </w:rPr>
        <w:t>3</w:t>
      </w:r>
      <w:r w:rsidRPr="000B5922">
        <w:rPr>
          <w:rFonts w:cs="Arial"/>
          <w:bCs/>
          <w:szCs w:val="20"/>
        </w:rPr>
        <w:t>. čtvrtletí 20</w:t>
      </w:r>
      <w:r w:rsidR="00B7536D" w:rsidRPr="000B5922">
        <w:rPr>
          <w:rFonts w:cs="Arial"/>
          <w:bCs/>
          <w:szCs w:val="20"/>
        </w:rPr>
        <w:t>2</w:t>
      </w:r>
      <w:r w:rsidR="00963388" w:rsidRPr="000B5922">
        <w:rPr>
          <w:rFonts w:cs="Arial"/>
          <w:bCs/>
          <w:szCs w:val="20"/>
        </w:rPr>
        <w:t>2</w:t>
      </w:r>
      <w:r w:rsidRPr="000B5922">
        <w:rPr>
          <w:rFonts w:cs="Arial"/>
          <w:bCs/>
          <w:szCs w:val="20"/>
        </w:rPr>
        <w:t xml:space="preserve"> obsahuje také údaj o mzdovém </w:t>
      </w:r>
      <w:r w:rsidRPr="000B5922">
        <w:rPr>
          <w:rFonts w:cs="Arial"/>
          <w:szCs w:val="20"/>
        </w:rPr>
        <w:t>mediánu</w:t>
      </w:r>
      <w:r w:rsidRPr="000B5922">
        <w:rPr>
          <w:rFonts w:cs="Arial"/>
          <w:bCs/>
          <w:szCs w:val="20"/>
        </w:rPr>
        <w:t>, který je vypočtený z matematického modelu distribuce a ukazuje mzdu prostředního zaměstnance, tedy běžnou mzdovou úroveň; zároveň byly vypočteny také krajn</w:t>
      </w:r>
      <w:r w:rsidRPr="00783434">
        <w:rPr>
          <w:rFonts w:cs="Arial"/>
          <w:bCs/>
          <w:szCs w:val="20"/>
        </w:rPr>
        <w:t xml:space="preserve">í </w:t>
      </w:r>
      <w:r w:rsidR="00741EDF" w:rsidRPr="00783434">
        <w:rPr>
          <w:rFonts w:cs="Arial"/>
          <w:bCs/>
          <w:szCs w:val="20"/>
        </w:rPr>
        <w:t>decily. V</w:t>
      </w:r>
      <w:r w:rsidR="00372A6D" w:rsidRPr="00783434">
        <w:rPr>
          <w:rFonts w:cs="Arial"/>
          <w:bCs/>
          <w:szCs w:val="20"/>
        </w:rPr>
        <w:t>e</w:t>
      </w:r>
      <w:r w:rsidRPr="00783434">
        <w:rPr>
          <w:rFonts w:cs="Arial"/>
          <w:bCs/>
          <w:szCs w:val="20"/>
        </w:rPr>
        <w:t> </w:t>
      </w:r>
      <w:r w:rsidR="00372A6D" w:rsidRPr="00783434">
        <w:rPr>
          <w:rFonts w:cs="Arial"/>
          <w:bCs/>
          <w:szCs w:val="20"/>
        </w:rPr>
        <w:t>3</w:t>
      </w:r>
      <w:r w:rsidR="00741EDF" w:rsidRPr="00783434">
        <w:rPr>
          <w:rFonts w:cs="Arial"/>
          <w:bCs/>
          <w:szCs w:val="20"/>
        </w:rPr>
        <w:t>. čtvrtletí 20</w:t>
      </w:r>
      <w:r w:rsidR="00B7536D" w:rsidRPr="00783434">
        <w:rPr>
          <w:rFonts w:cs="Arial"/>
          <w:bCs/>
          <w:szCs w:val="20"/>
        </w:rPr>
        <w:t>2</w:t>
      </w:r>
      <w:r w:rsidR="00963388" w:rsidRPr="00783434">
        <w:rPr>
          <w:rFonts w:cs="Arial"/>
          <w:bCs/>
          <w:szCs w:val="20"/>
        </w:rPr>
        <w:t>2</w:t>
      </w:r>
      <w:r w:rsidRPr="00783434">
        <w:rPr>
          <w:rFonts w:cs="Arial"/>
          <w:bCs/>
          <w:szCs w:val="20"/>
        </w:rPr>
        <w:t xml:space="preserve"> </w:t>
      </w:r>
      <w:r w:rsidR="00173FB8" w:rsidRPr="00783434">
        <w:rPr>
          <w:rFonts w:cs="Arial"/>
          <w:bCs/>
          <w:szCs w:val="20"/>
        </w:rPr>
        <w:t xml:space="preserve">se </w:t>
      </w:r>
      <w:r w:rsidR="00AF2339" w:rsidRPr="00783434">
        <w:rPr>
          <w:rFonts w:cs="Arial"/>
          <w:bCs/>
          <w:szCs w:val="20"/>
        </w:rPr>
        <w:t xml:space="preserve">mzdový </w:t>
      </w:r>
      <w:r w:rsidR="00173FB8" w:rsidRPr="00783434">
        <w:rPr>
          <w:rFonts w:cs="Arial"/>
          <w:bCs/>
          <w:szCs w:val="20"/>
        </w:rPr>
        <w:t xml:space="preserve">medián </w:t>
      </w:r>
      <w:r w:rsidR="009A2D6B" w:rsidRPr="00783434">
        <w:rPr>
          <w:rFonts w:cs="Arial"/>
          <w:bCs/>
          <w:szCs w:val="20"/>
        </w:rPr>
        <w:t>dosta</w:t>
      </w:r>
      <w:r w:rsidR="00173FB8" w:rsidRPr="00783434">
        <w:rPr>
          <w:rFonts w:cs="Arial"/>
          <w:bCs/>
          <w:szCs w:val="20"/>
        </w:rPr>
        <w:t>l na</w:t>
      </w:r>
      <w:r w:rsidRPr="00783434">
        <w:rPr>
          <w:rFonts w:cs="Arial"/>
          <w:bCs/>
          <w:szCs w:val="20"/>
        </w:rPr>
        <w:t xml:space="preserve"> </w:t>
      </w:r>
      <w:r w:rsidR="00BF7A05" w:rsidRPr="00783434">
        <w:rPr>
          <w:rFonts w:cs="Arial"/>
          <w:bCs/>
          <w:szCs w:val="20"/>
        </w:rPr>
        <w:t>3</w:t>
      </w:r>
      <w:r w:rsidR="00783434" w:rsidRPr="00783434">
        <w:rPr>
          <w:rFonts w:cs="Arial"/>
          <w:bCs/>
          <w:szCs w:val="20"/>
        </w:rPr>
        <w:t>4</w:t>
      </w:r>
      <w:r w:rsidR="00BF7A05" w:rsidRPr="00783434">
        <w:rPr>
          <w:rFonts w:cs="Arial"/>
          <w:bCs/>
          <w:szCs w:val="20"/>
        </w:rPr>
        <w:t> </w:t>
      </w:r>
      <w:r w:rsidR="00783434" w:rsidRPr="00783434">
        <w:rPr>
          <w:rFonts w:cs="Arial"/>
          <w:bCs/>
          <w:szCs w:val="20"/>
        </w:rPr>
        <w:t>993</w:t>
      </w:r>
      <w:r w:rsidRPr="00783434">
        <w:rPr>
          <w:rFonts w:cs="Arial"/>
          <w:bCs/>
          <w:szCs w:val="20"/>
        </w:rPr>
        <w:t xml:space="preserve"> Kč, </w:t>
      </w:r>
      <w:r w:rsidR="00173FB8" w:rsidRPr="00783434">
        <w:rPr>
          <w:rFonts w:cs="Arial"/>
          <w:bCs/>
          <w:szCs w:val="20"/>
        </w:rPr>
        <w:t xml:space="preserve">to je </w:t>
      </w:r>
      <w:r w:rsidRPr="00783434">
        <w:rPr>
          <w:rFonts w:cs="Arial"/>
          <w:bCs/>
          <w:szCs w:val="20"/>
        </w:rPr>
        <w:t>o </w:t>
      </w:r>
      <w:r w:rsidR="00783434" w:rsidRPr="00783434">
        <w:rPr>
          <w:rFonts w:cs="Arial"/>
          <w:bCs/>
          <w:szCs w:val="20"/>
        </w:rPr>
        <w:t>2</w:t>
      </w:r>
      <w:r w:rsidR="002B3DCF" w:rsidRPr="00783434">
        <w:rPr>
          <w:rFonts w:cs="Arial"/>
          <w:bCs/>
          <w:szCs w:val="20"/>
        </w:rPr>
        <w:t> </w:t>
      </w:r>
      <w:r w:rsidR="00783434" w:rsidRPr="00783434">
        <w:rPr>
          <w:rFonts w:cs="Arial"/>
          <w:bCs/>
          <w:szCs w:val="20"/>
        </w:rPr>
        <w:t>142</w:t>
      </w:r>
      <w:r w:rsidR="00EC2845" w:rsidRPr="00783434">
        <w:rPr>
          <w:rFonts w:cs="Arial"/>
          <w:bCs/>
          <w:szCs w:val="20"/>
        </w:rPr>
        <w:t> Kč</w:t>
      </w:r>
      <w:r w:rsidR="007C168F" w:rsidRPr="00783434">
        <w:rPr>
          <w:rFonts w:cs="Arial"/>
          <w:bCs/>
          <w:szCs w:val="20"/>
        </w:rPr>
        <w:t xml:space="preserve"> (</w:t>
      </w:r>
      <w:r w:rsidRPr="00783434">
        <w:rPr>
          <w:rFonts w:cs="Arial"/>
          <w:bCs/>
          <w:szCs w:val="20"/>
        </w:rPr>
        <w:t>o </w:t>
      </w:r>
      <w:r w:rsidR="00AC17FF" w:rsidRPr="00783434">
        <w:rPr>
          <w:rFonts w:cs="Arial"/>
          <w:bCs/>
          <w:szCs w:val="20"/>
        </w:rPr>
        <w:t>6,</w:t>
      </w:r>
      <w:r w:rsidR="00783434" w:rsidRPr="00783434">
        <w:rPr>
          <w:rFonts w:cs="Arial"/>
          <w:bCs/>
          <w:szCs w:val="20"/>
        </w:rPr>
        <w:t>5</w:t>
      </w:r>
      <w:r w:rsidRPr="00783434">
        <w:rPr>
          <w:rFonts w:cs="Arial"/>
          <w:bCs/>
          <w:szCs w:val="20"/>
        </w:rPr>
        <w:t xml:space="preserve"> %) </w:t>
      </w:r>
      <w:r w:rsidR="00E44B84" w:rsidRPr="00783434">
        <w:rPr>
          <w:rFonts w:cs="Arial"/>
          <w:bCs/>
          <w:szCs w:val="20"/>
        </w:rPr>
        <w:t>více</w:t>
      </w:r>
      <w:r w:rsidRPr="00783434">
        <w:rPr>
          <w:rFonts w:cs="Arial"/>
          <w:bCs/>
          <w:szCs w:val="20"/>
        </w:rPr>
        <w:t xml:space="preserve"> než ve s</w:t>
      </w:r>
      <w:r w:rsidR="004219F4" w:rsidRPr="00783434">
        <w:rPr>
          <w:rFonts w:cs="Arial"/>
          <w:bCs/>
          <w:szCs w:val="20"/>
        </w:rPr>
        <w:t>tejném období předchozího roku.</w:t>
      </w:r>
    </w:p>
    <w:p w:rsidR="00B916A5" w:rsidRPr="00372A6D" w:rsidRDefault="00B916A5" w:rsidP="00B916A5">
      <w:pPr>
        <w:pStyle w:val="Zkladntextodsazen3"/>
        <w:spacing w:after="0" w:line="276" w:lineRule="auto"/>
        <w:ind w:firstLine="0"/>
        <w:rPr>
          <w:rFonts w:cs="Arial"/>
          <w:bCs/>
          <w:color w:val="806000" w:themeColor="accent4" w:themeShade="80"/>
          <w:szCs w:val="20"/>
        </w:rPr>
      </w:pPr>
      <w:r w:rsidRPr="00783434">
        <w:rPr>
          <w:rFonts w:cs="Arial"/>
          <w:bCs/>
          <w:szCs w:val="20"/>
        </w:rPr>
        <w:t>Mzdov</w:t>
      </w:r>
      <w:r w:rsidR="00504882" w:rsidRPr="00783434">
        <w:rPr>
          <w:rFonts w:cs="Arial"/>
          <w:bCs/>
          <w:szCs w:val="20"/>
        </w:rPr>
        <w:t>á</w:t>
      </w:r>
      <w:r w:rsidRPr="00783434">
        <w:rPr>
          <w:rFonts w:cs="Arial"/>
          <w:bCs/>
          <w:szCs w:val="20"/>
        </w:rPr>
        <w:t xml:space="preserve"> </w:t>
      </w:r>
      <w:r w:rsidR="00504882" w:rsidRPr="00783434">
        <w:rPr>
          <w:rFonts w:cs="Arial"/>
          <w:bCs/>
          <w:szCs w:val="20"/>
        </w:rPr>
        <w:t>distribuce</w:t>
      </w:r>
      <w:r w:rsidRPr="00783434">
        <w:rPr>
          <w:rFonts w:cs="Arial"/>
          <w:bCs/>
          <w:szCs w:val="20"/>
        </w:rPr>
        <w:t xml:space="preserve"> </w:t>
      </w:r>
      <w:r w:rsidR="00504882" w:rsidRPr="00783434">
        <w:rPr>
          <w:rFonts w:cs="Arial"/>
          <w:bCs/>
          <w:szCs w:val="20"/>
        </w:rPr>
        <w:t>se ve srovnání s </w:t>
      </w:r>
      <w:r w:rsidR="009A2D6B" w:rsidRPr="00783434">
        <w:rPr>
          <w:rFonts w:cs="Arial"/>
          <w:bCs/>
          <w:szCs w:val="20"/>
        </w:rPr>
        <w:t>loňsk</w:t>
      </w:r>
      <w:r w:rsidR="00504882" w:rsidRPr="00783434">
        <w:rPr>
          <w:rFonts w:cs="Arial"/>
          <w:bCs/>
          <w:szCs w:val="20"/>
        </w:rPr>
        <w:t>ým rokem</w:t>
      </w:r>
      <w:r w:rsidR="009A2D6B" w:rsidRPr="00783434">
        <w:rPr>
          <w:rFonts w:cs="Arial"/>
          <w:bCs/>
          <w:szCs w:val="20"/>
        </w:rPr>
        <w:t xml:space="preserve"> </w:t>
      </w:r>
      <w:r w:rsidR="00504882" w:rsidRPr="00783434">
        <w:rPr>
          <w:rFonts w:cs="Arial"/>
          <w:bCs/>
          <w:szCs w:val="20"/>
        </w:rPr>
        <w:t>moc nezměnila</w:t>
      </w:r>
      <w:r w:rsidR="00113D4A" w:rsidRPr="00783434">
        <w:rPr>
          <w:rFonts w:cs="Arial"/>
          <w:bCs/>
          <w:szCs w:val="20"/>
        </w:rPr>
        <w:t xml:space="preserve">, </w:t>
      </w:r>
      <w:r w:rsidRPr="00783434">
        <w:rPr>
          <w:rFonts w:cs="Arial"/>
          <w:bCs/>
          <w:szCs w:val="20"/>
        </w:rPr>
        <w:t xml:space="preserve">desetina zaměstnanců s nejnižšími mzdami pobírala </w:t>
      </w:r>
      <w:r w:rsidR="00113D4A" w:rsidRPr="00783434">
        <w:rPr>
          <w:rFonts w:cs="Arial"/>
          <w:bCs/>
          <w:szCs w:val="20"/>
        </w:rPr>
        <w:t>hrubou mzdu</w:t>
      </w:r>
      <w:r w:rsidRPr="00783434">
        <w:rPr>
          <w:rFonts w:cs="Arial"/>
          <w:bCs/>
          <w:szCs w:val="20"/>
        </w:rPr>
        <w:t xml:space="preserve"> pod hranicí 1</w:t>
      </w:r>
      <w:r w:rsidR="00783434" w:rsidRPr="00783434">
        <w:rPr>
          <w:rFonts w:cs="Arial"/>
          <w:bCs/>
          <w:szCs w:val="20"/>
        </w:rPr>
        <w:t>8</w:t>
      </w:r>
      <w:r w:rsidRPr="00783434">
        <w:rPr>
          <w:rFonts w:cs="Arial"/>
          <w:bCs/>
          <w:szCs w:val="20"/>
        </w:rPr>
        <w:t> </w:t>
      </w:r>
      <w:r w:rsidR="00783434" w:rsidRPr="00783434">
        <w:rPr>
          <w:rFonts w:cs="Arial"/>
          <w:bCs/>
          <w:szCs w:val="20"/>
        </w:rPr>
        <w:t>301</w:t>
      </w:r>
      <w:r w:rsidRPr="00783434">
        <w:rPr>
          <w:rFonts w:cs="Arial"/>
          <w:bCs/>
          <w:szCs w:val="20"/>
        </w:rPr>
        <w:t> Kč (dolní decil</w:t>
      </w:r>
      <w:r w:rsidR="00113D4A" w:rsidRPr="00783434">
        <w:rPr>
          <w:rFonts w:cs="Arial"/>
          <w:bCs/>
          <w:szCs w:val="20"/>
        </w:rPr>
        <w:t xml:space="preserve"> </w:t>
      </w:r>
      <w:r w:rsidR="006A1675" w:rsidRPr="00783434">
        <w:rPr>
          <w:rFonts w:cs="Arial"/>
          <w:bCs/>
          <w:szCs w:val="20"/>
        </w:rPr>
        <w:t xml:space="preserve">meziročně </w:t>
      </w:r>
      <w:r w:rsidR="00B82D28" w:rsidRPr="00783434">
        <w:rPr>
          <w:rFonts w:cs="Arial"/>
          <w:bCs/>
          <w:szCs w:val="20"/>
        </w:rPr>
        <w:t>vzrostl</w:t>
      </w:r>
      <w:r w:rsidR="00113D4A" w:rsidRPr="00783434">
        <w:rPr>
          <w:rFonts w:cs="Arial"/>
          <w:bCs/>
          <w:szCs w:val="20"/>
        </w:rPr>
        <w:t xml:space="preserve"> o</w:t>
      </w:r>
      <w:r w:rsidR="00B82D28" w:rsidRPr="00783434">
        <w:rPr>
          <w:rFonts w:cs="Arial"/>
          <w:bCs/>
          <w:szCs w:val="20"/>
        </w:rPr>
        <w:t> </w:t>
      </w:r>
      <w:r w:rsidR="00AC17FF" w:rsidRPr="00783434">
        <w:rPr>
          <w:rFonts w:cs="Arial"/>
          <w:bCs/>
          <w:szCs w:val="20"/>
        </w:rPr>
        <w:t>7,</w:t>
      </w:r>
      <w:r w:rsidR="00783434" w:rsidRPr="00783434">
        <w:rPr>
          <w:rFonts w:cs="Arial"/>
          <w:bCs/>
          <w:szCs w:val="20"/>
        </w:rPr>
        <w:t>2</w:t>
      </w:r>
      <w:r w:rsidR="00B82D28" w:rsidRPr="00783434">
        <w:rPr>
          <w:rFonts w:cs="Arial"/>
          <w:bCs/>
          <w:szCs w:val="20"/>
        </w:rPr>
        <w:t> %</w:t>
      </w:r>
      <w:r w:rsidRPr="00783434">
        <w:rPr>
          <w:rFonts w:cs="Arial"/>
          <w:bCs/>
          <w:szCs w:val="20"/>
        </w:rPr>
        <w:t xml:space="preserve">), opačná desetina měla naopak mzdy nad hranicí </w:t>
      </w:r>
      <w:r w:rsidR="00AC17FF" w:rsidRPr="00783434">
        <w:rPr>
          <w:rFonts w:cs="Arial"/>
          <w:bCs/>
          <w:szCs w:val="20"/>
        </w:rPr>
        <w:t>6</w:t>
      </w:r>
      <w:r w:rsidR="00783434" w:rsidRPr="00783434">
        <w:rPr>
          <w:rFonts w:cs="Arial"/>
          <w:bCs/>
          <w:szCs w:val="20"/>
        </w:rPr>
        <w:t>2 </w:t>
      </w:r>
      <w:r w:rsidR="00AC17FF" w:rsidRPr="00783434">
        <w:rPr>
          <w:rFonts w:cs="Arial"/>
          <w:bCs/>
          <w:szCs w:val="20"/>
        </w:rPr>
        <w:t>6</w:t>
      </w:r>
      <w:r w:rsidR="00783434" w:rsidRPr="00783434">
        <w:rPr>
          <w:rFonts w:cs="Arial"/>
          <w:bCs/>
          <w:szCs w:val="20"/>
        </w:rPr>
        <w:t>59</w:t>
      </w:r>
      <w:r w:rsidRPr="00783434">
        <w:rPr>
          <w:rFonts w:cs="Arial"/>
          <w:bCs/>
          <w:szCs w:val="20"/>
        </w:rPr>
        <w:t> Kč (horní decil</w:t>
      </w:r>
      <w:r w:rsidR="00AF2339" w:rsidRPr="00783434">
        <w:rPr>
          <w:rFonts w:cs="Arial"/>
          <w:bCs/>
          <w:szCs w:val="20"/>
        </w:rPr>
        <w:t xml:space="preserve"> se zvýšil o </w:t>
      </w:r>
      <w:r w:rsidR="00AC17FF" w:rsidRPr="00783434">
        <w:rPr>
          <w:rFonts w:cs="Arial"/>
          <w:bCs/>
          <w:szCs w:val="20"/>
        </w:rPr>
        <w:t>6,</w:t>
      </w:r>
      <w:r w:rsidR="00783434" w:rsidRPr="00783434">
        <w:rPr>
          <w:rFonts w:cs="Arial"/>
          <w:bCs/>
          <w:szCs w:val="20"/>
        </w:rPr>
        <w:t>2</w:t>
      </w:r>
      <w:r w:rsidR="00B82D28" w:rsidRPr="00783434">
        <w:rPr>
          <w:rFonts w:cs="Arial"/>
          <w:bCs/>
          <w:szCs w:val="20"/>
        </w:rPr>
        <w:t> %</w:t>
      </w:r>
      <w:r w:rsidRPr="00783434">
        <w:rPr>
          <w:rFonts w:cs="Arial"/>
          <w:bCs/>
          <w:szCs w:val="20"/>
        </w:rPr>
        <w:t>).</w:t>
      </w:r>
      <w:r w:rsidR="00B82D28" w:rsidRPr="00783434">
        <w:rPr>
          <w:rFonts w:cs="Arial"/>
          <w:bCs/>
          <w:szCs w:val="20"/>
        </w:rPr>
        <w:t xml:space="preserve"> Decilový poměr </w:t>
      </w:r>
      <w:r w:rsidR="00AC17FF" w:rsidRPr="00783434">
        <w:rPr>
          <w:rFonts w:cs="Arial"/>
          <w:bCs/>
          <w:szCs w:val="20"/>
        </w:rPr>
        <w:t xml:space="preserve">se </w:t>
      </w:r>
      <w:r w:rsidR="006A1675" w:rsidRPr="00783434">
        <w:rPr>
          <w:rFonts w:cs="Arial"/>
          <w:bCs/>
          <w:szCs w:val="20"/>
        </w:rPr>
        <w:t xml:space="preserve">meziročně </w:t>
      </w:r>
      <w:r w:rsidR="00AC17FF" w:rsidRPr="00783434">
        <w:rPr>
          <w:rFonts w:cs="Arial"/>
          <w:bCs/>
          <w:szCs w:val="20"/>
        </w:rPr>
        <w:t>snížil</w:t>
      </w:r>
      <w:r w:rsidR="00B82D28" w:rsidRPr="00783434">
        <w:rPr>
          <w:rFonts w:cs="Arial"/>
          <w:bCs/>
          <w:szCs w:val="20"/>
        </w:rPr>
        <w:t xml:space="preserve"> o 0,</w:t>
      </w:r>
      <w:r w:rsidR="009A2D6B" w:rsidRPr="00783434">
        <w:rPr>
          <w:rFonts w:cs="Arial"/>
          <w:bCs/>
          <w:szCs w:val="20"/>
        </w:rPr>
        <w:t>0</w:t>
      </w:r>
      <w:r w:rsidR="002147CA">
        <w:rPr>
          <w:rFonts w:cs="Arial"/>
          <w:bCs/>
          <w:szCs w:val="20"/>
        </w:rPr>
        <w:t>3</w:t>
      </w:r>
      <w:r w:rsidR="00B82D28" w:rsidRPr="00783434">
        <w:rPr>
          <w:rFonts w:cs="Arial"/>
          <w:bCs/>
          <w:szCs w:val="20"/>
        </w:rPr>
        <w:t> bodu.</w:t>
      </w:r>
    </w:p>
    <w:p w:rsidR="00DF1D0E" w:rsidRPr="003C2CDD" w:rsidRDefault="00504882" w:rsidP="00B916A5">
      <w:pPr>
        <w:pStyle w:val="Zkladntextodsazen3"/>
        <w:spacing w:after="0" w:line="276" w:lineRule="auto"/>
        <w:ind w:firstLine="0"/>
        <w:rPr>
          <w:rFonts w:cs="Arial"/>
          <w:bCs/>
          <w:szCs w:val="20"/>
        </w:rPr>
      </w:pPr>
      <w:r w:rsidRPr="003C2CDD">
        <w:rPr>
          <w:rFonts w:cs="Arial"/>
          <w:bCs/>
          <w:szCs w:val="20"/>
        </w:rPr>
        <w:t>P</w:t>
      </w:r>
      <w:r w:rsidR="00DF1D0E" w:rsidRPr="003C2CDD">
        <w:rPr>
          <w:rFonts w:cs="Arial"/>
          <w:bCs/>
          <w:szCs w:val="20"/>
        </w:rPr>
        <w:t>ro</w:t>
      </w:r>
      <w:r w:rsidR="008F4122" w:rsidRPr="003C2CDD">
        <w:rPr>
          <w:rFonts w:cs="Arial"/>
          <w:bCs/>
          <w:szCs w:val="20"/>
        </w:rPr>
        <w:t xml:space="preserve">střední </w:t>
      </w:r>
      <w:r w:rsidRPr="003C2CDD">
        <w:rPr>
          <w:rFonts w:cs="Arial"/>
          <w:bCs/>
          <w:szCs w:val="20"/>
        </w:rPr>
        <w:t xml:space="preserve">mzdy </w:t>
      </w:r>
      <w:r w:rsidR="00F53D80" w:rsidRPr="003C2CDD">
        <w:rPr>
          <w:rFonts w:cs="Arial"/>
          <w:bCs/>
          <w:szCs w:val="20"/>
        </w:rPr>
        <w:t>muž</w:t>
      </w:r>
      <w:r w:rsidRPr="003C2CDD">
        <w:rPr>
          <w:rFonts w:cs="Arial"/>
          <w:bCs/>
          <w:szCs w:val="20"/>
        </w:rPr>
        <w:t>ů</w:t>
      </w:r>
      <w:r w:rsidR="00B916A5" w:rsidRPr="003C2CDD">
        <w:rPr>
          <w:rFonts w:cs="Arial"/>
          <w:bCs/>
          <w:szCs w:val="20"/>
        </w:rPr>
        <w:t xml:space="preserve"> </w:t>
      </w:r>
      <w:r w:rsidRPr="003C2CDD">
        <w:rPr>
          <w:rFonts w:cs="Arial"/>
          <w:bCs/>
          <w:szCs w:val="20"/>
        </w:rPr>
        <w:t>byly</w:t>
      </w:r>
      <w:r w:rsidR="00B916A5" w:rsidRPr="003C2CDD">
        <w:rPr>
          <w:rFonts w:cs="Arial"/>
          <w:bCs/>
          <w:szCs w:val="20"/>
        </w:rPr>
        <w:t xml:space="preserve"> </w:t>
      </w:r>
      <w:r w:rsidR="002F0FCA" w:rsidRPr="003C2CDD">
        <w:rPr>
          <w:rFonts w:cs="Arial"/>
          <w:bCs/>
          <w:szCs w:val="20"/>
        </w:rPr>
        <w:t xml:space="preserve">stále </w:t>
      </w:r>
      <w:r w:rsidR="00B916A5" w:rsidRPr="003C2CDD">
        <w:rPr>
          <w:rFonts w:cs="Arial"/>
          <w:bCs/>
          <w:szCs w:val="20"/>
        </w:rPr>
        <w:t>vyšší</w:t>
      </w:r>
      <w:r w:rsidRPr="003C2CDD">
        <w:rPr>
          <w:rFonts w:cs="Arial"/>
          <w:bCs/>
          <w:szCs w:val="20"/>
        </w:rPr>
        <w:t xml:space="preserve"> než u žen,</w:t>
      </w:r>
      <w:r w:rsidR="00B916A5" w:rsidRPr="003C2CDD">
        <w:rPr>
          <w:rFonts w:cs="Arial"/>
          <w:bCs/>
          <w:szCs w:val="20"/>
        </w:rPr>
        <w:t xml:space="preserve"> v</w:t>
      </w:r>
      <w:r w:rsidR="00372A6D" w:rsidRPr="003C2CDD">
        <w:rPr>
          <w:rFonts w:cs="Arial"/>
          <w:bCs/>
          <w:szCs w:val="20"/>
        </w:rPr>
        <w:t>e</w:t>
      </w:r>
      <w:r w:rsidR="00B916A5" w:rsidRPr="003C2CDD">
        <w:rPr>
          <w:rFonts w:cs="Arial"/>
          <w:bCs/>
          <w:szCs w:val="20"/>
        </w:rPr>
        <w:t> </w:t>
      </w:r>
      <w:r w:rsidR="00372A6D" w:rsidRPr="003C2CDD">
        <w:rPr>
          <w:rFonts w:cs="Arial"/>
          <w:bCs/>
          <w:szCs w:val="20"/>
        </w:rPr>
        <w:t>3</w:t>
      </w:r>
      <w:r w:rsidR="00741EDF" w:rsidRPr="003C2CDD">
        <w:rPr>
          <w:rFonts w:cs="Arial"/>
          <w:bCs/>
          <w:szCs w:val="20"/>
        </w:rPr>
        <w:t>. čtvrtletí 20</w:t>
      </w:r>
      <w:r w:rsidR="001E1C92" w:rsidRPr="003C2CDD">
        <w:rPr>
          <w:rFonts w:cs="Arial"/>
          <w:bCs/>
          <w:szCs w:val="20"/>
        </w:rPr>
        <w:t>2</w:t>
      </w:r>
      <w:r w:rsidR="000B5922" w:rsidRPr="003C2CDD">
        <w:rPr>
          <w:rFonts w:cs="Arial"/>
          <w:bCs/>
          <w:szCs w:val="20"/>
        </w:rPr>
        <w:t>2</w:t>
      </w:r>
      <w:r w:rsidR="00B916A5" w:rsidRPr="003C2CDD">
        <w:rPr>
          <w:rFonts w:cs="Arial"/>
          <w:bCs/>
          <w:szCs w:val="20"/>
        </w:rPr>
        <w:t xml:space="preserve"> byl</w:t>
      </w:r>
      <w:r w:rsidR="00113D4A" w:rsidRPr="003C2CDD">
        <w:rPr>
          <w:rFonts w:cs="Arial"/>
          <w:bCs/>
          <w:szCs w:val="20"/>
        </w:rPr>
        <w:t>a</w:t>
      </w:r>
      <w:r w:rsidR="00B916A5" w:rsidRPr="003C2CDD">
        <w:rPr>
          <w:rFonts w:cs="Arial"/>
          <w:bCs/>
          <w:szCs w:val="20"/>
        </w:rPr>
        <w:t xml:space="preserve"> mediánová mzda žen </w:t>
      </w:r>
      <w:r w:rsidR="00783434" w:rsidRPr="003C2CDD">
        <w:rPr>
          <w:rFonts w:cs="Arial"/>
          <w:bCs/>
          <w:szCs w:val="20"/>
        </w:rPr>
        <w:t>3</w:t>
      </w:r>
      <w:r w:rsidR="00AC17FF" w:rsidRPr="003C2CDD">
        <w:rPr>
          <w:rFonts w:cs="Arial"/>
          <w:bCs/>
          <w:szCs w:val="20"/>
        </w:rPr>
        <w:t>2</w:t>
      </w:r>
      <w:r w:rsidR="00B916A5" w:rsidRPr="003C2CDD">
        <w:rPr>
          <w:rFonts w:cs="Arial"/>
          <w:bCs/>
          <w:szCs w:val="20"/>
        </w:rPr>
        <w:t> </w:t>
      </w:r>
      <w:r w:rsidR="00783434" w:rsidRPr="003C2CDD">
        <w:rPr>
          <w:rFonts w:cs="Arial"/>
          <w:bCs/>
          <w:szCs w:val="20"/>
        </w:rPr>
        <w:t>171</w:t>
      </w:r>
      <w:r w:rsidR="00B916A5" w:rsidRPr="003C2CDD">
        <w:rPr>
          <w:rFonts w:cs="Arial"/>
          <w:bCs/>
          <w:szCs w:val="20"/>
        </w:rPr>
        <w:t> Kč</w:t>
      </w:r>
      <w:r w:rsidR="00783434" w:rsidRPr="003C2CDD">
        <w:rPr>
          <w:rFonts w:cs="Arial"/>
          <w:bCs/>
          <w:szCs w:val="20"/>
        </w:rPr>
        <w:t xml:space="preserve"> (meziročně vzrostla o 5,9 %),</w:t>
      </w:r>
      <w:r w:rsidR="00B916A5" w:rsidRPr="003C2CDD">
        <w:rPr>
          <w:rFonts w:cs="Arial"/>
          <w:bCs/>
          <w:szCs w:val="20"/>
        </w:rPr>
        <w:t xml:space="preserve"> zatímco u mužů </w:t>
      </w:r>
      <w:r w:rsidR="007C168F" w:rsidRPr="003C2CDD">
        <w:rPr>
          <w:rFonts w:cs="Arial"/>
          <w:bCs/>
          <w:szCs w:val="20"/>
        </w:rPr>
        <w:t>3</w:t>
      </w:r>
      <w:r w:rsidR="00783434" w:rsidRPr="003C2CDD">
        <w:rPr>
          <w:rFonts w:cs="Arial"/>
          <w:bCs/>
          <w:szCs w:val="20"/>
        </w:rPr>
        <w:t>7</w:t>
      </w:r>
      <w:r w:rsidR="00B916A5" w:rsidRPr="003C2CDD">
        <w:rPr>
          <w:rFonts w:cs="Arial"/>
          <w:bCs/>
          <w:szCs w:val="20"/>
        </w:rPr>
        <w:t> </w:t>
      </w:r>
      <w:r w:rsidR="00783434" w:rsidRPr="003C2CDD">
        <w:rPr>
          <w:rFonts w:cs="Arial"/>
          <w:bCs/>
          <w:szCs w:val="20"/>
        </w:rPr>
        <w:t>530</w:t>
      </w:r>
      <w:r w:rsidR="005C4569" w:rsidRPr="003C2CDD">
        <w:rPr>
          <w:rFonts w:cs="Arial"/>
          <w:bCs/>
          <w:szCs w:val="20"/>
        </w:rPr>
        <w:t> Kč</w:t>
      </w:r>
      <w:r w:rsidR="00783434" w:rsidRPr="003C2CDD">
        <w:rPr>
          <w:rFonts w:cs="Arial"/>
          <w:bCs/>
          <w:szCs w:val="20"/>
        </w:rPr>
        <w:t xml:space="preserve"> (vzrostl</w:t>
      </w:r>
      <w:r w:rsidR="003C2CDD">
        <w:rPr>
          <w:rFonts w:cs="Arial"/>
          <w:bCs/>
          <w:szCs w:val="20"/>
        </w:rPr>
        <w:t>a</w:t>
      </w:r>
      <w:r w:rsidR="00783434" w:rsidRPr="003C2CDD">
        <w:rPr>
          <w:rFonts w:cs="Arial"/>
          <w:bCs/>
          <w:szCs w:val="20"/>
        </w:rPr>
        <w:t xml:space="preserve"> o 7,2 %)</w:t>
      </w:r>
      <w:r w:rsidR="002B3DCF" w:rsidRPr="003C2CDD">
        <w:rPr>
          <w:rFonts w:cs="Arial"/>
          <w:bCs/>
          <w:szCs w:val="20"/>
        </w:rPr>
        <w:t>.</w:t>
      </w:r>
      <w:r w:rsidR="00C77762" w:rsidRPr="003C2CDD">
        <w:rPr>
          <w:rFonts w:cs="Arial"/>
          <w:bCs/>
          <w:szCs w:val="20"/>
        </w:rPr>
        <w:t xml:space="preserve"> Mezera v prostředních výdělcích </w:t>
      </w:r>
      <w:r w:rsidR="002147CA">
        <w:rPr>
          <w:rFonts w:cs="Arial"/>
          <w:bCs/>
          <w:szCs w:val="20"/>
        </w:rPr>
        <w:t xml:space="preserve">podle pohlaví </w:t>
      </w:r>
      <w:r w:rsidR="00C77762" w:rsidRPr="003C2CDD">
        <w:rPr>
          <w:rFonts w:cs="Arial"/>
          <w:bCs/>
          <w:szCs w:val="20"/>
        </w:rPr>
        <w:t xml:space="preserve">tak </w:t>
      </w:r>
      <w:r w:rsidR="003C2CDD" w:rsidRPr="003C2CDD">
        <w:rPr>
          <w:rFonts w:cs="Arial"/>
          <w:bCs/>
          <w:szCs w:val="20"/>
        </w:rPr>
        <w:t>vzrostla</w:t>
      </w:r>
      <w:r w:rsidR="00C77762" w:rsidRPr="003C2CDD">
        <w:rPr>
          <w:rFonts w:cs="Arial"/>
          <w:bCs/>
          <w:szCs w:val="20"/>
        </w:rPr>
        <w:t xml:space="preserve"> </w:t>
      </w:r>
      <w:r w:rsidR="003C2CDD" w:rsidRPr="003C2CDD">
        <w:rPr>
          <w:rFonts w:cs="Arial"/>
          <w:bCs/>
          <w:szCs w:val="20"/>
        </w:rPr>
        <w:t xml:space="preserve">o 1,1 p. b. na </w:t>
      </w:r>
      <w:r w:rsidR="00C77762" w:rsidRPr="003C2CDD">
        <w:rPr>
          <w:rFonts w:cs="Arial"/>
          <w:bCs/>
          <w:szCs w:val="20"/>
        </w:rPr>
        <w:t>1</w:t>
      </w:r>
      <w:r w:rsidR="00AC17FF" w:rsidRPr="003C2CDD">
        <w:rPr>
          <w:rFonts w:cs="Arial"/>
          <w:bCs/>
          <w:szCs w:val="20"/>
        </w:rPr>
        <w:t>4</w:t>
      </w:r>
      <w:r w:rsidR="00C77762" w:rsidRPr="003C2CDD">
        <w:rPr>
          <w:rFonts w:cs="Arial"/>
          <w:bCs/>
          <w:szCs w:val="20"/>
        </w:rPr>
        <w:t>,</w:t>
      </w:r>
      <w:r w:rsidR="003C2CDD" w:rsidRPr="003C2CDD">
        <w:rPr>
          <w:rFonts w:cs="Arial"/>
          <w:bCs/>
          <w:szCs w:val="20"/>
        </w:rPr>
        <w:t>3</w:t>
      </w:r>
      <w:r w:rsidR="00C77762" w:rsidRPr="003C2CDD">
        <w:rPr>
          <w:rFonts w:cs="Arial"/>
          <w:bCs/>
          <w:szCs w:val="20"/>
        </w:rPr>
        <w:t> %.</w:t>
      </w:r>
    </w:p>
    <w:p w:rsidR="00AF2339" w:rsidRPr="00372A6D" w:rsidRDefault="00B916A5" w:rsidP="00915E31">
      <w:pPr>
        <w:pStyle w:val="Zkladntextodsazen3"/>
        <w:spacing w:after="0" w:line="276" w:lineRule="auto"/>
        <w:ind w:firstLine="0"/>
        <w:rPr>
          <w:rFonts w:cs="Arial"/>
          <w:bCs/>
          <w:color w:val="806000" w:themeColor="accent4" w:themeShade="80"/>
          <w:szCs w:val="20"/>
        </w:rPr>
      </w:pPr>
      <w:r w:rsidRPr="002147CA">
        <w:rPr>
          <w:rFonts w:cs="Arial"/>
          <w:bCs/>
          <w:szCs w:val="20"/>
        </w:rPr>
        <w:t xml:space="preserve">Zároveň </w:t>
      </w:r>
      <w:r w:rsidR="00EC2845" w:rsidRPr="002147CA">
        <w:rPr>
          <w:rFonts w:cs="Arial"/>
          <w:bCs/>
          <w:szCs w:val="20"/>
        </w:rPr>
        <w:t>byly</w:t>
      </w:r>
      <w:r w:rsidRPr="002147CA">
        <w:rPr>
          <w:rFonts w:cs="Arial"/>
          <w:bCs/>
          <w:szCs w:val="20"/>
        </w:rPr>
        <w:t xml:space="preserve"> mzdy</w:t>
      </w:r>
      <w:r w:rsidR="00EC2845" w:rsidRPr="002147CA">
        <w:rPr>
          <w:rFonts w:cs="Arial"/>
          <w:bCs/>
          <w:szCs w:val="20"/>
        </w:rPr>
        <w:t xml:space="preserve"> mužů</w:t>
      </w:r>
      <w:r w:rsidRPr="002147CA">
        <w:rPr>
          <w:rFonts w:cs="Arial"/>
          <w:bCs/>
          <w:szCs w:val="20"/>
        </w:rPr>
        <w:t xml:space="preserve"> rozprostřené v podstatně větší šíři, zejména oblast vysokých výdělků je </w:t>
      </w:r>
      <w:r w:rsidR="00C77762" w:rsidRPr="002147CA">
        <w:rPr>
          <w:rFonts w:cs="Arial"/>
          <w:bCs/>
          <w:szCs w:val="20"/>
        </w:rPr>
        <w:t xml:space="preserve">výrazněji </w:t>
      </w:r>
      <w:r w:rsidRPr="002147CA">
        <w:rPr>
          <w:rFonts w:cs="Arial"/>
          <w:bCs/>
          <w:szCs w:val="20"/>
        </w:rPr>
        <w:t>vyšší než u žen</w:t>
      </w:r>
      <w:r w:rsidR="0039083A" w:rsidRPr="002147CA">
        <w:rPr>
          <w:rFonts w:cs="Arial"/>
          <w:bCs/>
          <w:szCs w:val="20"/>
        </w:rPr>
        <w:t>:</w:t>
      </w:r>
      <w:r w:rsidRPr="002147CA">
        <w:rPr>
          <w:rFonts w:cs="Arial"/>
          <w:bCs/>
          <w:szCs w:val="20"/>
        </w:rPr>
        <w:t xml:space="preserve"> </w:t>
      </w:r>
      <w:r w:rsidR="00AA3CC5" w:rsidRPr="002147CA">
        <w:rPr>
          <w:rFonts w:cs="Arial"/>
          <w:bCs/>
          <w:szCs w:val="20"/>
        </w:rPr>
        <w:t xml:space="preserve">ženy </w:t>
      </w:r>
      <w:r w:rsidR="005905BF" w:rsidRPr="002147CA">
        <w:rPr>
          <w:rFonts w:cs="Arial"/>
          <w:bCs/>
          <w:szCs w:val="20"/>
        </w:rPr>
        <w:t xml:space="preserve">měly horní decil </w:t>
      </w:r>
      <w:r w:rsidR="002B3DCF" w:rsidRPr="002147CA">
        <w:rPr>
          <w:rFonts w:cs="Arial"/>
          <w:bCs/>
          <w:szCs w:val="20"/>
        </w:rPr>
        <w:t>5</w:t>
      </w:r>
      <w:r w:rsidR="002147CA" w:rsidRPr="002147CA">
        <w:rPr>
          <w:rFonts w:cs="Arial"/>
          <w:bCs/>
          <w:szCs w:val="20"/>
        </w:rPr>
        <w:t>5</w:t>
      </w:r>
      <w:r w:rsidR="00AA3CC5" w:rsidRPr="002147CA">
        <w:rPr>
          <w:rFonts w:cs="Arial"/>
          <w:bCs/>
          <w:szCs w:val="20"/>
        </w:rPr>
        <w:t> </w:t>
      </w:r>
      <w:r w:rsidR="002147CA" w:rsidRPr="002147CA">
        <w:rPr>
          <w:rFonts w:cs="Arial"/>
          <w:bCs/>
          <w:szCs w:val="20"/>
        </w:rPr>
        <w:t>381</w:t>
      </w:r>
      <w:r w:rsidR="00622503" w:rsidRPr="002147CA">
        <w:rPr>
          <w:rFonts w:cs="Arial"/>
          <w:bCs/>
          <w:szCs w:val="20"/>
        </w:rPr>
        <w:t> Kč a </w:t>
      </w:r>
      <w:r w:rsidRPr="002147CA">
        <w:rPr>
          <w:rFonts w:cs="Arial"/>
          <w:bCs/>
          <w:szCs w:val="20"/>
        </w:rPr>
        <w:t xml:space="preserve">muži </w:t>
      </w:r>
      <w:r w:rsidR="00CC2C2A" w:rsidRPr="002147CA">
        <w:rPr>
          <w:rFonts w:cs="Arial"/>
          <w:bCs/>
          <w:szCs w:val="20"/>
        </w:rPr>
        <w:t>6</w:t>
      </w:r>
      <w:r w:rsidR="002147CA" w:rsidRPr="002147CA">
        <w:rPr>
          <w:rFonts w:cs="Arial"/>
          <w:bCs/>
          <w:szCs w:val="20"/>
        </w:rPr>
        <w:t>9</w:t>
      </w:r>
      <w:r w:rsidRPr="002147CA">
        <w:rPr>
          <w:rFonts w:cs="Arial"/>
          <w:bCs/>
          <w:szCs w:val="20"/>
        </w:rPr>
        <w:t> </w:t>
      </w:r>
      <w:r w:rsidR="002147CA" w:rsidRPr="002147CA">
        <w:rPr>
          <w:rFonts w:cs="Arial"/>
          <w:bCs/>
          <w:szCs w:val="20"/>
        </w:rPr>
        <w:t>427</w:t>
      </w:r>
      <w:r w:rsidRPr="002147CA">
        <w:rPr>
          <w:rFonts w:cs="Arial"/>
          <w:bCs/>
          <w:szCs w:val="20"/>
        </w:rPr>
        <w:t> Kč,</w:t>
      </w:r>
      <w:r w:rsidR="00AA3CC5" w:rsidRPr="002147CA">
        <w:rPr>
          <w:rFonts w:cs="Arial"/>
          <w:bCs/>
          <w:szCs w:val="20"/>
        </w:rPr>
        <w:t xml:space="preserve"> </w:t>
      </w:r>
      <w:r w:rsidR="002B3DCF" w:rsidRPr="002147CA">
        <w:rPr>
          <w:rFonts w:cs="Arial"/>
          <w:bCs/>
          <w:szCs w:val="20"/>
        </w:rPr>
        <w:t>čímž byl</w:t>
      </w:r>
      <w:r w:rsidR="00C77762" w:rsidRPr="002147CA">
        <w:rPr>
          <w:rFonts w:cs="Arial"/>
          <w:bCs/>
          <w:szCs w:val="20"/>
        </w:rPr>
        <w:t>a</w:t>
      </w:r>
      <w:r w:rsidR="00AA3CC5" w:rsidRPr="002147CA">
        <w:rPr>
          <w:rFonts w:cs="Arial"/>
          <w:bCs/>
          <w:szCs w:val="20"/>
        </w:rPr>
        <w:t xml:space="preserve"> </w:t>
      </w:r>
      <w:r w:rsidR="00C77762" w:rsidRPr="002147CA">
        <w:rPr>
          <w:rFonts w:cs="Arial"/>
          <w:bCs/>
          <w:szCs w:val="20"/>
        </w:rPr>
        <w:t xml:space="preserve">mezera u vysokých výdělků </w:t>
      </w:r>
      <w:r w:rsidR="00AC17FF" w:rsidRPr="002147CA">
        <w:rPr>
          <w:rFonts w:cs="Arial"/>
          <w:bCs/>
          <w:szCs w:val="20"/>
        </w:rPr>
        <w:t>2</w:t>
      </w:r>
      <w:r w:rsidR="002147CA" w:rsidRPr="002147CA">
        <w:rPr>
          <w:rFonts w:cs="Arial"/>
          <w:bCs/>
          <w:szCs w:val="20"/>
        </w:rPr>
        <w:t>0,2</w:t>
      </w:r>
      <w:r w:rsidR="00C77762" w:rsidRPr="002147CA">
        <w:rPr>
          <w:rFonts w:cs="Arial"/>
          <w:bCs/>
          <w:szCs w:val="20"/>
        </w:rPr>
        <w:t> %</w:t>
      </w:r>
      <w:r w:rsidRPr="002147CA">
        <w:rPr>
          <w:rFonts w:cs="Arial"/>
          <w:bCs/>
          <w:szCs w:val="20"/>
        </w:rPr>
        <w:t xml:space="preserve">. </w:t>
      </w:r>
      <w:r w:rsidR="00DF1D0E" w:rsidRPr="002147CA">
        <w:rPr>
          <w:rFonts w:cs="Arial"/>
          <w:bCs/>
          <w:szCs w:val="20"/>
        </w:rPr>
        <w:t>U </w:t>
      </w:r>
      <w:r w:rsidRPr="002147CA">
        <w:rPr>
          <w:rFonts w:cs="Arial"/>
          <w:bCs/>
          <w:szCs w:val="20"/>
        </w:rPr>
        <w:t xml:space="preserve">nízkých výdělků </w:t>
      </w:r>
      <w:r w:rsidR="00DF1D0E" w:rsidRPr="002147CA">
        <w:rPr>
          <w:rFonts w:cs="Arial"/>
          <w:bCs/>
          <w:szCs w:val="20"/>
        </w:rPr>
        <w:t>byl</w:t>
      </w:r>
      <w:r w:rsidRPr="002147CA">
        <w:rPr>
          <w:rFonts w:cs="Arial"/>
          <w:bCs/>
          <w:szCs w:val="20"/>
        </w:rPr>
        <w:t xml:space="preserve"> </w:t>
      </w:r>
      <w:r w:rsidR="00C77762" w:rsidRPr="002147CA">
        <w:rPr>
          <w:rFonts w:cs="Arial"/>
          <w:bCs/>
          <w:szCs w:val="20"/>
        </w:rPr>
        <w:t xml:space="preserve">naopak </w:t>
      </w:r>
      <w:r w:rsidRPr="002147CA">
        <w:rPr>
          <w:rFonts w:cs="Arial"/>
          <w:bCs/>
          <w:szCs w:val="20"/>
        </w:rPr>
        <w:t xml:space="preserve">rozdíl </w:t>
      </w:r>
      <w:r w:rsidR="002B3DCF" w:rsidRPr="002147CA">
        <w:rPr>
          <w:rFonts w:cs="Arial"/>
          <w:bCs/>
          <w:szCs w:val="20"/>
        </w:rPr>
        <w:t>slabší</w:t>
      </w:r>
      <w:r w:rsidR="00DF1D0E" w:rsidRPr="002147CA">
        <w:rPr>
          <w:rFonts w:cs="Arial"/>
          <w:bCs/>
          <w:szCs w:val="20"/>
        </w:rPr>
        <w:t xml:space="preserve">: </w:t>
      </w:r>
      <w:r w:rsidR="00AA3CC5" w:rsidRPr="002147CA">
        <w:rPr>
          <w:rFonts w:cs="Arial"/>
          <w:bCs/>
          <w:szCs w:val="20"/>
        </w:rPr>
        <w:t xml:space="preserve">ženy </w:t>
      </w:r>
      <w:r w:rsidR="003D2097" w:rsidRPr="002147CA">
        <w:rPr>
          <w:rFonts w:cs="Arial"/>
          <w:bCs/>
          <w:szCs w:val="20"/>
        </w:rPr>
        <w:t xml:space="preserve">měly </w:t>
      </w:r>
      <w:r w:rsidRPr="002147CA">
        <w:rPr>
          <w:rFonts w:cs="Arial"/>
          <w:bCs/>
          <w:szCs w:val="20"/>
        </w:rPr>
        <w:t>dolní decil</w:t>
      </w:r>
      <w:r w:rsidR="005905BF" w:rsidRPr="002147CA">
        <w:rPr>
          <w:rFonts w:cs="Arial"/>
          <w:bCs/>
          <w:szCs w:val="20"/>
        </w:rPr>
        <w:t xml:space="preserve"> 1</w:t>
      </w:r>
      <w:r w:rsidR="002147CA" w:rsidRPr="002147CA">
        <w:rPr>
          <w:rFonts w:cs="Arial"/>
          <w:bCs/>
          <w:szCs w:val="20"/>
        </w:rPr>
        <w:t>7</w:t>
      </w:r>
      <w:r w:rsidR="00C33B50" w:rsidRPr="002147CA">
        <w:rPr>
          <w:rFonts w:cs="Arial"/>
          <w:bCs/>
          <w:szCs w:val="20"/>
        </w:rPr>
        <w:t> </w:t>
      </w:r>
      <w:r w:rsidR="002147CA" w:rsidRPr="002147CA">
        <w:rPr>
          <w:rFonts w:cs="Arial"/>
          <w:bCs/>
          <w:szCs w:val="20"/>
        </w:rPr>
        <w:t>389</w:t>
      </w:r>
      <w:r w:rsidR="00C33B50" w:rsidRPr="002147CA">
        <w:rPr>
          <w:rFonts w:cs="Arial"/>
          <w:bCs/>
          <w:szCs w:val="20"/>
        </w:rPr>
        <w:t> Kč,</w:t>
      </w:r>
      <w:r w:rsidRPr="002147CA">
        <w:rPr>
          <w:rFonts w:cs="Arial"/>
          <w:bCs/>
          <w:szCs w:val="20"/>
        </w:rPr>
        <w:t xml:space="preserve"> muži</w:t>
      </w:r>
      <w:r w:rsidR="004D2D28" w:rsidRPr="002147CA">
        <w:rPr>
          <w:rFonts w:cs="Arial"/>
          <w:bCs/>
          <w:szCs w:val="20"/>
        </w:rPr>
        <w:t xml:space="preserve"> </w:t>
      </w:r>
      <w:r w:rsidR="00C33B50" w:rsidRPr="002147CA">
        <w:rPr>
          <w:rFonts w:cs="Arial"/>
          <w:bCs/>
          <w:szCs w:val="20"/>
        </w:rPr>
        <w:t xml:space="preserve">pak </w:t>
      </w:r>
      <w:r w:rsidR="004D2D28" w:rsidRPr="002147CA">
        <w:rPr>
          <w:rFonts w:cs="Arial"/>
          <w:bCs/>
          <w:szCs w:val="20"/>
        </w:rPr>
        <w:t>1</w:t>
      </w:r>
      <w:r w:rsidR="002147CA" w:rsidRPr="002147CA">
        <w:rPr>
          <w:rFonts w:cs="Arial"/>
          <w:bCs/>
          <w:szCs w:val="20"/>
        </w:rPr>
        <w:t>9</w:t>
      </w:r>
      <w:r w:rsidR="004D2D28" w:rsidRPr="002147CA">
        <w:rPr>
          <w:rFonts w:cs="Arial"/>
          <w:bCs/>
          <w:szCs w:val="20"/>
        </w:rPr>
        <w:t> </w:t>
      </w:r>
      <w:r w:rsidR="002147CA" w:rsidRPr="002147CA">
        <w:rPr>
          <w:rFonts w:cs="Arial"/>
          <w:bCs/>
          <w:szCs w:val="20"/>
        </w:rPr>
        <w:t>273</w:t>
      </w:r>
      <w:r w:rsidR="004D2D28" w:rsidRPr="002147CA">
        <w:rPr>
          <w:rFonts w:cs="Arial"/>
          <w:bCs/>
          <w:szCs w:val="20"/>
        </w:rPr>
        <w:t> Kč,</w:t>
      </w:r>
      <w:r w:rsidR="00C77762" w:rsidRPr="002147CA">
        <w:rPr>
          <w:rFonts w:cs="Arial"/>
          <w:bCs/>
          <w:szCs w:val="20"/>
        </w:rPr>
        <w:t xml:space="preserve"> což představuje mezeru</w:t>
      </w:r>
      <w:r w:rsidR="002147CA" w:rsidRPr="002147CA">
        <w:rPr>
          <w:rFonts w:cs="Arial"/>
          <w:bCs/>
          <w:szCs w:val="20"/>
        </w:rPr>
        <w:t> 9,8</w:t>
      </w:r>
      <w:r w:rsidR="00C33B50" w:rsidRPr="002147CA">
        <w:rPr>
          <w:rFonts w:cs="Arial"/>
          <w:bCs/>
          <w:szCs w:val="20"/>
        </w:rPr>
        <w:t> %</w:t>
      </w:r>
      <w:r w:rsidR="004D2D28" w:rsidRPr="002147CA">
        <w:rPr>
          <w:rFonts w:cs="Arial"/>
          <w:bCs/>
          <w:szCs w:val="20"/>
        </w:rPr>
        <w:t>.</w:t>
      </w:r>
    </w:p>
    <w:p w:rsidR="000E3016" w:rsidRDefault="000E3016" w:rsidP="00B916A5">
      <w:pPr>
        <w:pStyle w:val="Zkladntextodsazen3"/>
        <w:spacing w:after="0" w:line="276" w:lineRule="auto"/>
        <w:ind w:firstLine="0"/>
        <w:rPr>
          <w:bCs/>
          <w:szCs w:val="18"/>
        </w:rPr>
      </w:pPr>
    </w:p>
    <w:p w:rsidR="00FB3593" w:rsidRPr="00883328" w:rsidRDefault="00FB3593" w:rsidP="00B916A5">
      <w:pPr>
        <w:pStyle w:val="Zkladntextodsazen3"/>
        <w:spacing w:after="0" w:line="276" w:lineRule="auto"/>
        <w:ind w:firstLine="0"/>
        <w:rPr>
          <w:bCs/>
          <w:szCs w:val="18"/>
        </w:rPr>
      </w:pPr>
    </w:p>
    <w:p w:rsidR="00B916A5" w:rsidRPr="00883328" w:rsidRDefault="00530C82" w:rsidP="00B916A5">
      <w:pPr>
        <w:rPr>
          <w:b/>
        </w:rPr>
      </w:pPr>
      <w:r w:rsidRPr="00883328">
        <w:rPr>
          <w:b/>
        </w:rPr>
        <w:t>Zpracoval</w:t>
      </w:r>
      <w:r w:rsidR="00B916A5" w:rsidRPr="00883328">
        <w:rPr>
          <w:b/>
        </w:rPr>
        <w:t>: Dalibor Holý</w:t>
      </w:r>
    </w:p>
    <w:p w:rsidR="00B916A5" w:rsidRDefault="00B916A5" w:rsidP="00B916A5">
      <w:r w:rsidRPr="000571A0">
        <w:t>Odbor statistiky trhu práce a rovných příležitostí ČSÚ</w:t>
      </w:r>
    </w:p>
    <w:p w:rsidR="00B916A5" w:rsidRDefault="00B916A5" w:rsidP="00B916A5">
      <w:r>
        <w:t>Tel.: +420 274 052 694</w:t>
      </w:r>
    </w:p>
    <w:p w:rsidR="00851591" w:rsidRPr="00851591" w:rsidRDefault="00B916A5" w:rsidP="00851591">
      <w:r>
        <w:t xml:space="preserve">E-mail: </w:t>
      </w:r>
      <w:hyperlink r:id="rId9" w:history="1">
        <w:r w:rsidRPr="00B23010">
          <w:rPr>
            <w:rStyle w:val="Hypertextovodkaz"/>
          </w:rPr>
          <w:t>dalibor.holy@czso.cz</w:t>
        </w:r>
      </w:hyperlink>
    </w:p>
    <w:sectPr w:rsidR="00851591" w:rsidRPr="00851591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86" w:rsidRDefault="00927A86" w:rsidP="00BA6370">
      <w:r>
        <w:separator/>
      </w:r>
    </w:p>
  </w:endnote>
  <w:endnote w:type="continuationSeparator" w:id="0">
    <w:p w:rsidR="00927A86" w:rsidRDefault="00927A8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37E" w:rsidRDefault="0055637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CCD72A5" wp14:editId="10B3EF9F">
              <wp:simplePos x="0" y="0"/>
              <wp:positionH relativeFrom="page">
                <wp:posOffset>1259840</wp:posOffset>
              </wp:positionH>
              <wp:positionV relativeFrom="page">
                <wp:posOffset>9705975</wp:posOffset>
              </wp:positionV>
              <wp:extent cx="5416550" cy="61849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618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637E" w:rsidRPr="00112B77" w:rsidRDefault="0055637E" w:rsidP="00DE5AE7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55637E" w:rsidRPr="001404AB" w:rsidRDefault="0055637E" w:rsidP="00DE5AE7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55637E" w:rsidRPr="00A81EB3" w:rsidRDefault="0055637E" w:rsidP="00DE5AE7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1D3B73">
                            <w:rPr>
                              <w:rFonts w:cs="Arial"/>
                              <w:noProof/>
                              <w:szCs w:val="15"/>
                            </w:rPr>
                            <w:t>4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CD72A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4.25pt;width:426.5pt;height:48.7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" filled="f" stroked="f">
              <v:textbox inset="0,0,0,0">
                <w:txbxContent>
                  <w:p w:rsidR="0055637E" w:rsidRPr="00112B77" w:rsidRDefault="0055637E" w:rsidP="00DE5AE7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55637E" w:rsidRPr="001404AB" w:rsidRDefault="0055637E" w:rsidP="00DE5AE7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55637E" w:rsidRPr="00A81EB3" w:rsidRDefault="0055637E" w:rsidP="00DE5AE7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1D3B73">
                      <w:rPr>
                        <w:rFonts w:cs="Arial"/>
                        <w:noProof/>
                        <w:szCs w:val="15"/>
                      </w:rPr>
                      <w:t>4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61FC6BC5" wp14:editId="2BBF4992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AD2CEA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86" w:rsidRDefault="00927A86" w:rsidP="00BA6370">
      <w:r>
        <w:separator/>
      </w:r>
    </w:p>
  </w:footnote>
  <w:footnote w:type="continuationSeparator" w:id="0">
    <w:p w:rsidR="00927A86" w:rsidRDefault="00927A8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37E" w:rsidRDefault="0055637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39990DD" wp14:editId="35572BF4">
              <wp:simplePos x="0" y="0"/>
              <wp:positionH relativeFrom="column">
                <wp:posOffset>-900430</wp:posOffset>
              </wp:positionH>
              <wp:positionV relativeFrom="paragraph">
                <wp:posOffset>83185</wp:posOffset>
              </wp:positionV>
              <wp:extent cx="6329045" cy="1045845"/>
              <wp:effectExtent l="4445" t="6985" r="635" b="4445"/>
              <wp:wrapNone/>
              <wp:docPr id="10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7" y="851"/>
                        <a:chExt cx="9967" cy="1647"/>
                      </a:xfrm>
                    </wpg:grpSpPr>
                    <wps:wsp>
                      <wps:cNvPr id="11" name="Rectangle 7"/>
                      <wps:cNvSpPr>
                        <a:spLocks noChangeArrowheads="1"/>
                      </wps:cNvSpPr>
                      <wps:spPr bwMode="auto">
                        <a:xfrm>
                          <a:off x="1215" y="901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8"/>
                      <wps:cNvSpPr>
                        <a:spLocks noChangeArrowheads="1"/>
                      </wps:cNvSpPr>
                      <wps:spPr bwMode="auto">
                        <a:xfrm>
                          <a:off x="567" y="1131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/>
                      </wps:cNvSpPr>
                      <wps:spPr bwMode="auto">
                        <a:xfrm>
                          <a:off x="1288" y="1361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0"/>
                      <wps:cNvSpPr>
                        <a:spLocks noEditPoints="1"/>
                      </wps:cNvSpPr>
                      <wps:spPr bwMode="auto">
                        <a:xfrm>
                          <a:off x="1969" y="1311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1"/>
                      <wps:cNvSpPr>
                        <a:spLocks noEditPoints="1"/>
                      </wps:cNvSpPr>
                      <wps:spPr bwMode="auto">
                        <a:xfrm>
                          <a:off x="1962" y="1081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2"/>
                      <wps:cNvSpPr>
                        <a:spLocks noEditPoints="1"/>
                      </wps:cNvSpPr>
                      <wps:spPr bwMode="auto">
                        <a:xfrm>
                          <a:off x="1962" y="851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3"/>
                      <wps:cNvSpPr>
                        <a:spLocks noChangeArrowheads="1"/>
                      </wps:cNvSpPr>
                      <wps:spPr bwMode="auto">
                        <a:xfrm>
                          <a:off x="1959" y="1930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9BAD21" id="Group 23" o:spid="_x0000_s1026" style="position:absolute;margin-left:-70.9pt;margin-top:6.55pt;width:498.35pt;height:82.35pt;z-index:251654656" coordorigin="567,851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">
              <v:rect id="Rectangle 7" o:spid="_x0000_s1027" style="position:absolute;left:1215;top:901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" fillcolor="#0071bc" stroked="f"/>
              <v:rect id="Rectangle 8" o:spid="_x0000_s1028" style="position:absolute;left:567;top:1131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" fillcolor="#0071bc" stroked="f"/>
              <v:rect id="Rectangle 9" o:spid="_x0000_s1029" style="position:absolute;left:1288;top:1361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" fillcolor="#0071bc" stroked="f"/>
              <v:shape id="Freeform 10" o:spid="_x0000_s1030" style="position:absolute;left:1969;top:1311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2;top:1081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2;top:851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59;top:1930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" fillcolor="#0071bc" stroked="f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C3DF5EC" wp14:editId="2010471D">
              <wp:simplePos x="0" y="0"/>
              <wp:positionH relativeFrom="column">
                <wp:posOffset>818515</wp:posOffset>
              </wp:positionH>
              <wp:positionV relativeFrom="paragraph">
                <wp:posOffset>897890</wp:posOffset>
              </wp:positionV>
              <wp:extent cx="123825" cy="118110"/>
              <wp:effectExtent l="8890" t="2540" r="635" b="3175"/>
              <wp:wrapNone/>
              <wp:docPr id="9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7 w 392"/>
                          <a:gd name="T1" fmla="*/ 116 h 374"/>
                          <a:gd name="T2" fmla="*/ 156 w 392"/>
                          <a:gd name="T3" fmla="*/ 236 h 374"/>
                          <a:gd name="T4" fmla="*/ 237 w 392"/>
                          <a:gd name="T5" fmla="*/ 236 h 374"/>
                          <a:gd name="T6" fmla="*/ 197 w 392"/>
                          <a:gd name="T7" fmla="*/ 116 h 374"/>
                          <a:gd name="T8" fmla="*/ 129 w 392"/>
                          <a:gd name="T9" fmla="*/ 309 h 374"/>
                          <a:gd name="T10" fmla="*/ 102 w 392"/>
                          <a:gd name="T11" fmla="*/ 374 h 374"/>
                          <a:gd name="T12" fmla="*/ 0 w 392"/>
                          <a:gd name="T13" fmla="*/ 374 h 374"/>
                          <a:gd name="T14" fmla="*/ 144 w 392"/>
                          <a:gd name="T15" fmla="*/ 0 h 374"/>
                          <a:gd name="T16" fmla="*/ 251 w 392"/>
                          <a:gd name="T17" fmla="*/ 0 h 374"/>
                          <a:gd name="T18" fmla="*/ 392 w 392"/>
                          <a:gd name="T19" fmla="*/ 374 h 374"/>
                          <a:gd name="T20" fmla="*/ 287 w 392"/>
                          <a:gd name="T21" fmla="*/ 374 h 374"/>
                          <a:gd name="T22" fmla="*/ 263 w 392"/>
                          <a:gd name="T23" fmla="*/ 309 h 374"/>
                          <a:gd name="T24" fmla="*/ 129 w 392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2" h="374">
                            <a:moveTo>
                              <a:pt x="197" y="116"/>
                            </a:moveTo>
                            <a:lnTo>
                              <a:pt x="156" y="236"/>
                            </a:lnTo>
                            <a:lnTo>
                              <a:pt x="237" y="236"/>
                            </a:lnTo>
                            <a:lnTo>
                              <a:pt x="197" y="116"/>
                            </a:lnTo>
                            <a:close/>
                            <a:moveTo>
                              <a:pt x="129" y="309"/>
                            </a:moveTo>
                            <a:lnTo>
                              <a:pt x="102" y="374"/>
                            </a:lnTo>
                            <a:lnTo>
                              <a:pt x="0" y="374"/>
                            </a:lnTo>
                            <a:lnTo>
                              <a:pt x="144" y="0"/>
                            </a:lnTo>
                            <a:lnTo>
                              <a:pt x="251" y="0"/>
                            </a:lnTo>
                            <a:lnTo>
                              <a:pt x="392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9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22EEE0" id="Freeform 20" o:spid="_x0000_s1026" style="position:absolute;margin-left:64.45pt;margin-top:70.7pt;width:9.75pt;height:9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" path="m197,116l156,236r81,l197,116xm129,309r-27,65l,374,144,,251,,392,374r-105,l263,309r-134,xe" stroked="f">
              <v:path arrowok="t" o:connecttype="custom" o:connectlocs="62228,36633;49277,74529;74864,74529;62228,36633;40749,97583;32220,118110;0,118110;45487,0;79286,0;123825,118110;90658,118110;83076,97583;40749,97583" o:connectangles="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B84D810" wp14:editId="22619DF4">
              <wp:simplePos x="0" y="0"/>
              <wp:positionH relativeFrom="column">
                <wp:posOffset>704850</wp:posOffset>
              </wp:positionH>
              <wp:positionV relativeFrom="paragraph">
                <wp:posOffset>897890</wp:posOffset>
              </wp:positionV>
              <wp:extent cx="107950" cy="118110"/>
              <wp:effectExtent l="0" t="2540" r="6350" b="3175"/>
              <wp:wrapNone/>
              <wp:docPr id="8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0" cy="118110"/>
                      </a:xfrm>
                      <a:custGeom>
                        <a:avLst/>
                        <a:gdLst>
                          <a:gd name="T0" fmla="*/ 320 w 340"/>
                          <a:gd name="T1" fmla="*/ 292 h 374"/>
                          <a:gd name="T2" fmla="*/ 320 w 340"/>
                          <a:gd name="T3" fmla="*/ 374 h 374"/>
                          <a:gd name="T4" fmla="*/ 0 w 340"/>
                          <a:gd name="T5" fmla="*/ 374 h 374"/>
                          <a:gd name="T6" fmla="*/ 177 w 340"/>
                          <a:gd name="T7" fmla="*/ 82 h 374"/>
                          <a:gd name="T8" fmla="*/ 30 w 340"/>
                          <a:gd name="T9" fmla="*/ 82 h 374"/>
                          <a:gd name="T10" fmla="*/ 30 w 340"/>
                          <a:gd name="T11" fmla="*/ 0 h 374"/>
                          <a:gd name="T12" fmla="*/ 340 w 340"/>
                          <a:gd name="T13" fmla="*/ 0 h 374"/>
                          <a:gd name="T14" fmla="*/ 163 w 340"/>
                          <a:gd name="T15" fmla="*/ 292 h 374"/>
                          <a:gd name="T16" fmla="*/ 320 w 340"/>
                          <a:gd name="T17" fmla="*/ 292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340" h="374">
                            <a:moveTo>
                              <a:pt x="320" y="292"/>
                            </a:moveTo>
                            <a:lnTo>
                              <a:pt x="320" y="374"/>
                            </a:lnTo>
                            <a:lnTo>
                              <a:pt x="0" y="374"/>
                            </a:lnTo>
                            <a:lnTo>
                              <a:pt x="177" y="82"/>
                            </a:lnTo>
                            <a:lnTo>
                              <a:pt x="30" y="82"/>
                            </a:lnTo>
                            <a:lnTo>
                              <a:pt x="30" y="0"/>
                            </a:lnTo>
                            <a:lnTo>
                              <a:pt x="340" y="0"/>
                            </a:lnTo>
                            <a:lnTo>
                              <a:pt x="163" y="292"/>
                            </a:lnTo>
                            <a:lnTo>
                              <a:pt x="320" y="29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34C86F" id="Freeform 19" o:spid="_x0000_s1026" style="position:absolute;margin-left:55.5pt;margin-top:70.7pt;width:8.5pt;height:9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" path="m320,292r,82l,374,177,82,30,82,30,,340,,163,292r157,xe" stroked="f">
              <v:path arrowok="t" o:connecttype="custom" o:connectlocs="101600,92214;101600,118110;0,118110;56198,25896;9525,25896;9525,0;107950,0;51753,92214;101600,92214" o:connectangles="0,0,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5F55FB4" wp14:editId="01652980">
              <wp:simplePos x="0" y="0"/>
              <wp:positionH relativeFrom="column">
                <wp:posOffset>584200</wp:posOffset>
              </wp:positionH>
              <wp:positionV relativeFrom="paragraph">
                <wp:posOffset>859155</wp:posOffset>
              </wp:positionV>
              <wp:extent cx="118745" cy="156845"/>
              <wp:effectExtent l="3175" t="1905" r="1905" b="3175"/>
              <wp:wrapNone/>
              <wp:docPr id="7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18745" cy="156845"/>
                      </a:xfrm>
                      <a:custGeom>
                        <a:avLst/>
                        <a:gdLst>
                          <a:gd name="T0" fmla="*/ 188 w 374"/>
                          <a:gd name="T1" fmla="*/ 102 h 495"/>
                          <a:gd name="T2" fmla="*/ 154 w 374"/>
                          <a:gd name="T3" fmla="*/ 69 h 495"/>
                          <a:gd name="T4" fmla="*/ 234 w 374"/>
                          <a:gd name="T5" fmla="*/ 0 h 495"/>
                          <a:gd name="T6" fmla="*/ 281 w 374"/>
                          <a:gd name="T7" fmla="*/ 43 h 495"/>
                          <a:gd name="T8" fmla="*/ 188 w 374"/>
                          <a:gd name="T9" fmla="*/ 102 h 495"/>
                          <a:gd name="T10" fmla="*/ 0 w 374"/>
                          <a:gd name="T11" fmla="*/ 121 h 495"/>
                          <a:gd name="T12" fmla="*/ 117 w 374"/>
                          <a:gd name="T13" fmla="*/ 121 h 495"/>
                          <a:gd name="T14" fmla="*/ 187 w 374"/>
                          <a:gd name="T15" fmla="*/ 223 h 495"/>
                          <a:gd name="T16" fmla="*/ 255 w 374"/>
                          <a:gd name="T17" fmla="*/ 121 h 495"/>
                          <a:gd name="T18" fmla="*/ 374 w 374"/>
                          <a:gd name="T19" fmla="*/ 121 h 495"/>
                          <a:gd name="T20" fmla="*/ 233 w 374"/>
                          <a:gd name="T21" fmla="*/ 316 h 495"/>
                          <a:gd name="T22" fmla="*/ 233 w 374"/>
                          <a:gd name="T23" fmla="*/ 495 h 495"/>
                          <a:gd name="T24" fmla="*/ 136 w 374"/>
                          <a:gd name="T25" fmla="*/ 495 h 495"/>
                          <a:gd name="T26" fmla="*/ 136 w 374"/>
                          <a:gd name="T27" fmla="*/ 316 h 495"/>
                          <a:gd name="T28" fmla="*/ 0 w 374"/>
                          <a:gd name="T29" fmla="*/ 121 h 4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374" h="495">
                            <a:moveTo>
                              <a:pt x="188" y="102"/>
                            </a:moveTo>
                            <a:lnTo>
                              <a:pt x="154" y="69"/>
                            </a:lnTo>
                            <a:lnTo>
                              <a:pt x="234" y="0"/>
                            </a:lnTo>
                            <a:lnTo>
                              <a:pt x="281" y="43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0" y="121"/>
                            </a:moveTo>
                            <a:lnTo>
                              <a:pt x="117" y="121"/>
                            </a:lnTo>
                            <a:lnTo>
                              <a:pt x="187" y="223"/>
                            </a:lnTo>
                            <a:lnTo>
                              <a:pt x="255" y="121"/>
                            </a:lnTo>
                            <a:lnTo>
                              <a:pt x="374" y="121"/>
                            </a:lnTo>
                            <a:lnTo>
                              <a:pt x="233" y="316"/>
                            </a:lnTo>
                            <a:lnTo>
                              <a:pt x="233" y="495"/>
                            </a:lnTo>
                            <a:lnTo>
                              <a:pt x="136" y="495"/>
                            </a:lnTo>
                            <a:lnTo>
                              <a:pt x="136" y="316"/>
                            </a:lnTo>
                            <a:lnTo>
                              <a:pt x="0" y="121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0022E5" id="Freeform 18" o:spid="_x0000_s1026" style="position:absolute;margin-left:46pt;margin-top:67.65pt;width:9.35pt;height:1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4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" path="m188,102l154,69,234,r47,43l188,102xm,121r117,l187,223,255,121r119,l233,316r,179l136,495r,-179l,121xe" stroked="f">
              <v:path arrowok="t" o:connecttype="custom" o:connectlocs="59690,32320;48895,21863;74295,0;89218,13625;59690,32320;0,38340;37148,38340;59373,70659;80963,38340;118745,38340;73978,100127;73978,156845;43180,156845;43180,100127;0,38340" o:connectangles="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F5D451" wp14:editId="11DEDF7A">
              <wp:simplePos x="0" y="0"/>
              <wp:positionH relativeFrom="column">
                <wp:posOffset>527685</wp:posOffset>
              </wp:positionH>
              <wp:positionV relativeFrom="paragraph">
                <wp:posOffset>897890</wp:posOffset>
              </wp:positionV>
              <wp:extent cx="67310" cy="118110"/>
              <wp:effectExtent l="3810" t="2540" r="0" b="3175"/>
              <wp:wrapNone/>
              <wp:docPr id="6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310" cy="118110"/>
                      </a:xfrm>
                      <a:custGeom>
                        <a:avLst/>
                        <a:gdLst>
                          <a:gd name="T0" fmla="*/ 97 w 213"/>
                          <a:gd name="T1" fmla="*/ 292 h 374"/>
                          <a:gd name="T2" fmla="*/ 213 w 213"/>
                          <a:gd name="T3" fmla="*/ 292 h 374"/>
                          <a:gd name="T4" fmla="*/ 213 w 213"/>
                          <a:gd name="T5" fmla="*/ 374 h 374"/>
                          <a:gd name="T6" fmla="*/ 0 w 213"/>
                          <a:gd name="T7" fmla="*/ 374 h 374"/>
                          <a:gd name="T8" fmla="*/ 0 w 213"/>
                          <a:gd name="T9" fmla="*/ 0 h 374"/>
                          <a:gd name="T10" fmla="*/ 97 w 213"/>
                          <a:gd name="T11" fmla="*/ 0 h 374"/>
                          <a:gd name="T12" fmla="*/ 97 w 213"/>
                          <a:gd name="T13" fmla="*/ 292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213" h="374">
                            <a:moveTo>
                              <a:pt x="97" y="292"/>
                            </a:moveTo>
                            <a:lnTo>
                              <a:pt x="213" y="292"/>
                            </a:lnTo>
                            <a:lnTo>
                              <a:pt x="213" y="374"/>
                            </a:lnTo>
                            <a:lnTo>
                              <a:pt x="0" y="374"/>
                            </a:lnTo>
                            <a:lnTo>
                              <a:pt x="0" y="0"/>
                            </a:lnTo>
                            <a:lnTo>
                              <a:pt x="97" y="0"/>
                            </a:lnTo>
                            <a:lnTo>
                              <a:pt x="97" y="29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71C372" id="Freeform 17" o:spid="_x0000_s1026" style="position:absolute;margin-left:41.55pt;margin-top:70.7pt;width:5.3pt;height: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" path="m97,292r116,l213,374,,374,,,97,r,292xe" stroked="f">
              <v:path arrowok="t" o:connecttype="custom" o:connectlocs="30653,92214;67310,92214;67310,118110;0,118110;0,0;30653,0;30653,92214" o:connectangles="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300534" wp14:editId="03446EBA">
              <wp:simplePos x="0" y="0"/>
              <wp:positionH relativeFrom="column">
                <wp:posOffset>389890</wp:posOffset>
              </wp:positionH>
              <wp:positionV relativeFrom="paragraph">
                <wp:posOffset>897890</wp:posOffset>
              </wp:positionV>
              <wp:extent cx="123825" cy="118110"/>
              <wp:effectExtent l="8890" t="2540" r="635" b="3175"/>
              <wp:wrapNone/>
              <wp:docPr id="5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6 w 390"/>
                          <a:gd name="T1" fmla="*/ 116 h 374"/>
                          <a:gd name="T2" fmla="*/ 155 w 390"/>
                          <a:gd name="T3" fmla="*/ 236 h 374"/>
                          <a:gd name="T4" fmla="*/ 236 w 390"/>
                          <a:gd name="T5" fmla="*/ 236 h 374"/>
                          <a:gd name="T6" fmla="*/ 196 w 390"/>
                          <a:gd name="T7" fmla="*/ 116 h 374"/>
                          <a:gd name="T8" fmla="*/ 128 w 390"/>
                          <a:gd name="T9" fmla="*/ 309 h 374"/>
                          <a:gd name="T10" fmla="*/ 102 w 390"/>
                          <a:gd name="T11" fmla="*/ 374 h 374"/>
                          <a:gd name="T12" fmla="*/ 0 w 390"/>
                          <a:gd name="T13" fmla="*/ 374 h 374"/>
                          <a:gd name="T14" fmla="*/ 143 w 390"/>
                          <a:gd name="T15" fmla="*/ 0 h 374"/>
                          <a:gd name="T16" fmla="*/ 249 w 390"/>
                          <a:gd name="T17" fmla="*/ 0 h 374"/>
                          <a:gd name="T18" fmla="*/ 390 w 390"/>
                          <a:gd name="T19" fmla="*/ 374 h 374"/>
                          <a:gd name="T20" fmla="*/ 287 w 390"/>
                          <a:gd name="T21" fmla="*/ 374 h 374"/>
                          <a:gd name="T22" fmla="*/ 263 w 390"/>
                          <a:gd name="T23" fmla="*/ 309 h 374"/>
                          <a:gd name="T24" fmla="*/ 128 w 390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0" h="374">
                            <a:moveTo>
                              <a:pt x="196" y="116"/>
                            </a:moveTo>
                            <a:lnTo>
                              <a:pt x="155" y="236"/>
                            </a:lnTo>
                            <a:lnTo>
                              <a:pt x="236" y="236"/>
                            </a:lnTo>
                            <a:lnTo>
                              <a:pt x="196" y="116"/>
                            </a:lnTo>
                            <a:close/>
                            <a:moveTo>
                              <a:pt x="128" y="309"/>
                            </a:moveTo>
                            <a:lnTo>
                              <a:pt x="102" y="374"/>
                            </a:lnTo>
                            <a:lnTo>
                              <a:pt x="0" y="374"/>
                            </a:lnTo>
                            <a:lnTo>
                              <a:pt x="143" y="0"/>
                            </a:lnTo>
                            <a:lnTo>
                              <a:pt x="249" y="0"/>
                            </a:lnTo>
                            <a:lnTo>
                              <a:pt x="390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8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8FA53A" id="Freeform 16" o:spid="_x0000_s1026" style="position:absolute;margin-left:30.7pt;margin-top:70.7pt;width:9.75pt;height: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" path="m196,116l155,236r81,l196,116xm128,309r-26,65l,374,143,,249,,390,374r-103,l263,309r-135,xe" stroked="f">
              <v:path arrowok="t" o:connecttype="custom" o:connectlocs="62230,36633;49213,74529;74930,74529;62230,36633;40640,97583;32385,118110;0,118110;45403,0;79058,0;123825,118110;91123,118110;83503,97583;40640,97583" o:connectangles="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5894B2" wp14:editId="284D5EED">
              <wp:simplePos x="0" y="0"/>
              <wp:positionH relativeFrom="column">
                <wp:posOffset>257175</wp:posOffset>
              </wp:positionH>
              <wp:positionV relativeFrom="paragraph">
                <wp:posOffset>897890</wp:posOffset>
              </wp:positionV>
              <wp:extent cx="118745" cy="118110"/>
              <wp:effectExtent l="0" t="2540" r="5080" b="3175"/>
              <wp:wrapNone/>
              <wp:docPr id="4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8745" cy="118110"/>
                      </a:xfrm>
                      <a:custGeom>
                        <a:avLst/>
                        <a:gdLst>
                          <a:gd name="T0" fmla="*/ 0 w 373"/>
                          <a:gd name="T1" fmla="*/ 0 h 374"/>
                          <a:gd name="T2" fmla="*/ 97 w 373"/>
                          <a:gd name="T3" fmla="*/ 0 h 374"/>
                          <a:gd name="T4" fmla="*/ 276 w 373"/>
                          <a:gd name="T5" fmla="*/ 229 h 374"/>
                          <a:gd name="T6" fmla="*/ 276 w 373"/>
                          <a:gd name="T7" fmla="*/ 0 h 374"/>
                          <a:gd name="T8" fmla="*/ 373 w 373"/>
                          <a:gd name="T9" fmla="*/ 0 h 374"/>
                          <a:gd name="T10" fmla="*/ 373 w 373"/>
                          <a:gd name="T11" fmla="*/ 374 h 374"/>
                          <a:gd name="T12" fmla="*/ 276 w 373"/>
                          <a:gd name="T13" fmla="*/ 374 h 374"/>
                          <a:gd name="T14" fmla="*/ 97 w 373"/>
                          <a:gd name="T15" fmla="*/ 146 h 374"/>
                          <a:gd name="T16" fmla="*/ 97 w 373"/>
                          <a:gd name="T17" fmla="*/ 374 h 374"/>
                          <a:gd name="T18" fmla="*/ 0 w 373"/>
                          <a:gd name="T19" fmla="*/ 374 h 374"/>
                          <a:gd name="T20" fmla="*/ 0 w 373"/>
                          <a:gd name="T21" fmla="*/ 0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373" h="374">
                            <a:moveTo>
                              <a:pt x="0" y="0"/>
                            </a:moveTo>
                            <a:lnTo>
                              <a:pt x="97" y="0"/>
                            </a:lnTo>
                            <a:lnTo>
                              <a:pt x="276" y="229"/>
                            </a:lnTo>
                            <a:lnTo>
                              <a:pt x="276" y="0"/>
                            </a:lnTo>
                            <a:lnTo>
                              <a:pt x="373" y="0"/>
                            </a:lnTo>
                            <a:lnTo>
                              <a:pt x="373" y="374"/>
                            </a:lnTo>
                            <a:lnTo>
                              <a:pt x="276" y="374"/>
                            </a:lnTo>
                            <a:lnTo>
                              <a:pt x="97" y="146"/>
                            </a:lnTo>
                            <a:lnTo>
                              <a:pt x="97" y="374"/>
                            </a:lnTo>
                            <a:lnTo>
                              <a:pt x="0" y="37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F47622" id="Freeform 15" o:spid="_x0000_s1026" style="position:absolute;margin-left:20.25pt;margin-top:70.7pt;width:9.35pt;height: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" path="m,l97,,276,229,276,r97,l373,374r-97,l97,146r,228l,374,,xe" stroked="f">
              <v:path arrowok="t" o:connecttype="custom" o:connectlocs="0,0;30880,0;87865,72319;87865,0;118745,0;118745,118110;87865,118110;30880,46107;30880,118110;0,118110;0,0" o:connectangles="0,0,0,0,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B3F6C69" wp14:editId="0B2EC879">
              <wp:simplePos x="0" y="0"/>
              <wp:positionH relativeFrom="column">
                <wp:posOffset>120015</wp:posOffset>
              </wp:positionH>
              <wp:positionV relativeFrom="paragraph">
                <wp:posOffset>897890</wp:posOffset>
              </wp:positionV>
              <wp:extent cx="123825" cy="118110"/>
              <wp:effectExtent l="5715" t="2540" r="3810" b="3175"/>
              <wp:wrapNone/>
              <wp:docPr id="3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7 w 391"/>
                          <a:gd name="T1" fmla="*/ 116 h 374"/>
                          <a:gd name="T2" fmla="*/ 156 w 391"/>
                          <a:gd name="T3" fmla="*/ 236 h 374"/>
                          <a:gd name="T4" fmla="*/ 237 w 391"/>
                          <a:gd name="T5" fmla="*/ 236 h 374"/>
                          <a:gd name="T6" fmla="*/ 197 w 391"/>
                          <a:gd name="T7" fmla="*/ 116 h 374"/>
                          <a:gd name="T8" fmla="*/ 128 w 391"/>
                          <a:gd name="T9" fmla="*/ 309 h 374"/>
                          <a:gd name="T10" fmla="*/ 104 w 391"/>
                          <a:gd name="T11" fmla="*/ 374 h 374"/>
                          <a:gd name="T12" fmla="*/ 0 w 391"/>
                          <a:gd name="T13" fmla="*/ 374 h 374"/>
                          <a:gd name="T14" fmla="*/ 143 w 391"/>
                          <a:gd name="T15" fmla="*/ 0 h 374"/>
                          <a:gd name="T16" fmla="*/ 251 w 391"/>
                          <a:gd name="T17" fmla="*/ 0 h 374"/>
                          <a:gd name="T18" fmla="*/ 391 w 391"/>
                          <a:gd name="T19" fmla="*/ 374 h 374"/>
                          <a:gd name="T20" fmla="*/ 287 w 391"/>
                          <a:gd name="T21" fmla="*/ 374 h 374"/>
                          <a:gd name="T22" fmla="*/ 263 w 391"/>
                          <a:gd name="T23" fmla="*/ 309 h 374"/>
                          <a:gd name="T24" fmla="*/ 128 w 391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1" h="374">
                            <a:moveTo>
                              <a:pt x="197" y="116"/>
                            </a:moveTo>
                            <a:lnTo>
                              <a:pt x="156" y="236"/>
                            </a:lnTo>
                            <a:lnTo>
                              <a:pt x="237" y="236"/>
                            </a:lnTo>
                            <a:lnTo>
                              <a:pt x="197" y="116"/>
                            </a:lnTo>
                            <a:close/>
                            <a:moveTo>
                              <a:pt x="128" y="309"/>
                            </a:moveTo>
                            <a:lnTo>
                              <a:pt x="104" y="374"/>
                            </a:lnTo>
                            <a:lnTo>
                              <a:pt x="0" y="374"/>
                            </a:lnTo>
                            <a:lnTo>
                              <a:pt x="143" y="0"/>
                            </a:lnTo>
                            <a:lnTo>
                              <a:pt x="251" y="0"/>
                            </a:lnTo>
                            <a:lnTo>
                              <a:pt x="391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8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49DBB6" id="Freeform 14" o:spid="_x0000_s1026" style="position:absolute;margin-left:9.45pt;margin-top:70.7pt;width:9.75pt;height: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1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" path="m197,116l156,236r81,l197,116xm128,309r-24,65l,374,143,,251,,391,374r-104,l263,309r-135,xe" stroked="f">
              <v:path arrowok="t" o:connecttype="custom" o:connectlocs="62388,36633;49403,74529;75055,74529;62388,36633;40536,97583;32936,118110;0,118110;45286,0;79489,0;123825,118110;90889,118110;83289,97583;40536,97583" o:connectangles="0,0,0,0,0,0,0,0,0,0,0,0,0"/>
              <o:lock v:ext="edit" verticies="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96"/>
    <w:rsid w:val="00005752"/>
    <w:rsid w:val="00005C52"/>
    <w:rsid w:val="0001777C"/>
    <w:rsid w:val="00022C3D"/>
    <w:rsid w:val="00024642"/>
    <w:rsid w:val="0002499F"/>
    <w:rsid w:val="00026BB9"/>
    <w:rsid w:val="000313A8"/>
    <w:rsid w:val="00032252"/>
    <w:rsid w:val="000372CD"/>
    <w:rsid w:val="00042A95"/>
    <w:rsid w:val="00043BF4"/>
    <w:rsid w:val="0004775E"/>
    <w:rsid w:val="00052AEE"/>
    <w:rsid w:val="00056777"/>
    <w:rsid w:val="00060E79"/>
    <w:rsid w:val="000662E3"/>
    <w:rsid w:val="000674D3"/>
    <w:rsid w:val="000678C1"/>
    <w:rsid w:val="00070C63"/>
    <w:rsid w:val="00072E26"/>
    <w:rsid w:val="00073C56"/>
    <w:rsid w:val="00074ED5"/>
    <w:rsid w:val="00075E49"/>
    <w:rsid w:val="000760F8"/>
    <w:rsid w:val="00080817"/>
    <w:rsid w:val="000814DA"/>
    <w:rsid w:val="000843A5"/>
    <w:rsid w:val="00087D52"/>
    <w:rsid w:val="00092D5F"/>
    <w:rsid w:val="00095137"/>
    <w:rsid w:val="000964AC"/>
    <w:rsid w:val="000A16F4"/>
    <w:rsid w:val="000A378F"/>
    <w:rsid w:val="000A6B8F"/>
    <w:rsid w:val="000A6D78"/>
    <w:rsid w:val="000A6FD6"/>
    <w:rsid w:val="000B0F8A"/>
    <w:rsid w:val="000B1896"/>
    <w:rsid w:val="000B3269"/>
    <w:rsid w:val="000B5922"/>
    <w:rsid w:val="000B6F63"/>
    <w:rsid w:val="000C1B32"/>
    <w:rsid w:val="000C7712"/>
    <w:rsid w:val="000C7C8E"/>
    <w:rsid w:val="000D15D1"/>
    <w:rsid w:val="000D568D"/>
    <w:rsid w:val="000D623B"/>
    <w:rsid w:val="000D7761"/>
    <w:rsid w:val="000E1A1A"/>
    <w:rsid w:val="000E3016"/>
    <w:rsid w:val="000E5FD8"/>
    <w:rsid w:val="000F1430"/>
    <w:rsid w:val="000F396B"/>
    <w:rsid w:val="000F55B1"/>
    <w:rsid w:val="000F5B28"/>
    <w:rsid w:val="000F5E93"/>
    <w:rsid w:val="0010370F"/>
    <w:rsid w:val="00106F20"/>
    <w:rsid w:val="00111592"/>
    <w:rsid w:val="00113B61"/>
    <w:rsid w:val="00113D4A"/>
    <w:rsid w:val="00114078"/>
    <w:rsid w:val="00116122"/>
    <w:rsid w:val="00120B9B"/>
    <w:rsid w:val="00120C5C"/>
    <w:rsid w:val="001231F4"/>
    <w:rsid w:val="00123EBC"/>
    <w:rsid w:val="00127216"/>
    <w:rsid w:val="00135678"/>
    <w:rsid w:val="001404AB"/>
    <w:rsid w:val="0014288F"/>
    <w:rsid w:val="00152B62"/>
    <w:rsid w:val="0015581B"/>
    <w:rsid w:val="001564FD"/>
    <w:rsid w:val="001572B0"/>
    <w:rsid w:val="001633E9"/>
    <w:rsid w:val="00163C63"/>
    <w:rsid w:val="001658A9"/>
    <w:rsid w:val="00166977"/>
    <w:rsid w:val="0016750F"/>
    <w:rsid w:val="00171855"/>
    <w:rsid w:val="00171B86"/>
    <w:rsid w:val="00171F3B"/>
    <w:rsid w:val="001720D5"/>
    <w:rsid w:val="0017231D"/>
    <w:rsid w:val="001726A5"/>
    <w:rsid w:val="00173FB8"/>
    <w:rsid w:val="00175ABA"/>
    <w:rsid w:val="00176100"/>
    <w:rsid w:val="00176C4A"/>
    <w:rsid w:val="00176EA1"/>
    <w:rsid w:val="001810DC"/>
    <w:rsid w:val="00181109"/>
    <w:rsid w:val="001818FF"/>
    <w:rsid w:val="0018737F"/>
    <w:rsid w:val="00190B24"/>
    <w:rsid w:val="0019165C"/>
    <w:rsid w:val="0019283C"/>
    <w:rsid w:val="00192AD9"/>
    <w:rsid w:val="001931FC"/>
    <w:rsid w:val="00193D7F"/>
    <w:rsid w:val="00194FD8"/>
    <w:rsid w:val="00196300"/>
    <w:rsid w:val="001A50FE"/>
    <w:rsid w:val="001A59BF"/>
    <w:rsid w:val="001A5D90"/>
    <w:rsid w:val="001B0BEE"/>
    <w:rsid w:val="001B1388"/>
    <w:rsid w:val="001B1C3B"/>
    <w:rsid w:val="001B36AE"/>
    <w:rsid w:val="001B607F"/>
    <w:rsid w:val="001C0219"/>
    <w:rsid w:val="001C044D"/>
    <w:rsid w:val="001C11C2"/>
    <w:rsid w:val="001C1FA1"/>
    <w:rsid w:val="001C5FD3"/>
    <w:rsid w:val="001D0BC3"/>
    <w:rsid w:val="001D2496"/>
    <w:rsid w:val="001D3086"/>
    <w:rsid w:val="001D369A"/>
    <w:rsid w:val="001D3B73"/>
    <w:rsid w:val="001D4669"/>
    <w:rsid w:val="001D599A"/>
    <w:rsid w:val="001D5F56"/>
    <w:rsid w:val="001D6131"/>
    <w:rsid w:val="001D7F8F"/>
    <w:rsid w:val="001E0CD3"/>
    <w:rsid w:val="001E1C92"/>
    <w:rsid w:val="001E3C31"/>
    <w:rsid w:val="001E5428"/>
    <w:rsid w:val="001E5DE1"/>
    <w:rsid w:val="001F2604"/>
    <w:rsid w:val="001F3209"/>
    <w:rsid w:val="001F62AE"/>
    <w:rsid w:val="001F6C45"/>
    <w:rsid w:val="00201DF2"/>
    <w:rsid w:val="002070FB"/>
    <w:rsid w:val="00207F9C"/>
    <w:rsid w:val="00213729"/>
    <w:rsid w:val="00214581"/>
    <w:rsid w:val="002147CA"/>
    <w:rsid w:val="002232A3"/>
    <w:rsid w:val="002254DF"/>
    <w:rsid w:val="00225BAE"/>
    <w:rsid w:val="00234657"/>
    <w:rsid w:val="00237CA2"/>
    <w:rsid w:val="0024036E"/>
    <w:rsid w:val="002406FA"/>
    <w:rsid w:val="00240F9B"/>
    <w:rsid w:val="002469E3"/>
    <w:rsid w:val="0024724C"/>
    <w:rsid w:val="002516F2"/>
    <w:rsid w:val="00251837"/>
    <w:rsid w:val="00253153"/>
    <w:rsid w:val="002568BA"/>
    <w:rsid w:val="0026143C"/>
    <w:rsid w:val="00261C50"/>
    <w:rsid w:val="00266B76"/>
    <w:rsid w:val="002753A1"/>
    <w:rsid w:val="00275EB4"/>
    <w:rsid w:val="002844A8"/>
    <w:rsid w:val="00285DF5"/>
    <w:rsid w:val="002877ED"/>
    <w:rsid w:val="00294356"/>
    <w:rsid w:val="00297371"/>
    <w:rsid w:val="002A0F5B"/>
    <w:rsid w:val="002A58FE"/>
    <w:rsid w:val="002A6084"/>
    <w:rsid w:val="002A61D3"/>
    <w:rsid w:val="002A6EC2"/>
    <w:rsid w:val="002B0595"/>
    <w:rsid w:val="002B2E47"/>
    <w:rsid w:val="002B3A46"/>
    <w:rsid w:val="002B3DCF"/>
    <w:rsid w:val="002B3F4E"/>
    <w:rsid w:val="002B44AE"/>
    <w:rsid w:val="002C3FBD"/>
    <w:rsid w:val="002C5EA1"/>
    <w:rsid w:val="002D2173"/>
    <w:rsid w:val="002D371C"/>
    <w:rsid w:val="002D4C6B"/>
    <w:rsid w:val="002D6A6C"/>
    <w:rsid w:val="002D709A"/>
    <w:rsid w:val="002D73FB"/>
    <w:rsid w:val="002E08E5"/>
    <w:rsid w:val="002E6105"/>
    <w:rsid w:val="002F0FCA"/>
    <w:rsid w:val="002F76D6"/>
    <w:rsid w:val="002F7D22"/>
    <w:rsid w:val="003007F6"/>
    <w:rsid w:val="00300A00"/>
    <w:rsid w:val="003074EB"/>
    <w:rsid w:val="003125D4"/>
    <w:rsid w:val="00314A46"/>
    <w:rsid w:val="00314C58"/>
    <w:rsid w:val="003211FC"/>
    <w:rsid w:val="00321CB0"/>
    <w:rsid w:val="00324407"/>
    <w:rsid w:val="003254CF"/>
    <w:rsid w:val="003263A3"/>
    <w:rsid w:val="003301A3"/>
    <w:rsid w:val="00333139"/>
    <w:rsid w:val="0035074C"/>
    <w:rsid w:val="0035080D"/>
    <w:rsid w:val="003517C4"/>
    <w:rsid w:val="00360D7A"/>
    <w:rsid w:val="0036189C"/>
    <w:rsid w:val="003651F6"/>
    <w:rsid w:val="00365467"/>
    <w:rsid w:val="0036777B"/>
    <w:rsid w:val="0037004C"/>
    <w:rsid w:val="00372A6D"/>
    <w:rsid w:val="00377FA7"/>
    <w:rsid w:val="00380F11"/>
    <w:rsid w:val="0038282A"/>
    <w:rsid w:val="00386976"/>
    <w:rsid w:val="0039083A"/>
    <w:rsid w:val="0039575D"/>
    <w:rsid w:val="00397580"/>
    <w:rsid w:val="00397650"/>
    <w:rsid w:val="003A1794"/>
    <w:rsid w:val="003A17D7"/>
    <w:rsid w:val="003A45C8"/>
    <w:rsid w:val="003A668C"/>
    <w:rsid w:val="003A6A1E"/>
    <w:rsid w:val="003A7519"/>
    <w:rsid w:val="003A7B82"/>
    <w:rsid w:val="003B0084"/>
    <w:rsid w:val="003B16E5"/>
    <w:rsid w:val="003B5B7F"/>
    <w:rsid w:val="003C2CDD"/>
    <w:rsid w:val="003C2DCF"/>
    <w:rsid w:val="003C7FE7"/>
    <w:rsid w:val="003D0499"/>
    <w:rsid w:val="003D2097"/>
    <w:rsid w:val="003D5EB8"/>
    <w:rsid w:val="003E13CE"/>
    <w:rsid w:val="003E2665"/>
    <w:rsid w:val="003E475E"/>
    <w:rsid w:val="003E50F7"/>
    <w:rsid w:val="003F526A"/>
    <w:rsid w:val="0040200B"/>
    <w:rsid w:val="00402229"/>
    <w:rsid w:val="00405244"/>
    <w:rsid w:val="0040769C"/>
    <w:rsid w:val="00411D97"/>
    <w:rsid w:val="004219F4"/>
    <w:rsid w:val="0042238D"/>
    <w:rsid w:val="00424419"/>
    <w:rsid w:val="004275FA"/>
    <w:rsid w:val="004349D6"/>
    <w:rsid w:val="00442F57"/>
    <w:rsid w:val="004436EE"/>
    <w:rsid w:val="00445A1A"/>
    <w:rsid w:val="00453ECB"/>
    <w:rsid w:val="00454758"/>
    <w:rsid w:val="004548AF"/>
    <w:rsid w:val="0045547F"/>
    <w:rsid w:val="00461AA0"/>
    <w:rsid w:val="00463488"/>
    <w:rsid w:val="00472FC7"/>
    <w:rsid w:val="0047324A"/>
    <w:rsid w:val="00474B2B"/>
    <w:rsid w:val="004757BC"/>
    <w:rsid w:val="00476117"/>
    <w:rsid w:val="0047747B"/>
    <w:rsid w:val="004850AB"/>
    <w:rsid w:val="004865EE"/>
    <w:rsid w:val="0048768A"/>
    <w:rsid w:val="004920AD"/>
    <w:rsid w:val="00496C54"/>
    <w:rsid w:val="004A3228"/>
    <w:rsid w:val="004A5E94"/>
    <w:rsid w:val="004A67D2"/>
    <w:rsid w:val="004A7A70"/>
    <w:rsid w:val="004B201A"/>
    <w:rsid w:val="004B63A9"/>
    <w:rsid w:val="004C6C0B"/>
    <w:rsid w:val="004D05B3"/>
    <w:rsid w:val="004D138A"/>
    <w:rsid w:val="004D2D28"/>
    <w:rsid w:val="004E0E44"/>
    <w:rsid w:val="004E381A"/>
    <w:rsid w:val="004E4195"/>
    <w:rsid w:val="004E479E"/>
    <w:rsid w:val="004E76A1"/>
    <w:rsid w:val="004E7840"/>
    <w:rsid w:val="004F11E6"/>
    <w:rsid w:val="004F2D05"/>
    <w:rsid w:val="004F78E6"/>
    <w:rsid w:val="00504882"/>
    <w:rsid w:val="00505017"/>
    <w:rsid w:val="0050573D"/>
    <w:rsid w:val="00512A95"/>
    <w:rsid w:val="00512D99"/>
    <w:rsid w:val="00513E28"/>
    <w:rsid w:val="00514275"/>
    <w:rsid w:val="005148FB"/>
    <w:rsid w:val="00516BE1"/>
    <w:rsid w:val="0052028E"/>
    <w:rsid w:val="005209E1"/>
    <w:rsid w:val="0052268C"/>
    <w:rsid w:val="00526DAD"/>
    <w:rsid w:val="00530C82"/>
    <w:rsid w:val="00531DBB"/>
    <w:rsid w:val="005320B3"/>
    <w:rsid w:val="00533A0A"/>
    <w:rsid w:val="005377F1"/>
    <w:rsid w:val="00544024"/>
    <w:rsid w:val="00544100"/>
    <w:rsid w:val="00544B6D"/>
    <w:rsid w:val="00545A48"/>
    <w:rsid w:val="005476CB"/>
    <w:rsid w:val="00553DAA"/>
    <w:rsid w:val="00554A81"/>
    <w:rsid w:val="00554CD4"/>
    <w:rsid w:val="00555EA3"/>
    <w:rsid w:val="0055637E"/>
    <w:rsid w:val="00557E1E"/>
    <w:rsid w:val="00560FB5"/>
    <w:rsid w:val="00562EAD"/>
    <w:rsid w:val="005646B3"/>
    <w:rsid w:val="005717B6"/>
    <w:rsid w:val="00573F6B"/>
    <w:rsid w:val="00576430"/>
    <w:rsid w:val="00577EF6"/>
    <w:rsid w:val="005838C0"/>
    <w:rsid w:val="005858FC"/>
    <w:rsid w:val="005905BF"/>
    <w:rsid w:val="00592F60"/>
    <w:rsid w:val="00595963"/>
    <w:rsid w:val="005A2588"/>
    <w:rsid w:val="005A3201"/>
    <w:rsid w:val="005A3C49"/>
    <w:rsid w:val="005A793F"/>
    <w:rsid w:val="005B0B68"/>
    <w:rsid w:val="005B11C4"/>
    <w:rsid w:val="005B5924"/>
    <w:rsid w:val="005C2BEF"/>
    <w:rsid w:val="005C4569"/>
    <w:rsid w:val="005D0C38"/>
    <w:rsid w:val="005D46EA"/>
    <w:rsid w:val="005D4E42"/>
    <w:rsid w:val="005E3C0F"/>
    <w:rsid w:val="005E3DF1"/>
    <w:rsid w:val="005E7033"/>
    <w:rsid w:val="005F699D"/>
    <w:rsid w:val="005F79FB"/>
    <w:rsid w:val="00604406"/>
    <w:rsid w:val="00605F00"/>
    <w:rsid w:val="00605F4A"/>
    <w:rsid w:val="00607822"/>
    <w:rsid w:val="006103AA"/>
    <w:rsid w:val="00613BBF"/>
    <w:rsid w:val="00613E3F"/>
    <w:rsid w:val="006163D7"/>
    <w:rsid w:val="006215C8"/>
    <w:rsid w:val="00622503"/>
    <w:rsid w:val="00622B80"/>
    <w:rsid w:val="006231DA"/>
    <w:rsid w:val="006234D0"/>
    <w:rsid w:val="00626F68"/>
    <w:rsid w:val="00630748"/>
    <w:rsid w:val="006308CB"/>
    <w:rsid w:val="00631A18"/>
    <w:rsid w:val="00635BA7"/>
    <w:rsid w:val="006360B2"/>
    <w:rsid w:val="006406B2"/>
    <w:rsid w:val="0064139A"/>
    <w:rsid w:val="00646500"/>
    <w:rsid w:val="00651495"/>
    <w:rsid w:val="00654E58"/>
    <w:rsid w:val="00657A7D"/>
    <w:rsid w:val="0066431D"/>
    <w:rsid w:val="00665F02"/>
    <w:rsid w:val="00666D52"/>
    <w:rsid w:val="006711F7"/>
    <w:rsid w:val="0067180E"/>
    <w:rsid w:val="006774B1"/>
    <w:rsid w:val="00681125"/>
    <w:rsid w:val="006830F9"/>
    <w:rsid w:val="00683F5D"/>
    <w:rsid w:val="00690D40"/>
    <w:rsid w:val="006945CB"/>
    <w:rsid w:val="006A1675"/>
    <w:rsid w:val="006A78E3"/>
    <w:rsid w:val="006C02FC"/>
    <w:rsid w:val="006C09DD"/>
    <w:rsid w:val="006C6BD3"/>
    <w:rsid w:val="006E024F"/>
    <w:rsid w:val="006E24B6"/>
    <w:rsid w:val="006E4E81"/>
    <w:rsid w:val="006E6A3A"/>
    <w:rsid w:val="006F4A57"/>
    <w:rsid w:val="0070073E"/>
    <w:rsid w:val="00700F88"/>
    <w:rsid w:val="00703AD2"/>
    <w:rsid w:val="00707937"/>
    <w:rsid w:val="00707F7D"/>
    <w:rsid w:val="00711140"/>
    <w:rsid w:val="007119F7"/>
    <w:rsid w:val="007135FD"/>
    <w:rsid w:val="00717815"/>
    <w:rsid w:val="00717A9E"/>
    <w:rsid w:val="00717EC5"/>
    <w:rsid w:val="0072378B"/>
    <w:rsid w:val="00726A9F"/>
    <w:rsid w:val="00730896"/>
    <w:rsid w:val="007317E0"/>
    <w:rsid w:val="00731F58"/>
    <w:rsid w:val="00737182"/>
    <w:rsid w:val="00737582"/>
    <w:rsid w:val="007375BD"/>
    <w:rsid w:val="00737B80"/>
    <w:rsid w:val="00740AD3"/>
    <w:rsid w:val="00741BE7"/>
    <w:rsid w:val="00741EDF"/>
    <w:rsid w:val="00744DF2"/>
    <w:rsid w:val="00745D85"/>
    <w:rsid w:val="00746F4F"/>
    <w:rsid w:val="00747301"/>
    <w:rsid w:val="00752005"/>
    <w:rsid w:val="00752816"/>
    <w:rsid w:val="00753176"/>
    <w:rsid w:val="0075388B"/>
    <w:rsid w:val="00755179"/>
    <w:rsid w:val="00757201"/>
    <w:rsid w:val="0076776A"/>
    <w:rsid w:val="00770944"/>
    <w:rsid w:val="007723E2"/>
    <w:rsid w:val="00774D5A"/>
    <w:rsid w:val="00775F05"/>
    <w:rsid w:val="007765CC"/>
    <w:rsid w:val="00780D19"/>
    <w:rsid w:val="00781051"/>
    <w:rsid w:val="00782168"/>
    <w:rsid w:val="00783434"/>
    <w:rsid w:val="007837CF"/>
    <w:rsid w:val="00790012"/>
    <w:rsid w:val="0079207F"/>
    <w:rsid w:val="00793368"/>
    <w:rsid w:val="00793461"/>
    <w:rsid w:val="00795396"/>
    <w:rsid w:val="007955FA"/>
    <w:rsid w:val="00796A3F"/>
    <w:rsid w:val="00797788"/>
    <w:rsid w:val="007A3658"/>
    <w:rsid w:val="007A3E1D"/>
    <w:rsid w:val="007A4923"/>
    <w:rsid w:val="007A4BED"/>
    <w:rsid w:val="007A57F2"/>
    <w:rsid w:val="007A6DF8"/>
    <w:rsid w:val="007B1333"/>
    <w:rsid w:val="007B4288"/>
    <w:rsid w:val="007B63BA"/>
    <w:rsid w:val="007B6E77"/>
    <w:rsid w:val="007C168F"/>
    <w:rsid w:val="007C1D9D"/>
    <w:rsid w:val="007C7F72"/>
    <w:rsid w:val="007D1EEE"/>
    <w:rsid w:val="007D2099"/>
    <w:rsid w:val="007E21E2"/>
    <w:rsid w:val="007E23A3"/>
    <w:rsid w:val="007E39CF"/>
    <w:rsid w:val="007F4AEB"/>
    <w:rsid w:val="007F54F7"/>
    <w:rsid w:val="007F5985"/>
    <w:rsid w:val="007F60D6"/>
    <w:rsid w:val="007F75B2"/>
    <w:rsid w:val="007F7E36"/>
    <w:rsid w:val="00801597"/>
    <w:rsid w:val="00803DB5"/>
    <w:rsid w:val="008043C4"/>
    <w:rsid w:val="00804BCE"/>
    <w:rsid w:val="0080782F"/>
    <w:rsid w:val="0081029A"/>
    <w:rsid w:val="008121E0"/>
    <w:rsid w:val="00813EDB"/>
    <w:rsid w:val="008147BE"/>
    <w:rsid w:val="00815588"/>
    <w:rsid w:val="0082296D"/>
    <w:rsid w:val="00826882"/>
    <w:rsid w:val="008268D8"/>
    <w:rsid w:val="008274BC"/>
    <w:rsid w:val="00830309"/>
    <w:rsid w:val="00831B1B"/>
    <w:rsid w:val="00840BAF"/>
    <w:rsid w:val="00841176"/>
    <w:rsid w:val="00843871"/>
    <w:rsid w:val="00847E00"/>
    <w:rsid w:val="00851591"/>
    <w:rsid w:val="00852EEA"/>
    <w:rsid w:val="00853B5E"/>
    <w:rsid w:val="0085491F"/>
    <w:rsid w:val="00856711"/>
    <w:rsid w:val="00860340"/>
    <w:rsid w:val="00861D0E"/>
    <w:rsid w:val="00862302"/>
    <w:rsid w:val="00862413"/>
    <w:rsid w:val="00862C7B"/>
    <w:rsid w:val="0086413A"/>
    <w:rsid w:val="00867569"/>
    <w:rsid w:val="008731CD"/>
    <w:rsid w:val="00874E7B"/>
    <w:rsid w:val="00877328"/>
    <w:rsid w:val="0088095D"/>
    <w:rsid w:val="00883328"/>
    <w:rsid w:val="00890A3E"/>
    <w:rsid w:val="008949DC"/>
    <w:rsid w:val="00895512"/>
    <w:rsid w:val="008A18A9"/>
    <w:rsid w:val="008A4D0D"/>
    <w:rsid w:val="008A750A"/>
    <w:rsid w:val="008A7B50"/>
    <w:rsid w:val="008B6CB7"/>
    <w:rsid w:val="008B707F"/>
    <w:rsid w:val="008B7B53"/>
    <w:rsid w:val="008C02E8"/>
    <w:rsid w:val="008C1705"/>
    <w:rsid w:val="008C1ADD"/>
    <w:rsid w:val="008C2124"/>
    <w:rsid w:val="008C384C"/>
    <w:rsid w:val="008C6453"/>
    <w:rsid w:val="008D0F11"/>
    <w:rsid w:val="008D204E"/>
    <w:rsid w:val="008D70D5"/>
    <w:rsid w:val="008E48CC"/>
    <w:rsid w:val="008E5EA6"/>
    <w:rsid w:val="008E6DDA"/>
    <w:rsid w:val="008E7532"/>
    <w:rsid w:val="008E7769"/>
    <w:rsid w:val="008F1145"/>
    <w:rsid w:val="008F3C72"/>
    <w:rsid w:val="008F4122"/>
    <w:rsid w:val="008F501B"/>
    <w:rsid w:val="008F599A"/>
    <w:rsid w:val="008F73B4"/>
    <w:rsid w:val="008F7D87"/>
    <w:rsid w:val="00902712"/>
    <w:rsid w:val="00903277"/>
    <w:rsid w:val="009058B9"/>
    <w:rsid w:val="00907142"/>
    <w:rsid w:val="0090741A"/>
    <w:rsid w:val="009135AE"/>
    <w:rsid w:val="00915E31"/>
    <w:rsid w:val="0091694E"/>
    <w:rsid w:val="00917C55"/>
    <w:rsid w:val="009200F3"/>
    <w:rsid w:val="00926E7A"/>
    <w:rsid w:val="0092763E"/>
    <w:rsid w:val="00927A86"/>
    <w:rsid w:val="00931A52"/>
    <w:rsid w:val="00936E49"/>
    <w:rsid w:val="009375B7"/>
    <w:rsid w:val="00940EE5"/>
    <w:rsid w:val="0094379D"/>
    <w:rsid w:val="00943867"/>
    <w:rsid w:val="00952DF3"/>
    <w:rsid w:val="0095737C"/>
    <w:rsid w:val="00963388"/>
    <w:rsid w:val="00965635"/>
    <w:rsid w:val="00965D3C"/>
    <w:rsid w:val="009729F2"/>
    <w:rsid w:val="00972E51"/>
    <w:rsid w:val="00982533"/>
    <w:rsid w:val="00984F3D"/>
    <w:rsid w:val="00991E4B"/>
    <w:rsid w:val="00994FD3"/>
    <w:rsid w:val="0099591C"/>
    <w:rsid w:val="00997B27"/>
    <w:rsid w:val="009A2D6B"/>
    <w:rsid w:val="009A68AE"/>
    <w:rsid w:val="009B55B1"/>
    <w:rsid w:val="009C1C2B"/>
    <w:rsid w:val="009C2107"/>
    <w:rsid w:val="009C36B8"/>
    <w:rsid w:val="009D0D18"/>
    <w:rsid w:val="009D1D6F"/>
    <w:rsid w:val="009D4348"/>
    <w:rsid w:val="009D4BD8"/>
    <w:rsid w:val="009D6218"/>
    <w:rsid w:val="009D6CC1"/>
    <w:rsid w:val="009D78A9"/>
    <w:rsid w:val="009E3301"/>
    <w:rsid w:val="009E7964"/>
    <w:rsid w:val="009F0579"/>
    <w:rsid w:val="009F1493"/>
    <w:rsid w:val="009F32C1"/>
    <w:rsid w:val="009F6F85"/>
    <w:rsid w:val="00A01000"/>
    <w:rsid w:val="00A01392"/>
    <w:rsid w:val="00A04D70"/>
    <w:rsid w:val="00A05E0B"/>
    <w:rsid w:val="00A06FEC"/>
    <w:rsid w:val="00A07607"/>
    <w:rsid w:val="00A10459"/>
    <w:rsid w:val="00A10954"/>
    <w:rsid w:val="00A25F80"/>
    <w:rsid w:val="00A300AA"/>
    <w:rsid w:val="00A37809"/>
    <w:rsid w:val="00A37A5A"/>
    <w:rsid w:val="00A37FB3"/>
    <w:rsid w:val="00A40A7F"/>
    <w:rsid w:val="00A4343D"/>
    <w:rsid w:val="00A46C78"/>
    <w:rsid w:val="00A47308"/>
    <w:rsid w:val="00A502F1"/>
    <w:rsid w:val="00A50544"/>
    <w:rsid w:val="00A51EE3"/>
    <w:rsid w:val="00A540EF"/>
    <w:rsid w:val="00A56C80"/>
    <w:rsid w:val="00A57913"/>
    <w:rsid w:val="00A61706"/>
    <w:rsid w:val="00A653E8"/>
    <w:rsid w:val="00A70657"/>
    <w:rsid w:val="00A70A83"/>
    <w:rsid w:val="00A72A9A"/>
    <w:rsid w:val="00A73444"/>
    <w:rsid w:val="00A756F3"/>
    <w:rsid w:val="00A778ED"/>
    <w:rsid w:val="00A81EB3"/>
    <w:rsid w:val="00A851D9"/>
    <w:rsid w:val="00A905AD"/>
    <w:rsid w:val="00A91F5D"/>
    <w:rsid w:val="00A93708"/>
    <w:rsid w:val="00A96319"/>
    <w:rsid w:val="00AA11C2"/>
    <w:rsid w:val="00AA1ADA"/>
    <w:rsid w:val="00AA3CC5"/>
    <w:rsid w:val="00AA6604"/>
    <w:rsid w:val="00AB2F2A"/>
    <w:rsid w:val="00AB41CD"/>
    <w:rsid w:val="00AB4CDC"/>
    <w:rsid w:val="00AC17FF"/>
    <w:rsid w:val="00AC7ED1"/>
    <w:rsid w:val="00AD1BAE"/>
    <w:rsid w:val="00AD4436"/>
    <w:rsid w:val="00AE5CCF"/>
    <w:rsid w:val="00AF2339"/>
    <w:rsid w:val="00AF577C"/>
    <w:rsid w:val="00B002A0"/>
    <w:rsid w:val="00B00C1D"/>
    <w:rsid w:val="00B0382A"/>
    <w:rsid w:val="00B040B6"/>
    <w:rsid w:val="00B05A82"/>
    <w:rsid w:val="00B0693D"/>
    <w:rsid w:val="00B1109B"/>
    <w:rsid w:val="00B11978"/>
    <w:rsid w:val="00B1532E"/>
    <w:rsid w:val="00B1628D"/>
    <w:rsid w:val="00B17995"/>
    <w:rsid w:val="00B20A22"/>
    <w:rsid w:val="00B21CE4"/>
    <w:rsid w:val="00B24F7E"/>
    <w:rsid w:val="00B31716"/>
    <w:rsid w:val="00B33194"/>
    <w:rsid w:val="00B34160"/>
    <w:rsid w:val="00B34287"/>
    <w:rsid w:val="00B40EC0"/>
    <w:rsid w:val="00B41D30"/>
    <w:rsid w:val="00B42EE0"/>
    <w:rsid w:val="00B4355A"/>
    <w:rsid w:val="00B50A22"/>
    <w:rsid w:val="00B52A73"/>
    <w:rsid w:val="00B54F21"/>
    <w:rsid w:val="00B55AB2"/>
    <w:rsid w:val="00B60AC0"/>
    <w:rsid w:val="00B60EFE"/>
    <w:rsid w:val="00B65C55"/>
    <w:rsid w:val="00B7168C"/>
    <w:rsid w:val="00B71B7D"/>
    <w:rsid w:val="00B72203"/>
    <w:rsid w:val="00B7536D"/>
    <w:rsid w:val="00B76CAA"/>
    <w:rsid w:val="00B8057B"/>
    <w:rsid w:val="00B80F82"/>
    <w:rsid w:val="00B82D28"/>
    <w:rsid w:val="00B83D65"/>
    <w:rsid w:val="00B916A5"/>
    <w:rsid w:val="00B91CF5"/>
    <w:rsid w:val="00B94AAC"/>
    <w:rsid w:val="00BA18AA"/>
    <w:rsid w:val="00BA32D8"/>
    <w:rsid w:val="00BA439F"/>
    <w:rsid w:val="00BA53C0"/>
    <w:rsid w:val="00BA6370"/>
    <w:rsid w:val="00BB2DEA"/>
    <w:rsid w:val="00BB722E"/>
    <w:rsid w:val="00BC00C3"/>
    <w:rsid w:val="00BC0CA8"/>
    <w:rsid w:val="00BC3C05"/>
    <w:rsid w:val="00BC4831"/>
    <w:rsid w:val="00BC52B1"/>
    <w:rsid w:val="00BC5CED"/>
    <w:rsid w:val="00BC748B"/>
    <w:rsid w:val="00BC7DD0"/>
    <w:rsid w:val="00BD1ED8"/>
    <w:rsid w:val="00BD2152"/>
    <w:rsid w:val="00BD2F70"/>
    <w:rsid w:val="00BD3B6E"/>
    <w:rsid w:val="00BE31B7"/>
    <w:rsid w:val="00BE5A73"/>
    <w:rsid w:val="00BE60C0"/>
    <w:rsid w:val="00BF4E48"/>
    <w:rsid w:val="00BF584F"/>
    <w:rsid w:val="00BF6363"/>
    <w:rsid w:val="00BF7A05"/>
    <w:rsid w:val="00C012EE"/>
    <w:rsid w:val="00C016E9"/>
    <w:rsid w:val="00C12AEF"/>
    <w:rsid w:val="00C15EFC"/>
    <w:rsid w:val="00C238B7"/>
    <w:rsid w:val="00C25E39"/>
    <w:rsid w:val="00C269D4"/>
    <w:rsid w:val="00C30A07"/>
    <w:rsid w:val="00C33B50"/>
    <w:rsid w:val="00C37CD5"/>
    <w:rsid w:val="00C4160D"/>
    <w:rsid w:val="00C42509"/>
    <w:rsid w:val="00C44999"/>
    <w:rsid w:val="00C44F06"/>
    <w:rsid w:val="00C47206"/>
    <w:rsid w:val="00C51232"/>
    <w:rsid w:val="00C51FA1"/>
    <w:rsid w:val="00C524B8"/>
    <w:rsid w:val="00C5346D"/>
    <w:rsid w:val="00C56F41"/>
    <w:rsid w:val="00C677B7"/>
    <w:rsid w:val="00C71FAF"/>
    <w:rsid w:val="00C72B56"/>
    <w:rsid w:val="00C77762"/>
    <w:rsid w:val="00C80531"/>
    <w:rsid w:val="00C8169C"/>
    <w:rsid w:val="00C82C08"/>
    <w:rsid w:val="00C8406E"/>
    <w:rsid w:val="00C91B36"/>
    <w:rsid w:val="00CA4732"/>
    <w:rsid w:val="00CB1466"/>
    <w:rsid w:val="00CB21A4"/>
    <w:rsid w:val="00CB221C"/>
    <w:rsid w:val="00CB2709"/>
    <w:rsid w:val="00CB54B1"/>
    <w:rsid w:val="00CB633A"/>
    <w:rsid w:val="00CB6F89"/>
    <w:rsid w:val="00CC11AE"/>
    <w:rsid w:val="00CC2C2A"/>
    <w:rsid w:val="00CC5AE8"/>
    <w:rsid w:val="00CD117B"/>
    <w:rsid w:val="00CE1717"/>
    <w:rsid w:val="00CE1875"/>
    <w:rsid w:val="00CE1FC4"/>
    <w:rsid w:val="00CE21B9"/>
    <w:rsid w:val="00CE228C"/>
    <w:rsid w:val="00CE6689"/>
    <w:rsid w:val="00CF3363"/>
    <w:rsid w:val="00CF545B"/>
    <w:rsid w:val="00D043AB"/>
    <w:rsid w:val="00D05CCB"/>
    <w:rsid w:val="00D072A7"/>
    <w:rsid w:val="00D076A0"/>
    <w:rsid w:val="00D07EEC"/>
    <w:rsid w:val="00D221E9"/>
    <w:rsid w:val="00D251FC"/>
    <w:rsid w:val="00D27D69"/>
    <w:rsid w:val="00D30092"/>
    <w:rsid w:val="00D34B88"/>
    <w:rsid w:val="00D36DA2"/>
    <w:rsid w:val="00D448C2"/>
    <w:rsid w:val="00D45EED"/>
    <w:rsid w:val="00D45FE7"/>
    <w:rsid w:val="00D470B2"/>
    <w:rsid w:val="00D4769F"/>
    <w:rsid w:val="00D53288"/>
    <w:rsid w:val="00D53B9E"/>
    <w:rsid w:val="00D53F81"/>
    <w:rsid w:val="00D61B69"/>
    <w:rsid w:val="00D62189"/>
    <w:rsid w:val="00D666C3"/>
    <w:rsid w:val="00D6680C"/>
    <w:rsid w:val="00D66848"/>
    <w:rsid w:val="00D67882"/>
    <w:rsid w:val="00D701E8"/>
    <w:rsid w:val="00D733A0"/>
    <w:rsid w:val="00D7431F"/>
    <w:rsid w:val="00D74516"/>
    <w:rsid w:val="00D74F09"/>
    <w:rsid w:val="00D7504F"/>
    <w:rsid w:val="00D75A6F"/>
    <w:rsid w:val="00D77D51"/>
    <w:rsid w:val="00D77E0F"/>
    <w:rsid w:val="00D80578"/>
    <w:rsid w:val="00D8193A"/>
    <w:rsid w:val="00D8310F"/>
    <w:rsid w:val="00D90B0F"/>
    <w:rsid w:val="00D91154"/>
    <w:rsid w:val="00D92D82"/>
    <w:rsid w:val="00D93A3F"/>
    <w:rsid w:val="00D944FD"/>
    <w:rsid w:val="00D97146"/>
    <w:rsid w:val="00DA09ED"/>
    <w:rsid w:val="00DA67A9"/>
    <w:rsid w:val="00DB0269"/>
    <w:rsid w:val="00DB11F1"/>
    <w:rsid w:val="00DB2040"/>
    <w:rsid w:val="00DB2C34"/>
    <w:rsid w:val="00DB5F44"/>
    <w:rsid w:val="00DC0C90"/>
    <w:rsid w:val="00DC4378"/>
    <w:rsid w:val="00DD1EAE"/>
    <w:rsid w:val="00DD24FF"/>
    <w:rsid w:val="00DD3370"/>
    <w:rsid w:val="00DE161F"/>
    <w:rsid w:val="00DE1727"/>
    <w:rsid w:val="00DE30D5"/>
    <w:rsid w:val="00DE41BF"/>
    <w:rsid w:val="00DE439B"/>
    <w:rsid w:val="00DE441E"/>
    <w:rsid w:val="00DE5597"/>
    <w:rsid w:val="00DE5AE7"/>
    <w:rsid w:val="00DF0B9A"/>
    <w:rsid w:val="00DF15C7"/>
    <w:rsid w:val="00DF1D0E"/>
    <w:rsid w:val="00DF23CA"/>
    <w:rsid w:val="00DF47FE"/>
    <w:rsid w:val="00DF53EF"/>
    <w:rsid w:val="00DF57B0"/>
    <w:rsid w:val="00DF6242"/>
    <w:rsid w:val="00E0076C"/>
    <w:rsid w:val="00E10A71"/>
    <w:rsid w:val="00E15594"/>
    <w:rsid w:val="00E16A42"/>
    <w:rsid w:val="00E22D22"/>
    <w:rsid w:val="00E257E5"/>
    <w:rsid w:val="00E26704"/>
    <w:rsid w:val="00E26FF0"/>
    <w:rsid w:val="00E27139"/>
    <w:rsid w:val="00E31980"/>
    <w:rsid w:val="00E32403"/>
    <w:rsid w:val="00E42AF2"/>
    <w:rsid w:val="00E42E00"/>
    <w:rsid w:val="00E44B84"/>
    <w:rsid w:val="00E464C2"/>
    <w:rsid w:val="00E47AD0"/>
    <w:rsid w:val="00E50333"/>
    <w:rsid w:val="00E533B7"/>
    <w:rsid w:val="00E548FE"/>
    <w:rsid w:val="00E565DB"/>
    <w:rsid w:val="00E63957"/>
    <w:rsid w:val="00E6423C"/>
    <w:rsid w:val="00E66CFD"/>
    <w:rsid w:val="00E7104F"/>
    <w:rsid w:val="00E7536C"/>
    <w:rsid w:val="00E75E03"/>
    <w:rsid w:val="00E77AD3"/>
    <w:rsid w:val="00E8424D"/>
    <w:rsid w:val="00E86C3E"/>
    <w:rsid w:val="00E93830"/>
    <w:rsid w:val="00E93E0E"/>
    <w:rsid w:val="00E95357"/>
    <w:rsid w:val="00EA0046"/>
    <w:rsid w:val="00EA7B94"/>
    <w:rsid w:val="00EB1ED3"/>
    <w:rsid w:val="00EB4B5C"/>
    <w:rsid w:val="00EB60EF"/>
    <w:rsid w:val="00EC1CF0"/>
    <w:rsid w:val="00EC2845"/>
    <w:rsid w:val="00EC2D51"/>
    <w:rsid w:val="00EC3A8B"/>
    <w:rsid w:val="00ED1CAD"/>
    <w:rsid w:val="00ED2A77"/>
    <w:rsid w:val="00ED7B69"/>
    <w:rsid w:val="00ED7CF2"/>
    <w:rsid w:val="00EE2155"/>
    <w:rsid w:val="00EE420E"/>
    <w:rsid w:val="00F12DF6"/>
    <w:rsid w:val="00F13564"/>
    <w:rsid w:val="00F142A5"/>
    <w:rsid w:val="00F1505C"/>
    <w:rsid w:val="00F1658F"/>
    <w:rsid w:val="00F170E7"/>
    <w:rsid w:val="00F17C8B"/>
    <w:rsid w:val="00F26395"/>
    <w:rsid w:val="00F30740"/>
    <w:rsid w:val="00F30A86"/>
    <w:rsid w:val="00F323A8"/>
    <w:rsid w:val="00F32DA4"/>
    <w:rsid w:val="00F3352A"/>
    <w:rsid w:val="00F3651A"/>
    <w:rsid w:val="00F424FC"/>
    <w:rsid w:val="00F42A73"/>
    <w:rsid w:val="00F4386B"/>
    <w:rsid w:val="00F477DA"/>
    <w:rsid w:val="00F53D80"/>
    <w:rsid w:val="00F56421"/>
    <w:rsid w:val="00F65F3A"/>
    <w:rsid w:val="00F77062"/>
    <w:rsid w:val="00F773CA"/>
    <w:rsid w:val="00F80732"/>
    <w:rsid w:val="00F81099"/>
    <w:rsid w:val="00F81C34"/>
    <w:rsid w:val="00F825F6"/>
    <w:rsid w:val="00F84787"/>
    <w:rsid w:val="00F84E8A"/>
    <w:rsid w:val="00F8606C"/>
    <w:rsid w:val="00F87248"/>
    <w:rsid w:val="00F90828"/>
    <w:rsid w:val="00FA073B"/>
    <w:rsid w:val="00FA10BE"/>
    <w:rsid w:val="00FA16FF"/>
    <w:rsid w:val="00FA1B3D"/>
    <w:rsid w:val="00FA3502"/>
    <w:rsid w:val="00FA5066"/>
    <w:rsid w:val="00FB2013"/>
    <w:rsid w:val="00FB3593"/>
    <w:rsid w:val="00FB56A9"/>
    <w:rsid w:val="00FB687C"/>
    <w:rsid w:val="00FB7512"/>
    <w:rsid w:val="00FC1C67"/>
    <w:rsid w:val="00FC2FF3"/>
    <w:rsid w:val="00FC7395"/>
    <w:rsid w:val="00FD0DAF"/>
    <w:rsid w:val="00FD0E5F"/>
    <w:rsid w:val="00FD2AC5"/>
    <w:rsid w:val="00FD43EF"/>
    <w:rsid w:val="00FD7140"/>
    <w:rsid w:val="00FE075D"/>
    <w:rsid w:val="00FE69DE"/>
    <w:rsid w:val="00FF4351"/>
    <w:rsid w:val="00FF544D"/>
    <w:rsid w:val="00FF6506"/>
    <w:rsid w:val="00FF6A21"/>
    <w:rsid w:val="00FF6D8C"/>
    <w:rsid w:val="00FF742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F0B4F97"/>
  <w15:docId w15:val="{05C7608A-0468-41D2-B9F5-7A097490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Zkladntextodsazen3">
    <w:name w:val="Body Text Indent 3"/>
    <w:basedOn w:val="Normln"/>
    <w:link w:val="Zkladntextodsazen3Char"/>
    <w:semiHidden/>
    <w:rsid w:val="00B916A5"/>
    <w:pPr>
      <w:autoSpaceDE w:val="0"/>
      <w:autoSpaceDN w:val="0"/>
      <w:adjustRightInd w:val="0"/>
      <w:spacing w:after="120" w:line="240" w:lineRule="auto"/>
      <w:ind w:firstLine="709"/>
    </w:pPr>
    <w:rPr>
      <w:rFonts w:eastAsia="Times New Roman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916A5"/>
    <w:rPr>
      <w:rFonts w:ascii="Arial" w:eastAsia="Times New Roman" w:hAnsi="Arial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44D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4DF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4DF2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D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DF2"/>
    <w:rPr>
      <w:rFonts w:ascii="Arial" w:hAnsi="Arial"/>
      <w:b/>
      <w:bCs/>
      <w:lang w:eastAsia="en-US"/>
    </w:rPr>
  </w:style>
  <w:style w:type="paragraph" w:styleId="Odstavecseseznamem">
    <w:name w:val="List Paragraph"/>
    <w:basedOn w:val="Normln"/>
    <w:uiPriority w:val="34"/>
    <w:rsid w:val="00A72A9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1C2B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1C2B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C1C2B"/>
    <w:rPr>
      <w:vertAlign w:val="superscript"/>
    </w:rPr>
  </w:style>
  <w:style w:type="paragraph" w:styleId="Revize">
    <w:name w:val="Revision"/>
    <w:hidden/>
    <w:uiPriority w:val="99"/>
    <w:semiHidden/>
    <w:rsid w:val="003D5EB8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libor.holy@czso.cz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oly2795\Desktop\_disk_D\U\ODBOR\RI\MZDY\3q2022\GRAF1_nom-re&#225;l-mzda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oly2795\Desktop\_disk_D\U\ODBOR\RI\MZDY\3q2022\Graf2-Odv&#283;tv&#237;-re&#225;ln&#233;Poklesy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497051087947067"/>
          <c:y val="6.011628831301407E-2"/>
          <c:w val="0.85084330800331809"/>
          <c:h val="0.80667460191282669"/>
        </c:manualLayout>
      </c:layout>
      <c:lineChart>
        <c:grouping val="standard"/>
        <c:varyColors val="0"/>
        <c:ser>
          <c:idx val="0"/>
          <c:order val="0"/>
          <c:tx>
            <c:strRef>
              <c:f>graf!$C$1</c:f>
              <c:strCache>
                <c:ptCount val="1"/>
                <c:pt idx="0">
                  <c:v>nominální mzda</c:v>
                </c:pt>
              </c:strCache>
            </c:strRef>
          </c:tx>
          <c:spPr>
            <a:ln w="38100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cat>
            <c:numRef>
              <c:f>graf!$B$22:$B$64</c:f>
              <c:numCache>
                <c:formatCode>General</c:formatCode>
                <c:ptCount val="43"/>
                <c:pt idx="0">
                  <c:v>2012</c:v>
                </c:pt>
                <c:pt idx="4">
                  <c:v>2013</c:v>
                </c:pt>
                <c:pt idx="8">
                  <c:v>2014</c:v>
                </c:pt>
                <c:pt idx="12">
                  <c:v>2015</c:v>
                </c:pt>
                <c:pt idx="16">
                  <c:v>2016</c:v>
                </c:pt>
                <c:pt idx="20">
                  <c:v>2017</c:v>
                </c:pt>
                <c:pt idx="24">
                  <c:v>2018</c:v>
                </c:pt>
                <c:pt idx="28">
                  <c:v>2019</c:v>
                </c:pt>
                <c:pt idx="32">
                  <c:v>2020</c:v>
                </c:pt>
                <c:pt idx="36">
                  <c:v>2021</c:v>
                </c:pt>
                <c:pt idx="40">
                  <c:v>2022</c:v>
                </c:pt>
              </c:numCache>
            </c:numRef>
          </c:cat>
          <c:val>
            <c:numRef>
              <c:f>graf!$C$22:$C$64</c:f>
              <c:numCache>
                <c:formatCode>0</c:formatCode>
                <c:ptCount val="43"/>
                <c:pt idx="0">
                  <c:v>103.2</c:v>
                </c:pt>
                <c:pt idx="1">
                  <c:v>102.1</c:v>
                </c:pt>
                <c:pt idx="2">
                  <c:v>101.4</c:v>
                </c:pt>
                <c:pt idx="3">
                  <c:v>103.2</c:v>
                </c:pt>
                <c:pt idx="4">
                  <c:v>99.4</c:v>
                </c:pt>
                <c:pt idx="5">
                  <c:v>101</c:v>
                </c:pt>
                <c:pt idx="6">
                  <c:v>101.2</c:v>
                </c:pt>
                <c:pt idx="7">
                  <c:v>98</c:v>
                </c:pt>
                <c:pt idx="8">
                  <c:v>103.9</c:v>
                </c:pt>
                <c:pt idx="9">
                  <c:v>102.8</c:v>
                </c:pt>
                <c:pt idx="10">
                  <c:v>102.2</c:v>
                </c:pt>
                <c:pt idx="11">
                  <c:v>102.8</c:v>
                </c:pt>
                <c:pt idx="12">
                  <c:v>102.3</c:v>
                </c:pt>
                <c:pt idx="13">
                  <c:v>103.3</c:v>
                </c:pt>
                <c:pt idx="14">
                  <c:v>103.5</c:v>
                </c:pt>
                <c:pt idx="15">
                  <c:v>103.7</c:v>
                </c:pt>
                <c:pt idx="16">
                  <c:v>104.7</c:v>
                </c:pt>
                <c:pt idx="17">
                  <c:v>104</c:v>
                </c:pt>
                <c:pt idx="18">
                  <c:v>104.7</c:v>
                </c:pt>
                <c:pt idx="19">
                  <c:v>104.4</c:v>
                </c:pt>
                <c:pt idx="20">
                  <c:v>105.1</c:v>
                </c:pt>
                <c:pt idx="21">
                  <c:v>107.2</c:v>
                </c:pt>
                <c:pt idx="22">
                  <c:v>106.7</c:v>
                </c:pt>
                <c:pt idx="23">
                  <c:v>107.8</c:v>
                </c:pt>
                <c:pt idx="24">
                  <c:v>108.5</c:v>
                </c:pt>
                <c:pt idx="25">
                  <c:v>108.7</c:v>
                </c:pt>
                <c:pt idx="26">
                  <c:v>108.4</c:v>
                </c:pt>
                <c:pt idx="27">
                  <c:v>107.1</c:v>
                </c:pt>
                <c:pt idx="28">
                  <c:v>108.3</c:v>
                </c:pt>
                <c:pt idx="29">
                  <c:v>108</c:v>
                </c:pt>
                <c:pt idx="30">
                  <c:v>107.7</c:v>
                </c:pt>
                <c:pt idx="31">
                  <c:v>107.6</c:v>
                </c:pt>
                <c:pt idx="32">
                  <c:v>105.5</c:v>
                </c:pt>
                <c:pt idx="33">
                  <c:v>100.9</c:v>
                </c:pt>
                <c:pt idx="34">
                  <c:v>105.4</c:v>
                </c:pt>
                <c:pt idx="35">
                  <c:v>106.7</c:v>
                </c:pt>
                <c:pt idx="36">
                  <c:v>101.8</c:v>
                </c:pt>
                <c:pt idx="37">
                  <c:v>110.1</c:v>
                </c:pt>
                <c:pt idx="38">
                  <c:v>104.4</c:v>
                </c:pt>
                <c:pt idx="39">
                  <c:v>102.9</c:v>
                </c:pt>
                <c:pt idx="40">
                  <c:v>107.3</c:v>
                </c:pt>
                <c:pt idx="41">
                  <c:v>104.4</c:v>
                </c:pt>
                <c:pt idx="42">
                  <c:v>106.1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86C-4571-ABDD-615F599E4CAC}"/>
            </c:ext>
          </c:extLst>
        </c:ser>
        <c:ser>
          <c:idx val="1"/>
          <c:order val="1"/>
          <c:tx>
            <c:strRef>
              <c:f>graf!$D$1</c:f>
              <c:strCache>
                <c:ptCount val="1"/>
                <c:pt idx="0">
                  <c:v>reálná mzda</c:v>
                </c:pt>
              </c:strCache>
            </c:strRef>
          </c:tx>
          <c:spPr>
            <a:ln w="38100" cap="rnd">
              <a:solidFill>
                <a:srgbClr val="FF0000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graf!$B$22:$B$64</c:f>
              <c:numCache>
                <c:formatCode>General</c:formatCode>
                <c:ptCount val="43"/>
                <c:pt idx="0">
                  <c:v>2012</c:v>
                </c:pt>
                <c:pt idx="4">
                  <c:v>2013</c:v>
                </c:pt>
                <c:pt idx="8">
                  <c:v>2014</c:v>
                </c:pt>
                <c:pt idx="12">
                  <c:v>2015</c:v>
                </c:pt>
                <c:pt idx="16">
                  <c:v>2016</c:v>
                </c:pt>
                <c:pt idx="20">
                  <c:v>2017</c:v>
                </c:pt>
                <c:pt idx="24">
                  <c:v>2018</c:v>
                </c:pt>
                <c:pt idx="28">
                  <c:v>2019</c:v>
                </c:pt>
                <c:pt idx="32">
                  <c:v>2020</c:v>
                </c:pt>
                <c:pt idx="36">
                  <c:v>2021</c:v>
                </c:pt>
                <c:pt idx="40">
                  <c:v>2022</c:v>
                </c:pt>
              </c:numCache>
            </c:numRef>
          </c:cat>
          <c:val>
            <c:numRef>
              <c:f>graf!$D$22:$D$64</c:f>
              <c:numCache>
                <c:formatCode>0</c:formatCode>
                <c:ptCount val="43"/>
                <c:pt idx="0">
                  <c:v>99.5</c:v>
                </c:pt>
                <c:pt idx="1">
                  <c:v>98.7</c:v>
                </c:pt>
                <c:pt idx="2">
                  <c:v>98.2</c:v>
                </c:pt>
                <c:pt idx="3">
                  <c:v>100.4</c:v>
                </c:pt>
                <c:pt idx="4">
                  <c:v>97.6</c:v>
                </c:pt>
                <c:pt idx="5">
                  <c:v>99.5</c:v>
                </c:pt>
                <c:pt idx="6">
                  <c:v>100</c:v>
                </c:pt>
                <c:pt idx="7">
                  <c:v>96.9</c:v>
                </c:pt>
                <c:pt idx="8">
                  <c:v>103.7</c:v>
                </c:pt>
                <c:pt idx="9">
                  <c:v>102.6</c:v>
                </c:pt>
                <c:pt idx="10">
                  <c:v>101.6</c:v>
                </c:pt>
                <c:pt idx="11">
                  <c:v>102.3</c:v>
                </c:pt>
                <c:pt idx="12">
                  <c:v>102.2</c:v>
                </c:pt>
                <c:pt idx="13">
                  <c:v>102.6</c:v>
                </c:pt>
                <c:pt idx="14">
                  <c:v>103.1</c:v>
                </c:pt>
                <c:pt idx="15">
                  <c:v>103.6</c:v>
                </c:pt>
                <c:pt idx="16">
                  <c:v>104.2</c:v>
                </c:pt>
                <c:pt idx="17">
                  <c:v>103.8</c:v>
                </c:pt>
                <c:pt idx="18">
                  <c:v>104.2</c:v>
                </c:pt>
                <c:pt idx="19">
                  <c:v>103</c:v>
                </c:pt>
                <c:pt idx="20">
                  <c:v>102.6</c:v>
                </c:pt>
                <c:pt idx="21">
                  <c:v>104.9</c:v>
                </c:pt>
                <c:pt idx="22">
                  <c:v>104.1</c:v>
                </c:pt>
                <c:pt idx="23">
                  <c:v>105.1</c:v>
                </c:pt>
                <c:pt idx="24">
                  <c:v>106.5</c:v>
                </c:pt>
                <c:pt idx="25">
                  <c:v>106.3</c:v>
                </c:pt>
                <c:pt idx="26">
                  <c:v>105.9</c:v>
                </c:pt>
                <c:pt idx="27">
                  <c:v>104.9</c:v>
                </c:pt>
                <c:pt idx="28">
                  <c:v>105.5</c:v>
                </c:pt>
                <c:pt idx="29">
                  <c:v>105.1</c:v>
                </c:pt>
                <c:pt idx="30">
                  <c:v>104.8</c:v>
                </c:pt>
                <c:pt idx="31">
                  <c:v>104.5</c:v>
                </c:pt>
                <c:pt idx="32">
                  <c:v>101.8</c:v>
                </c:pt>
                <c:pt idx="33">
                  <c:v>97.9</c:v>
                </c:pt>
                <c:pt idx="34">
                  <c:v>102</c:v>
                </c:pt>
                <c:pt idx="35">
                  <c:v>104</c:v>
                </c:pt>
                <c:pt idx="36">
                  <c:v>99.6</c:v>
                </c:pt>
                <c:pt idx="37">
                  <c:v>107</c:v>
                </c:pt>
                <c:pt idx="38">
                  <c:v>100.3</c:v>
                </c:pt>
                <c:pt idx="39">
                  <c:v>97</c:v>
                </c:pt>
                <c:pt idx="40">
                  <c:v>96.5</c:v>
                </c:pt>
                <c:pt idx="41">
                  <c:v>90.2</c:v>
                </c:pt>
                <c:pt idx="42">
                  <c:v>90.2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86C-4571-ABDD-615F599E4C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7237696"/>
        <c:axId val="327938464"/>
      </c:lineChart>
      <c:catAx>
        <c:axId val="29723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27938464"/>
        <c:crosses val="autoZero"/>
        <c:auto val="1"/>
        <c:lblAlgn val="ctr"/>
        <c:lblOffset val="100"/>
        <c:noMultiLvlLbl val="0"/>
      </c:catAx>
      <c:valAx>
        <c:axId val="327938464"/>
        <c:scaling>
          <c:orientation val="minMax"/>
          <c:max val="111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index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9723769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412186064943014"/>
          <c:y val="0.63511796182714275"/>
          <c:w val="0.32801805222849417"/>
          <c:h val="0.16895014183032239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graf!$B$5:$B$24</c:f>
              <c:strCache>
                <c:ptCount val="20"/>
                <c:pt idx="0">
                  <c:v>C e l k em</c:v>
                </c:pt>
                <c:pt idx="1">
                  <c:v>Zdravotní a sociální péče</c:v>
                </c:pt>
                <c:pt idx="2">
                  <c:v>Veřejná správa a obrana</c:v>
                </c:pt>
                <c:pt idx="3">
                  <c:v>Vzdělávání</c:v>
                </c:pt>
                <c:pt idx="4">
                  <c:v>Kulturní, zábavní činnosti</c:v>
                </c:pt>
                <c:pt idx="5">
                  <c:v>Zemědělství, lesnictví a rybářství</c:v>
                </c:pt>
                <c:pt idx="6">
                  <c:v>Profesní, vědecké činnosti</c:v>
                </c:pt>
                <c:pt idx="7">
                  <c:v>Výroba a rozvod elektřiny, plynu…</c:v>
                </c:pt>
                <c:pt idx="8">
                  <c:v>Velkoobchod a maloobchod…</c:v>
                </c:pt>
                <c:pt idx="9">
                  <c:v>Těžba a dobývání</c:v>
                </c:pt>
                <c:pt idx="10">
                  <c:v>Ubytování, stravování a pohostinství</c:v>
                </c:pt>
                <c:pt idx="11">
                  <c:v>Zpracovatelský průmysl</c:v>
                </c:pt>
                <c:pt idx="12">
                  <c:v>Zásobování vodou, odpady…</c:v>
                </c:pt>
                <c:pt idx="13">
                  <c:v>Nemovitosti</c:v>
                </c:pt>
                <c:pt idx="14">
                  <c:v>Stavebnictví</c:v>
                </c:pt>
                <c:pt idx="15">
                  <c:v>Peněžnictví a pojišťovnictví</c:v>
                </c:pt>
                <c:pt idx="16">
                  <c:v>Informační a komunikační činnosti</c:v>
                </c:pt>
                <c:pt idx="17">
                  <c:v>Administrativní a podpůrné činnosti</c:v>
                </c:pt>
                <c:pt idx="18">
                  <c:v>Doprava a skladování</c:v>
                </c:pt>
                <c:pt idx="19">
                  <c:v>Ostatní činnosti</c:v>
                </c:pt>
              </c:strCache>
            </c:strRef>
          </c:cat>
          <c:val>
            <c:numRef>
              <c:f>graf!$C$5:$C$24</c:f>
              <c:numCache>
                <c:formatCode>0.0</c:formatCode>
                <c:ptCount val="20"/>
                <c:pt idx="0">
                  <c:v>-9.7789115646258473</c:v>
                </c:pt>
                <c:pt idx="1">
                  <c:v>-14.455782312925169</c:v>
                </c:pt>
                <c:pt idx="2">
                  <c:v>-14.200680272108846</c:v>
                </c:pt>
                <c:pt idx="3">
                  <c:v>-13.180272108843539</c:v>
                </c:pt>
                <c:pt idx="4">
                  <c:v>-10.71428571428571</c:v>
                </c:pt>
                <c:pt idx="5">
                  <c:v>-10.119047619047617</c:v>
                </c:pt>
                <c:pt idx="6">
                  <c:v>-9.7789115646258473</c:v>
                </c:pt>
                <c:pt idx="7">
                  <c:v>-9.4387755102040778</c:v>
                </c:pt>
                <c:pt idx="8">
                  <c:v>-9.0986394557823083</c:v>
                </c:pt>
                <c:pt idx="9">
                  <c:v>-8.7585034013605405</c:v>
                </c:pt>
                <c:pt idx="10">
                  <c:v>-8.418367346938771</c:v>
                </c:pt>
                <c:pt idx="11">
                  <c:v>-8.333333333333325</c:v>
                </c:pt>
                <c:pt idx="12">
                  <c:v>-8.0782312925170014</c:v>
                </c:pt>
                <c:pt idx="13">
                  <c:v>-8.0782312925170014</c:v>
                </c:pt>
                <c:pt idx="14">
                  <c:v>-7.9931972789115573</c:v>
                </c:pt>
                <c:pt idx="15">
                  <c:v>-7.9081632653061229</c:v>
                </c:pt>
                <c:pt idx="16">
                  <c:v>-7.8231292517006672</c:v>
                </c:pt>
                <c:pt idx="17">
                  <c:v>-7.3129251700680182</c:v>
                </c:pt>
                <c:pt idx="18">
                  <c:v>-7.2278911564625847</c:v>
                </c:pt>
                <c:pt idx="19">
                  <c:v>-6.3775510204081565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65-412F-84EC-66870A3947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44037215"/>
        <c:axId val="544039711"/>
      </c:barChart>
      <c:catAx>
        <c:axId val="544037215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44039711"/>
        <c:crosses val="autoZero"/>
        <c:auto val="0"/>
        <c:lblAlgn val="ctr"/>
        <c:lblOffset val="100"/>
        <c:noMultiLvlLbl val="0"/>
      </c:catAx>
      <c:valAx>
        <c:axId val="544039711"/>
        <c:scaling>
          <c:orientation val="minMax"/>
          <c:max val="0"/>
          <c:min val="-15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44037215"/>
        <c:crosses val="autoZero"/>
        <c:crossBetween val="between"/>
        <c:majorUnit val="2"/>
        <c:min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emf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0.12436</cdr:x>
      <cdr:y>0.07379</cdr:y>
    </cdr:from>
    <cdr:to>
      <cdr:x>0.27475</cdr:x>
      <cdr:y>0.13762</cdr:y>
    </cdr:to>
    <cdr:pic>
      <cdr:nvPicPr>
        <cdr:cNvPr id="3" name="Picture 3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/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766963" y="282187"/>
          <a:ext cx="927521" cy="244104"/>
        </a:xfrm>
        <a:prstGeom xmlns:a="http://schemas.openxmlformats.org/drawingml/2006/main" prst="rect">
          <a:avLst/>
        </a:prstGeom>
        <a:noFill xmlns:a="http://schemas.openxmlformats.org/drawingml/2006/main"/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0.02532</cdr:x>
      <cdr:y>0.89558</cdr:y>
    </cdr:from>
    <cdr:to>
      <cdr:x>0.19737</cdr:x>
      <cdr:y>0.96569</cdr:y>
    </cdr:to>
    <cdr:pic>
      <cdr:nvPicPr>
        <cdr:cNvPr id="2" name="Picture 3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/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136525" y="3117850"/>
          <a:ext cx="927521" cy="244105"/>
        </a:xfrm>
        <a:prstGeom xmlns:a="http://schemas.openxmlformats.org/drawingml/2006/main" prst="rect">
          <a:avLst/>
        </a:prstGeom>
        <a:noFill xmlns:a="http://schemas.openxmlformats.org/drawingml/2006/main"/>
      </cdr:spPr>
    </cdr:pic>
  </cdr:relSizeAnchor>
</c:userShape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193BF9-5DE8-4734-A0C3-214FC9BBB0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20AA19-5C12-4007-B02F-0D039475EB99}"/>
</file>

<file path=customXml/itemProps3.xml><?xml version="1.0" encoding="utf-8"?>
<ds:datastoreItem xmlns:ds="http://schemas.openxmlformats.org/officeDocument/2006/customXml" ds:itemID="{1F461703-F481-43AF-A3E1-8789D1365B4B}"/>
</file>

<file path=customXml/itemProps4.xml><?xml version="1.0" encoding="utf-8"?>
<ds:datastoreItem xmlns:ds="http://schemas.openxmlformats.org/officeDocument/2006/customXml" ds:itemID="{0EAACAE6-6CCD-4C42-BA80-5AA7CA9469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5</Pages>
  <Words>1897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13070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chramecky3167</dc:creator>
  <cp:keywords/>
  <cp:lastModifiedBy>Holý Dalibor</cp:lastModifiedBy>
  <cp:revision>38</cp:revision>
  <cp:lastPrinted>2021-12-01T15:35:00Z</cp:lastPrinted>
  <dcterms:created xsi:type="dcterms:W3CDTF">2022-11-08T14:41:00Z</dcterms:created>
  <dcterms:modified xsi:type="dcterms:W3CDTF">2022-12-02T08:31:00Z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