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5E" w:rsidRPr="00DB4D5E" w:rsidRDefault="00DB4D5E" w:rsidP="00DB4D5E">
      <w:pPr>
        <w:keepNext/>
        <w:shd w:val="clear" w:color="auto" w:fill="E0E0E0"/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overflowPunct w:val="0"/>
        <w:autoSpaceDE w:val="0"/>
        <w:autoSpaceDN w:val="0"/>
        <w:adjustRightInd w:val="0"/>
        <w:spacing w:before="0" w:after="0" w:line="360" w:lineRule="auto"/>
        <w:textAlignment w:val="baseline"/>
        <w:outlineLvl w:val="0"/>
        <w:rPr>
          <w:rFonts w:eastAsia="Times New Roman" w:cs="Arial"/>
          <w:b/>
          <w:bCs/>
          <w:position w:val="-40"/>
          <w:sz w:val="32"/>
          <w:szCs w:val="20"/>
          <w:lang w:val="en-GB" w:eastAsia="cs-CZ"/>
        </w:rPr>
      </w:pPr>
      <w:r w:rsidRPr="00DB4D5E">
        <w:rPr>
          <w:rFonts w:eastAsia="Times New Roman" w:cs="Arial"/>
          <w:b/>
          <w:position w:val="-40"/>
          <w:sz w:val="32"/>
          <w:szCs w:val="20"/>
          <w:lang w:eastAsia="cs-CZ"/>
        </w:rPr>
        <w:t>ANALYTICKÁ ČÁST</w:t>
      </w:r>
    </w:p>
    <w:p w:rsidR="00DB4D5E" w:rsidRPr="00DB4D5E" w:rsidRDefault="00DB4D5E" w:rsidP="00DB4D5E">
      <w:pPr>
        <w:spacing w:before="0" w:after="0" w:line="240" w:lineRule="auto"/>
        <w:ind w:firstLine="340"/>
        <w:jc w:val="both"/>
        <w:rPr>
          <w:rFonts w:eastAsia="Times New Roman"/>
          <w:sz w:val="16"/>
          <w:szCs w:val="16"/>
          <w:lang w:eastAsia="cs-CZ"/>
        </w:rPr>
      </w:pPr>
    </w:p>
    <w:p w:rsidR="00DB4D5E" w:rsidRPr="00DB4D5E" w:rsidRDefault="00DB4D5E" w:rsidP="00DB4D5E">
      <w:pPr>
        <w:tabs>
          <w:tab w:val="left" w:pos="1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overflowPunct w:val="0"/>
        <w:autoSpaceDE w:val="0"/>
        <w:autoSpaceDN w:val="0"/>
        <w:adjustRightInd w:val="0"/>
        <w:spacing w:before="0" w:after="120" w:line="240" w:lineRule="auto"/>
        <w:ind w:firstLine="340"/>
        <w:jc w:val="both"/>
        <w:textAlignment w:val="baseline"/>
        <w:rPr>
          <w:rFonts w:eastAsia="Times New Roman"/>
          <w:szCs w:val="24"/>
          <w:lang w:eastAsia="cs-CZ"/>
        </w:rPr>
      </w:pPr>
      <w:r w:rsidRPr="00DB4D5E">
        <w:rPr>
          <w:rFonts w:eastAsia="Times New Roman"/>
          <w:b/>
          <w:szCs w:val="24"/>
          <w:lang w:eastAsia="cs-CZ"/>
        </w:rPr>
        <w:t>Počet poskytovatelů licencí</w:t>
      </w:r>
      <w:r w:rsidRPr="00DB4D5E">
        <w:rPr>
          <w:rFonts w:eastAsia="Times New Roman"/>
          <w:szCs w:val="24"/>
          <w:lang w:eastAsia="cs-CZ"/>
        </w:rPr>
        <w:t xml:space="preserve"> v ČR ve sledovaném roce zahrnuje všechny subjekty působící na území ČR, které jsou poskytovatelem práva používat některou z ochran průmyslového vlastnictví (patenty, užitné vzory, průmyslové vzory a nové odrůdy rostlin a plemen zvířat) nebo </w:t>
      </w:r>
      <w:proofErr w:type="spellStart"/>
      <w:r w:rsidRPr="00DB4D5E">
        <w:rPr>
          <w:rFonts w:eastAsia="Times New Roman"/>
          <w:szCs w:val="24"/>
          <w:lang w:eastAsia="cs-CZ"/>
        </w:rPr>
        <w:t>know</w:t>
      </w:r>
      <w:proofErr w:type="spellEnd"/>
      <w:r w:rsidRPr="00DB4D5E">
        <w:rPr>
          <w:rFonts w:eastAsia="Times New Roman"/>
          <w:szCs w:val="24"/>
          <w:lang w:eastAsia="cs-CZ"/>
        </w:rPr>
        <w:t>-</w:t>
      </w:r>
      <w:proofErr w:type="spellStart"/>
      <w:r w:rsidRPr="00DB4D5E">
        <w:rPr>
          <w:rFonts w:eastAsia="Times New Roman"/>
          <w:szCs w:val="24"/>
          <w:lang w:eastAsia="cs-CZ"/>
        </w:rPr>
        <w:t>how</w:t>
      </w:r>
      <w:proofErr w:type="spellEnd"/>
      <w:r w:rsidRPr="00DB4D5E">
        <w:rPr>
          <w:rFonts w:eastAsia="Times New Roman"/>
          <w:szCs w:val="24"/>
          <w:lang w:eastAsia="cs-CZ"/>
        </w:rPr>
        <w:t>.</w:t>
      </w:r>
      <w:r w:rsidRPr="00DB4D5E">
        <w:rPr>
          <w:rFonts w:eastAsia="Times New Roman"/>
          <w:szCs w:val="24"/>
          <w:lang w:eastAsia="cs-CZ"/>
        </w:rPr>
        <w:tab/>
      </w:r>
    </w:p>
    <w:p w:rsidR="00DB4D5E" w:rsidRPr="00DB4D5E" w:rsidRDefault="00DB4D5E" w:rsidP="00DB4D5E">
      <w:pPr>
        <w:tabs>
          <w:tab w:val="left" w:pos="1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overflowPunct w:val="0"/>
        <w:autoSpaceDE w:val="0"/>
        <w:autoSpaceDN w:val="0"/>
        <w:adjustRightInd w:val="0"/>
        <w:spacing w:before="0" w:after="120" w:line="240" w:lineRule="auto"/>
        <w:ind w:firstLine="340"/>
        <w:jc w:val="both"/>
        <w:textAlignment w:val="baseline"/>
        <w:rPr>
          <w:rFonts w:eastAsia="Times New Roman"/>
          <w:szCs w:val="24"/>
          <w:lang w:eastAsia="cs-CZ"/>
        </w:rPr>
      </w:pPr>
      <w:r w:rsidRPr="00DB4D5E">
        <w:rPr>
          <w:rFonts w:eastAsia="Times New Roman"/>
          <w:b/>
          <w:szCs w:val="24"/>
          <w:lang w:eastAsia="cs-CZ"/>
        </w:rPr>
        <w:t>Počet platných poskytnutých (aktivních) licencí</w:t>
      </w:r>
      <w:r w:rsidRPr="00DB4D5E">
        <w:rPr>
          <w:rFonts w:eastAsia="Times New Roman"/>
          <w:szCs w:val="24"/>
          <w:lang w:eastAsia="cs-CZ"/>
        </w:rPr>
        <w:t xml:space="preserve"> v ČR ve sledovaném roce zahrnuje všechny platné licenční smlouvy na poskytnutí práva používat některou z výše uvedených ochran průmyslového vlastnictví nebo </w:t>
      </w:r>
      <w:proofErr w:type="spellStart"/>
      <w:r w:rsidRPr="00DB4D5E">
        <w:rPr>
          <w:rFonts w:eastAsia="Times New Roman"/>
          <w:szCs w:val="24"/>
          <w:lang w:eastAsia="cs-CZ"/>
        </w:rPr>
        <w:t>know</w:t>
      </w:r>
      <w:proofErr w:type="spellEnd"/>
      <w:r w:rsidRPr="00DB4D5E">
        <w:rPr>
          <w:rFonts w:eastAsia="Times New Roman"/>
          <w:szCs w:val="24"/>
          <w:lang w:eastAsia="cs-CZ"/>
        </w:rPr>
        <w:t>-</w:t>
      </w:r>
      <w:proofErr w:type="spellStart"/>
      <w:r w:rsidRPr="00DB4D5E">
        <w:rPr>
          <w:rFonts w:eastAsia="Times New Roman"/>
          <w:szCs w:val="24"/>
          <w:lang w:eastAsia="cs-CZ"/>
        </w:rPr>
        <w:t>how</w:t>
      </w:r>
      <w:proofErr w:type="spellEnd"/>
      <w:r w:rsidRPr="00DB4D5E">
        <w:rPr>
          <w:rFonts w:eastAsia="Times New Roman"/>
          <w:szCs w:val="24"/>
          <w:lang w:eastAsia="cs-CZ"/>
        </w:rPr>
        <w:t xml:space="preserve"> uzavřené mezi subjektem působícím na území ČR (poskytovatelem licence) a nabyvatelem licence z ČR nebo ze zahraničí. Licenční smlouvy jsou uzavírány většinou na delší dobu než jeden rok.</w:t>
      </w:r>
    </w:p>
    <w:p w:rsidR="00DB4D5E" w:rsidRPr="00DB4D5E" w:rsidRDefault="00DB4D5E" w:rsidP="00DB4D5E">
      <w:pPr>
        <w:tabs>
          <w:tab w:val="left" w:pos="1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eastAsia="Times New Roman"/>
          <w:szCs w:val="24"/>
          <w:lang w:eastAsia="cs-CZ"/>
        </w:rPr>
      </w:pPr>
      <w:r w:rsidRPr="00DB4D5E">
        <w:rPr>
          <w:rFonts w:eastAsia="Times New Roman"/>
          <w:szCs w:val="24"/>
          <w:lang w:eastAsia="cs-CZ"/>
        </w:rPr>
        <w:tab/>
        <w:t xml:space="preserve">U poskytnutých (poskytnutých) licencí se sledují </w:t>
      </w:r>
      <w:r w:rsidRPr="00DB4D5E">
        <w:rPr>
          <w:rFonts w:eastAsia="Times New Roman"/>
          <w:b/>
          <w:szCs w:val="24"/>
          <w:lang w:eastAsia="cs-CZ"/>
        </w:rPr>
        <w:t>přijaté licenční poplatky</w:t>
      </w:r>
      <w:r w:rsidRPr="00DB4D5E">
        <w:rPr>
          <w:rFonts w:eastAsia="Times New Roman"/>
          <w:szCs w:val="24"/>
          <w:lang w:eastAsia="cs-CZ"/>
        </w:rPr>
        <w:t xml:space="preserve"> získané poskytovatelem licence od nabyvatele licence ve sledovaném roce (ne od začátku platnosti licenční smlouvy) za poskytnutí práva používat některou z výše uvedených ochran průmyslového vlastnictví nebo </w:t>
      </w:r>
      <w:proofErr w:type="spellStart"/>
      <w:r w:rsidRPr="00DB4D5E">
        <w:rPr>
          <w:rFonts w:eastAsia="Times New Roman"/>
          <w:szCs w:val="24"/>
          <w:lang w:eastAsia="cs-CZ"/>
        </w:rPr>
        <w:t>know</w:t>
      </w:r>
      <w:proofErr w:type="spellEnd"/>
      <w:r w:rsidRPr="00DB4D5E">
        <w:rPr>
          <w:rFonts w:eastAsia="Times New Roman"/>
          <w:szCs w:val="24"/>
          <w:lang w:eastAsia="cs-CZ"/>
        </w:rPr>
        <w:t>-</w:t>
      </w:r>
      <w:proofErr w:type="spellStart"/>
      <w:r w:rsidRPr="00DB4D5E">
        <w:rPr>
          <w:rFonts w:eastAsia="Times New Roman"/>
          <w:szCs w:val="24"/>
          <w:lang w:eastAsia="cs-CZ"/>
        </w:rPr>
        <w:t>how</w:t>
      </w:r>
      <w:proofErr w:type="spellEnd"/>
      <w:r w:rsidRPr="00DB4D5E">
        <w:rPr>
          <w:rFonts w:eastAsia="Times New Roman"/>
          <w:szCs w:val="24"/>
          <w:lang w:eastAsia="cs-CZ"/>
        </w:rPr>
        <w:t xml:space="preserve">. </w:t>
      </w:r>
    </w:p>
    <w:p w:rsidR="00DB4D5E" w:rsidRPr="00DB4D5E" w:rsidRDefault="00DB4D5E" w:rsidP="00DB4D5E">
      <w:pPr>
        <w:tabs>
          <w:tab w:val="left" w:pos="1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overflowPunct w:val="0"/>
        <w:autoSpaceDE w:val="0"/>
        <w:autoSpaceDN w:val="0"/>
        <w:adjustRightInd w:val="0"/>
        <w:spacing w:before="0" w:after="120" w:line="240" w:lineRule="auto"/>
        <w:jc w:val="both"/>
        <w:textAlignment w:val="baseline"/>
        <w:rPr>
          <w:rFonts w:eastAsia="Times New Roman" w:cs="Arial"/>
          <w:b/>
          <w:sz w:val="24"/>
          <w:szCs w:val="20"/>
          <w:lang w:eastAsia="cs-CZ"/>
        </w:rPr>
      </w:pPr>
      <w:r w:rsidRPr="00DB4D5E">
        <w:rPr>
          <w:rFonts w:eastAsia="Times New Roman" w:cs="Arial"/>
          <w:b/>
          <w:sz w:val="24"/>
          <w:szCs w:val="20"/>
          <w:lang w:eastAsia="cs-CZ"/>
        </w:rPr>
        <w:t>1.1 </w:t>
      </w:r>
      <w:bookmarkStart w:id="0" w:name="OLE_LINK13"/>
      <w:r w:rsidRPr="00DB4D5E">
        <w:rPr>
          <w:rFonts w:eastAsia="Times New Roman" w:cs="Arial"/>
          <w:b/>
          <w:sz w:val="24"/>
          <w:szCs w:val="20"/>
          <w:lang w:eastAsia="cs-CZ"/>
        </w:rPr>
        <w:t>Poskytnuté licence podle předmětu licenční smlouvy</w:t>
      </w:r>
      <w:bookmarkEnd w:id="0"/>
    </w:p>
    <w:p w:rsidR="00DB4D5E" w:rsidRPr="00DB4D5E" w:rsidRDefault="00DB4D5E" w:rsidP="00DB4D5E">
      <w:pPr>
        <w:spacing w:before="60" w:after="60" w:line="240" w:lineRule="auto"/>
        <w:ind w:firstLine="340"/>
        <w:jc w:val="both"/>
        <w:rPr>
          <w:rFonts w:eastAsia="Times New Roman"/>
          <w:szCs w:val="24"/>
          <w:lang w:eastAsia="cs-CZ"/>
        </w:rPr>
      </w:pPr>
      <w:r w:rsidRPr="00DB4D5E">
        <w:rPr>
          <w:rFonts w:eastAsia="Times New Roman"/>
          <w:szCs w:val="24"/>
          <w:lang w:eastAsia="cs-CZ"/>
        </w:rPr>
        <w:t>V roce 201</w:t>
      </w:r>
      <w:r w:rsidR="0074516E">
        <w:rPr>
          <w:rFonts w:eastAsia="Times New Roman"/>
          <w:szCs w:val="24"/>
          <w:lang w:eastAsia="cs-CZ"/>
        </w:rPr>
        <w:t>3</w:t>
      </w:r>
      <w:r w:rsidRPr="00DB4D5E">
        <w:rPr>
          <w:rFonts w:eastAsia="Times New Roman"/>
          <w:szCs w:val="24"/>
          <w:lang w:eastAsia="cs-CZ"/>
        </w:rPr>
        <w:t xml:space="preserve"> bylo na základě celorepublikového vyčerpávajícího statistického šetření zjištěno nejvíce platných poskytnutých licencí na nové odrůdy rostlin a plemen zvířat (</w:t>
      </w:r>
      <w:r w:rsidR="0074516E">
        <w:rPr>
          <w:rFonts w:eastAsia="Times New Roman"/>
          <w:szCs w:val="24"/>
          <w:lang w:eastAsia="cs-CZ"/>
        </w:rPr>
        <w:t>533</w:t>
      </w:r>
      <w:r w:rsidRPr="00DB4D5E">
        <w:rPr>
          <w:rFonts w:eastAsia="Times New Roman"/>
          <w:szCs w:val="24"/>
          <w:lang w:eastAsia="cs-CZ"/>
        </w:rPr>
        <w:t xml:space="preserve"> platných poskytnutých licencí). Vzhledem k tomu, že tyto licenc</w:t>
      </w:r>
      <w:r w:rsidR="0074516E">
        <w:rPr>
          <w:rFonts w:eastAsia="Times New Roman"/>
          <w:szCs w:val="24"/>
          <w:lang w:eastAsia="cs-CZ"/>
        </w:rPr>
        <w:t>e uzavřelo jen 21</w:t>
      </w:r>
      <w:r w:rsidRPr="00DB4D5E">
        <w:rPr>
          <w:rFonts w:eastAsia="Times New Roman"/>
          <w:szCs w:val="24"/>
          <w:lang w:eastAsia="cs-CZ"/>
        </w:rPr>
        <w:t xml:space="preserve"> poskytovatelů, připadá na 1 poskytovatele </w:t>
      </w:r>
      <w:r w:rsidR="00B21395">
        <w:rPr>
          <w:rFonts w:eastAsia="Times New Roman"/>
          <w:szCs w:val="24"/>
          <w:lang w:eastAsia="cs-CZ"/>
        </w:rPr>
        <w:t>více než</w:t>
      </w:r>
      <w:r w:rsidRPr="00DB4D5E">
        <w:rPr>
          <w:rFonts w:eastAsia="Times New Roman"/>
          <w:szCs w:val="24"/>
          <w:lang w:eastAsia="cs-CZ"/>
        </w:rPr>
        <w:t xml:space="preserve"> 2</w:t>
      </w:r>
      <w:r w:rsidR="0074516E">
        <w:rPr>
          <w:rFonts w:eastAsia="Times New Roman"/>
          <w:szCs w:val="24"/>
          <w:lang w:eastAsia="cs-CZ"/>
        </w:rPr>
        <w:t>6</w:t>
      </w:r>
      <w:r w:rsidRPr="00DB4D5E">
        <w:rPr>
          <w:rFonts w:eastAsia="Times New Roman"/>
          <w:szCs w:val="24"/>
          <w:lang w:eastAsia="cs-CZ"/>
        </w:rPr>
        <w:t xml:space="preserve"> uzavřených licencí. U patentů připadá na jednoho poskytovatele </w:t>
      </w:r>
      <w:r w:rsidR="0074516E">
        <w:rPr>
          <w:rFonts w:eastAsia="Times New Roman"/>
          <w:szCs w:val="24"/>
          <w:lang w:eastAsia="cs-CZ"/>
        </w:rPr>
        <w:t>více než</w:t>
      </w:r>
      <w:r w:rsidRPr="00DB4D5E">
        <w:rPr>
          <w:rFonts w:eastAsia="Times New Roman"/>
          <w:szCs w:val="24"/>
          <w:lang w:eastAsia="cs-CZ"/>
        </w:rPr>
        <w:t xml:space="preserve"> 6 uzavřených licencí a v případě užitných vzorů </w:t>
      </w:r>
      <w:r w:rsidR="0074516E">
        <w:rPr>
          <w:rFonts w:eastAsia="Times New Roman"/>
          <w:szCs w:val="24"/>
          <w:lang w:eastAsia="cs-CZ"/>
        </w:rPr>
        <w:t>téměř 4</w:t>
      </w:r>
      <w:r w:rsidRPr="00DB4D5E">
        <w:rPr>
          <w:rFonts w:eastAsia="Times New Roman"/>
          <w:szCs w:val="24"/>
          <w:lang w:eastAsia="cs-CZ"/>
        </w:rPr>
        <w:t xml:space="preserve"> licenc</w:t>
      </w:r>
      <w:r w:rsidR="0074516E">
        <w:rPr>
          <w:rFonts w:eastAsia="Times New Roman"/>
          <w:szCs w:val="24"/>
          <w:lang w:eastAsia="cs-CZ"/>
        </w:rPr>
        <w:t>e</w:t>
      </w:r>
      <w:r w:rsidRPr="00DB4D5E">
        <w:rPr>
          <w:rFonts w:eastAsia="Times New Roman"/>
          <w:szCs w:val="24"/>
          <w:lang w:eastAsia="cs-CZ"/>
        </w:rPr>
        <w:t xml:space="preserve"> na jeden subjekt. Z hlediska přijatých licenčních poplatků byly zdaleka nejvýznamnější licence na patenty, za které bylo v roce 201</w:t>
      </w:r>
      <w:r w:rsidR="0074516E">
        <w:rPr>
          <w:rFonts w:eastAsia="Times New Roman"/>
          <w:szCs w:val="24"/>
          <w:lang w:eastAsia="cs-CZ"/>
        </w:rPr>
        <w:t>3</w:t>
      </w:r>
      <w:r w:rsidRPr="00DB4D5E">
        <w:rPr>
          <w:rFonts w:eastAsia="Times New Roman"/>
          <w:szCs w:val="24"/>
          <w:lang w:eastAsia="cs-CZ"/>
        </w:rPr>
        <w:t xml:space="preserve"> inkasováno </w:t>
      </w:r>
      <w:r w:rsidR="00B21395">
        <w:rPr>
          <w:rFonts w:eastAsia="Times New Roman"/>
          <w:szCs w:val="24"/>
          <w:lang w:eastAsia="cs-CZ"/>
        </w:rPr>
        <w:t>téměř</w:t>
      </w:r>
      <w:r w:rsidRPr="00DB4D5E">
        <w:rPr>
          <w:rFonts w:eastAsia="Times New Roman"/>
          <w:szCs w:val="24"/>
          <w:lang w:eastAsia="cs-CZ"/>
        </w:rPr>
        <w:t xml:space="preserve"> </w:t>
      </w:r>
      <w:r w:rsidR="0074516E">
        <w:rPr>
          <w:rFonts w:eastAsia="Times New Roman"/>
          <w:szCs w:val="24"/>
          <w:lang w:eastAsia="cs-CZ"/>
        </w:rPr>
        <w:t>2,3</w:t>
      </w:r>
      <w:r w:rsidRPr="00DB4D5E">
        <w:rPr>
          <w:rFonts w:eastAsia="Times New Roman"/>
          <w:szCs w:val="24"/>
          <w:lang w:eastAsia="cs-CZ"/>
        </w:rPr>
        <w:t xml:space="preserve"> mld. Kč. V roce 201</w:t>
      </w:r>
      <w:r w:rsidR="0074516E">
        <w:rPr>
          <w:rFonts w:eastAsia="Times New Roman"/>
          <w:szCs w:val="24"/>
          <w:lang w:eastAsia="cs-CZ"/>
        </w:rPr>
        <w:t>3</w:t>
      </w:r>
      <w:r w:rsidRPr="00DB4D5E">
        <w:rPr>
          <w:rFonts w:eastAsia="Times New Roman"/>
          <w:szCs w:val="24"/>
          <w:lang w:eastAsia="cs-CZ"/>
        </w:rPr>
        <w:t xml:space="preserve"> dosáhla výše přijatých poplatků na jednu platnou patentovou licenci průměrné hodnoty </w:t>
      </w:r>
      <w:r w:rsidR="0074516E">
        <w:rPr>
          <w:rFonts w:eastAsia="Times New Roman"/>
          <w:szCs w:val="24"/>
          <w:lang w:eastAsia="cs-CZ"/>
        </w:rPr>
        <w:t>4,9</w:t>
      </w:r>
      <w:r w:rsidRPr="00DB4D5E">
        <w:rPr>
          <w:rFonts w:eastAsia="Times New Roman"/>
          <w:szCs w:val="24"/>
          <w:lang w:eastAsia="cs-CZ"/>
        </w:rPr>
        <w:t xml:space="preserve"> mil. Kč. </w:t>
      </w:r>
      <w:r w:rsidR="00B21395">
        <w:rPr>
          <w:rFonts w:eastAsia="Times New Roman"/>
          <w:szCs w:val="24"/>
          <w:lang w:eastAsia="cs-CZ"/>
        </w:rPr>
        <w:t>T</w:t>
      </w:r>
      <w:r w:rsidR="00401823">
        <w:rPr>
          <w:rFonts w:eastAsia="Times New Roman"/>
          <w:szCs w:val="24"/>
          <w:lang w:eastAsia="cs-CZ"/>
        </w:rPr>
        <w:t>roj</w:t>
      </w:r>
      <w:r w:rsidR="00B21395">
        <w:rPr>
          <w:rFonts w:eastAsia="Times New Roman"/>
          <w:szCs w:val="24"/>
          <w:lang w:eastAsia="cs-CZ"/>
        </w:rPr>
        <w:t xml:space="preserve">násobný </w:t>
      </w:r>
      <w:r w:rsidRPr="00DB4D5E">
        <w:rPr>
          <w:rFonts w:eastAsia="Times New Roman"/>
          <w:szCs w:val="24"/>
          <w:lang w:eastAsia="cs-CZ"/>
        </w:rPr>
        <w:t xml:space="preserve">výnos z jedné licence byl zaznamenán u licencí k </w:t>
      </w:r>
      <w:proofErr w:type="spellStart"/>
      <w:r w:rsidRPr="00DB4D5E">
        <w:rPr>
          <w:rFonts w:eastAsia="Times New Roman"/>
          <w:szCs w:val="24"/>
          <w:lang w:eastAsia="cs-CZ"/>
        </w:rPr>
        <w:t>know</w:t>
      </w:r>
      <w:proofErr w:type="spellEnd"/>
      <w:r w:rsidRPr="00DB4D5E">
        <w:rPr>
          <w:rFonts w:eastAsia="Times New Roman"/>
          <w:szCs w:val="24"/>
          <w:lang w:eastAsia="cs-CZ"/>
        </w:rPr>
        <w:t>-</w:t>
      </w:r>
      <w:proofErr w:type="spellStart"/>
      <w:r w:rsidRPr="00DB4D5E">
        <w:rPr>
          <w:rFonts w:eastAsia="Times New Roman"/>
          <w:szCs w:val="24"/>
          <w:lang w:eastAsia="cs-CZ"/>
        </w:rPr>
        <w:t>how</w:t>
      </w:r>
      <w:proofErr w:type="spellEnd"/>
      <w:r w:rsidR="00401823">
        <w:rPr>
          <w:rFonts w:eastAsia="Times New Roman"/>
          <w:szCs w:val="24"/>
          <w:lang w:eastAsia="cs-CZ"/>
        </w:rPr>
        <w:t xml:space="preserve"> a zejména průmyslovým vzorům</w:t>
      </w:r>
      <w:r w:rsidRPr="00DB4D5E">
        <w:rPr>
          <w:rFonts w:eastAsia="Times New Roman"/>
          <w:szCs w:val="24"/>
          <w:lang w:eastAsia="cs-CZ"/>
        </w:rPr>
        <w:t xml:space="preserve">, kde na jednu licenci připadá </w:t>
      </w:r>
      <w:r w:rsidR="00401823">
        <w:rPr>
          <w:rFonts w:eastAsia="Times New Roman"/>
          <w:szCs w:val="24"/>
          <w:lang w:eastAsia="cs-CZ"/>
        </w:rPr>
        <w:t>14,8</w:t>
      </w:r>
      <w:r w:rsidRPr="00DB4D5E">
        <w:rPr>
          <w:rFonts w:eastAsia="Times New Roman"/>
          <w:szCs w:val="24"/>
          <w:lang w:eastAsia="cs-CZ"/>
        </w:rPr>
        <w:t xml:space="preserve"> mil. Kč</w:t>
      </w:r>
      <w:r w:rsidR="00401823">
        <w:rPr>
          <w:rFonts w:eastAsia="Times New Roman"/>
          <w:szCs w:val="24"/>
          <w:lang w:eastAsia="cs-CZ"/>
        </w:rPr>
        <w:t>, resp. 15,4 mil. Kč</w:t>
      </w:r>
      <w:r w:rsidRPr="00DB4D5E">
        <w:rPr>
          <w:rFonts w:eastAsia="Times New Roman"/>
          <w:szCs w:val="24"/>
          <w:lang w:eastAsia="cs-CZ"/>
        </w:rPr>
        <w:t xml:space="preserve"> licenčních poplatků.</w:t>
      </w:r>
    </w:p>
    <w:p w:rsidR="00DB4D5E" w:rsidRPr="00DB4D5E" w:rsidRDefault="00DB4D5E" w:rsidP="00DB4D5E">
      <w:pPr>
        <w:spacing w:after="0" w:line="240" w:lineRule="auto"/>
        <w:jc w:val="both"/>
        <w:rPr>
          <w:rFonts w:eastAsia="Times New Roman"/>
          <w:b/>
          <w:szCs w:val="20"/>
          <w:lang w:eastAsia="cs-CZ"/>
        </w:rPr>
      </w:pPr>
      <w:r w:rsidRPr="00DB4D5E">
        <w:rPr>
          <w:rFonts w:eastAsia="Times New Roman"/>
          <w:b/>
          <w:szCs w:val="20"/>
          <w:lang w:eastAsia="cs-CZ"/>
        </w:rPr>
        <w:t xml:space="preserve">Graf 1-1: </w:t>
      </w:r>
      <w:r w:rsidRPr="00DB4D5E">
        <w:rPr>
          <w:rFonts w:eastAsia="Times New Roman"/>
          <w:b/>
          <w:bCs/>
          <w:szCs w:val="20"/>
          <w:lang w:eastAsia="cs-CZ"/>
        </w:rPr>
        <w:t>Platné poskytnuté licence</w:t>
      </w:r>
      <w:r w:rsidRPr="00DB4D5E">
        <w:rPr>
          <w:rFonts w:eastAsia="Times New Roman"/>
          <w:b/>
          <w:szCs w:val="20"/>
          <w:lang w:eastAsia="cs-CZ"/>
        </w:rPr>
        <w:t xml:space="preserve"> </w:t>
      </w:r>
      <w:r w:rsidR="00151AA8">
        <w:rPr>
          <w:rFonts w:eastAsia="Times New Roman"/>
          <w:b/>
          <w:szCs w:val="20"/>
          <w:lang w:eastAsia="cs-CZ"/>
        </w:rPr>
        <w:t>podle předmětu licenční smlouvy,</w:t>
      </w:r>
      <w:r w:rsidRPr="00DB4D5E">
        <w:rPr>
          <w:rFonts w:eastAsia="Times New Roman"/>
          <w:b/>
          <w:szCs w:val="20"/>
          <w:lang w:eastAsia="cs-CZ"/>
        </w:rPr>
        <w:t xml:space="preserve"> 201</w:t>
      </w:r>
      <w:r w:rsidR="00893B81">
        <w:rPr>
          <w:rFonts w:eastAsia="Times New Roman"/>
          <w:b/>
          <w:szCs w:val="20"/>
          <w:lang w:eastAsia="cs-CZ"/>
        </w:rPr>
        <w:t>3</w:t>
      </w:r>
      <w:r w:rsidRPr="00DB4D5E">
        <w:rPr>
          <w:rFonts w:eastAsia="Times New Roman"/>
          <w:b/>
          <w:szCs w:val="20"/>
          <w:lang w:eastAsia="cs-CZ"/>
        </w:rPr>
        <w:t xml:space="preserve">         </w:t>
      </w:r>
    </w:p>
    <w:p w:rsidR="00DB4D5E" w:rsidRPr="00DB4D5E" w:rsidRDefault="00DB4D5E" w:rsidP="00DB4D5E">
      <w:pPr>
        <w:tabs>
          <w:tab w:val="left" w:pos="392"/>
          <w:tab w:val="left" w:pos="4111"/>
          <w:tab w:val="left" w:pos="6663"/>
        </w:tabs>
        <w:spacing w:before="240" w:after="0" w:line="240" w:lineRule="auto"/>
        <w:jc w:val="both"/>
        <w:rPr>
          <w:rFonts w:eastAsia="Times New Roman"/>
          <w:b/>
          <w:sz w:val="16"/>
          <w:szCs w:val="16"/>
          <w:lang w:eastAsia="cs-CZ"/>
        </w:rPr>
      </w:pPr>
      <w:r w:rsidRPr="00DB4D5E">
        <w:rPr>
          <w:rFonts w:eastAsia="Times New Roman"/>
          <w:b/>
          <w:szCs w:val="24"/>
          <w:lang w:eastAsia="cs-CZ"/>
        </w:rPr>
        <w:t xml:space="preserve">             </w:t>
      </w:r>
      <w:r w:rsidRPr="00DB4D5E">
        <w:rPr>
          <w:rFonts w:eastAsia="Times New Roman"/>
          <w:b/>
          <w:sz w:val="16"/>
          <w:szCs w:val="16"/>
          <w:lang w:eastAsia="cs-CZ"/>
        </w:rPr>
        <w:t>Počet poskytovatelů licencí</w:t>
      </w:r>
      <w:r w:rsidRPr="00DB4D5E">
        <w:rPr>
          <w:rFonts w:eastAsia="Times New Roman"/>
          <w:b/>
          <w:sz w:val="16"/>
          <w:szCs w:val="16"/>
          <w:lang w:eastAsia="cs-CZ"/>
        </w:rPr>
        <w:tab/>
        <w:t>Počet platných licencí</w:t>
      </w:r>
      <w:r w:rsidRPr="00DB4D5E">
        <w:rPr>
          <w:rFonts w:eastAsia="Times New Roman"/>
          <w:b/>
          <w:sz w:val="16"/>
          <w:szCs w:val="16"/>
          <w:lang w:eastAsia="cs-CZ"/>
        </w:rPr>
        <w:tab/>
        <w:t>Přijaté licenční poplatky (v mil. Kč)</w:t>
      </w:r>
    </w:p>
    <w:p w:rsidR="00DB4D5E" w:rsidRPr="00DB4D5E" w:rsidRDefault="0016384A" w:rsidP="00DB4D5E">
      <w:pPr>
        <w:tabs>
          <w:tab w:val="left" w:pos="392"/>
          <w:tab w:val="left" w:pos="6946"/>
        </w:tabs>
        <w:spacing w:before="60" w:after="60" w:line="240" w:lineRule="auto"/>
        <w:jc w:val="both"/>
        <w:rPr>
          <w:rFonts w:eastAsia="Times New Roman"/>
          <w:szCs w:val="24"/>
          <w:lang w:eastAsia="cs-CZ"/>
        </w:rPr>
      </w:pPr>
      <w:r w:rsidRPr="0016384A">
        <w:rPr>
          <w:rFonts w:eastAsia="Times New Roman"/>
          <w:noProof/>
          <w:szCs w:val="24"/>
          <w:lang w:eastAsia="cs-CZ"/>
        </w:rPr>
        <w:drawing>
          <wp:inline distT="0" distB="0" distL="0" distR="0">
            <wp:extent cx="2028825" cy="2019301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16384A">
        <w:rPr>
          <w:rFonts w:eastAsia="Times New Roman"/>
          <w:noProof/>
          <w:szCs w:val="24"/>
          <w:lang w:eastAsia="cs-CZ"/>
        </w:rPr>
        <w:drawing>
          <wp:inline distT="0" distB="0" distL="0" distR="0">
            <wp:extent cx="2028825" cy="2019301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16384A">
        <w:rPr>
          <w:rFonts w:eastAsia="Times New Roman"/>
          <w:noProof/>
          <w:szCs w:val="24"/>
          <w:lang w:eastAsia="cs-CZ"/>
        </w:rPr>
        <w:drawing>
          <wp:inline distT="0" distB="0" distL="0" distR="0">
            <wp:extent cx="2028825" cy="2019301"/>
            <wp:effectExtent l="0" t="0" r="0" b="0"/>
            <wp:docPr id="4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4D5E" w:rsidRPr="00DB4D5E" w:rsidRDefault="00DB4D5E" w:rsidP="00DB4D5E">
      <w:pPr>
        <w:tabs>
          <w:tab w:val="left" w:pos="392"/>
          <w:tab w:val="left" w:pos="6946"/>
        </w:tabs>
        <w:spacing w:before="0" w:after="60" w:line="240" w:lineRule="auto"/>
        <w:jc w:val="both"/>
        <w:rPr>
          <w:rFonts w:eastAsia="Times New Roman"/>
          <w:szCs w:val="24"/>
          <w:lang w:eastAsia="cs-CZ"/>
        </w:rPr>
      </w:pPr>
      <w:r w:rsidRPr="00DB4D5E">
        <w:rPr>
          <w:rFonts w:eastAsia="Times New Roman"/>
          <w:szCs w:val="24"/>
          <w:lang w:eastAsia="cs-CZ"/>
        </w:rPr>
        <w:tab/>
        <w:t>Dále bylo zjištěno, že nejvíce nových licenčních smluv (tj. smluv vzniklých v roce 201</w:t>
      </w:r>
      <w:r w:rsidR="00C20988">
        <w:rPr>
          <w:rFonts w:eastAsia="Times New Roman"/>
          <w:szCs w:val="24"/>
          <w:lang w:eastAsia="cs-CZ"/>
        </w:rPr>
        <w:t>3</w:t>
      </w:r>
      <w:r w:rsidRPr="00DB4D5E">
        <w:rPr>
          <w:rFonts w:eastAsia="Times New Roman"/>
          <w:szCs w:val="24"/>
          <w:lang w:eastAsia="cs-CZ"/>
        </w:rPr>
        <w:t xml:space="preserve">) bylo uzavřeno na </w:t>
      </w:r>
      <w:r w:rsidR="00B21395">
        <w:rPr>
          <w:rFonts w:eastAsia="Times New Roman"/>
          <w:szCs w:val="24"/>
          <w:lang w:eastAsia="cs-CZ"/>
        </w:rPr>
        <w:t>nové odrůdy rostlin a plemen zvířat</w:t>
      </w:r>
      <w:r w:rsidRPr="00DB4D5E">
        <w:rPr>
          <w:rFonts w:eastAsia="Times New Roman"/>
          <w:szCs w:val="24"/>
          <w:lang w:eastAsia="cs-CZ"/>
        </w:rPr>
        <w:t xml:space="preserve"> (</w:t>
      </w:r>
      <w:r w:rsidR="00B21395">
        <w:rPr>
          <w:rFonts w:eastAsia="Times New Roman"/>
          <w:szCs w:val="24"/>
          <w:lang w:eastAsia="cs-CZ"/>
        </w:rPr>
        <w:t>1</w:t>
      </w:r>
      <w:r w:rsidR="00C20988">
        <w:rPr>
          <w:rFonts w:eastAsia="Times New Roman"/>
          <w:szCs w:val="24"/>
          <w:lang w:eastAsia="cs-CZ"/>
        </w:rPr>
        <w:t>62</w:t>
      </w:r>
      <w:r w:rsidRPr="00DB4D5E">
        <w:rPr>
          <w:rFonts w:eastAsia="Times New Roman"/>
          <w:szCs w:val="24"/>
          <w:lang w:eastAsia="cs-CZ"/>
        </w:rPr>
        <w:t xml:space="preserve"> nově poskytnutých licencí). Nejvíce licenčních poplatků bylo inkasováno za nové licence na </w:t>
      </w:r>
      <w:r w:rsidR="00C20988">
        <w:rPr>
          <w:rFonts w:eastAsia="Times New Roman"/>
          <w:szCs w:val="24"/>
          <w:lang w:eastAsia="cs-CZ"/>
        </w:rPr>
        <w:t>průmyslové vzory</w:t>
      </w:r>
      <w:r w:rsidR="002F4267" w:rsidRPr="00DB4D5E">
        <w:rPr>
          <w:rFonts w:eastAsia="Times New Roman"/>
          <w:szCs w:val="24"/>
          <w:lang w:eastAsia="cs-CZ"/>
        </w:rPr>
        <w:t xml:space="preserve"> </w:t>
      </w:r>
      <w:r w:rsidR="002F4267">
        <w:rPr>
          <w:rFonts w:eastAsia="Times New Roman"/>
          <w:szCs w:val="24"/>
          <w:lang w:eastAsia="cs-CZ"/>
        </w:rPr>
        <w:t>(</w:t>
      </w:r>
      <w:r w:rsidR="00C20988">
        <w:rPr>
          <w:rFonts w:eastAsia="Times New Roman"/>
          <w:szCs w:val="24"/>
          <w:lang w:eastAsia="cs-CZ"/>
        </w:rPr>
        <w:t>723,2</w:t>
      </w:r>
      <w:r w:rsidRPr="00DB4D5E">
        <w:rPr>
          <w:rFonts w:eastAsia="Times New Roman"/>
          <w:szCs w:val="24"/>
          <w:lang w:eastAsia="cs-CZ"/>
        </w:rPr>
        <w:t xml:space="preserve"> mil. Kč)</w:t>
      </w:r>
      <w:r w:rsidR="002F4267">
        <w:rPr>
          <w:rFonts w:eastAsia="Times New Roman"/>
          <w:szCs w:val="24"/>
          <w:lang w:eastAsia="cs-CZ"/>
        </w:rPr>
        <w:t>, kde v</w:t>
      </w:r>
      <w:r w:rsidRPr="00DB4D5E">
        <w:rPr>
          <w:rFonts w:eastAsia="Times New Roman"/>
          <w:szCs w:val="24"/>
          <w:lang w:eastAsia="cs-CZ"/>
        </w:rPr>
        <w:t> roce 201</w:t>
      </w:r>
      <w:r w:rsidR="00C20988">
        <w:rPr>
          <w:rFonts w:eastAsia="Times New Roman"/>
          <w:szCs w:val="24"/>
          <w:lang w:eastAsia="cs-CZ"/>
        </w:rPr>
        <w:t>3</w:t>
      </w:r>
      <w:r w:rsidRPr="00DB4D5E">
        <w:rPr>
          <w:rFonts w:eastAsia="Times New Roman"/>
          <w:szCs w:val="24"/>
          <w:lang w:eastAsia="cs-CZ"/>
        </w:rPr>
        <w:t xml:space="preserve"> dosáhla výše přijatých poplatků na jednu nově uzavřenou licenci průměrné hodnoty </w:t>
      </w:r>
      <w:r w:rsidR="00C20988">
        <w:rPr>
          <w:rFonts w:eastAsia="Times New Roman"/>
          <w:szCs w:val="24"/>
          <w:lang w:eastAsia="cs-CZ"/>
        </w:rPr>
        <w:t>48,2 mil.</w:t>
      </w:r>
      <w:r w:rsidRPr="00DB4D5E">
        <w:rPr>
          <w:rFonts w:eastAsia="Times New Roman"/>
          <w:szCs w:val="24"/>
          <w:lang w:eastAsia="cs-CZ"/>
        </w:rPr>
        <w:t xml:space="preserve"> Kč.</w:t>
      </w:r>
    </w:p>
    <w:p w:rsidR="00DB4D5E" w:rsidRPr="00DB4D5E" w:rsidRDefault="00DB4D5E" w:rsidP="00DB4D5E">
      <w:pPr>
        <w:tabs>
          <w:tab w:val="left" w:pos="6946"/>
        </w:tabs>
        <w:spacing w:before="100" w:after="0" w:line="240" w:lineRule="auto"/>
        <w:jc w:val="both"/>
        <w:rPr>
          <w:rFonts w:eastAsia="Times New Roman"/>
          <w:b/>
          <w:szCs w:val="24"/>
          <w:lang w:eastAsia="cs-CZ"/>
        </w:rPr>
      </w:pPr>
      <w:r w:rsidRPr="00DB4D5E">
        <w:rPr>
          <w:rFonts w:eastAsia="Times New Roman"/>
          <w:b/>
          <w:szCs w:val="20"/>
          <w:lang w:eastAsia="cs-CZ"/>
        </w:rPr>
        <w:t xml:space="preserve">Graf 1-2: </w:t>
      </w:r>
      <w:r w:rsidRPr="00DB4D5E">
        <w:rPr>
          <w:rFonts w:eastAsia="Times New Roman"/>
          <w:b/>
          <w:szCs w:val="24"/>
          <w:lang w:eastAsia="cs-CZ"/>
        </w:rPr>
        <w:t xml:space="preserve">Nově uzavřené poskytnuté licence </w:t>
      </w:r>
      <w:r w:rsidR="00151AA8">
        <w:rPr>
          <w:rFonts w:eastAsia="Times New Roman"/>
          <w:b/>
          <w:szCs w:val="24"/>
          <w:lang w:eastAsia="cs-CZ"/>
        </w:rPr>
        <w:t>podle předmětu licenční smlouvy,</w:t>
      </w:r>
      <w:r w:rsidRPr="00DB4D5E">
        <w:rPr>
          <w:rFonts w:eastAsia="Times New Roman"/>
          <w:b/>
          <w:szCs w:val="24"/>
          <w:lang w:eastAsia="cs-CZ"/>
        </w:rPr>
        <w:t xml:space="preserve"> 201</w:t>
      </w:r>
      <w:r w:rsidR="00C20988">
        <w:rPr>
          <w:rFonts w:eastAsia="Times New Roman"/>
          <w:b/>
          <w:szCs w:val="24"/>
          <w:lang w:eastAsia="cs-CZ"/>
        </w:rPr>
        <w:t>3</w:t>
      </w:r>
    </w:p>
    <w:p w:rsidR="00DB4D5E" w:rsidRPr="00DB4D5E" w:rsidRDefault="00DB4D5E" w:rsidP="00DB4D5E">
      <w:pPr>
        <w:tabs>
          <w:tab w:val="left" w:pos="392"/>
          <w:tab w:val="left" w:pos="4111"/>
          <w:tab w:val="left" w:pos="6946"/>
        </w:tabs>
        <w:spacing w:before="240" w:after="0" w:line="240" w:lineRule="auto"/>
        <w:jc w:val="both"/>
        <w:rPr>
          <w:rFonts w:eastAsia="Times New Roman"/>
          <w:b/>
          <w:sz w:val="16"/>
          <w:szCs w:val="16"/>
          <w:lang w:eastAsia="cs-CZ"/>
        </w:rPr>
      </w:pPr>
      <w:r w:rsidRPr="00DB4D5E">
        <w:rPr>
          <w:rFonts w:eastAsia="Times New Roman"/>
          <w:b/>
          <w:szCs w:val="24"/>
          <w:lang w:eastAsia="cs-CZ"/>
        </w:rPr>
        <w:t xml:space="preserve">             </w:t>
      </w:r>
      <w:r w:rsidRPr="00DB4D5E">
        <w:rPr>
          <w:rFonts w:eastAsia="Times New Roman"/>
          <w:b/>
          <w:sz w:val="16"/>
          <w:szCs w:val="16"/>
          <w:lang w:eastAsia="cs-CZ"/>
        </w:rPr>
        <w:t>Počet poskytovatelů licencí</w:t>
      </w:r>
      <w:r w:rsidRPr="00DB4D5E">
        <w:rPr>
          <w:rFonts w:eastAsia="Times New Roman"/>
          <w:b/>
          <w:sz w:val="16"/>
          <w:szCs w:val="16"/>
          <w:lang w:eastAsia="cs-CZ"/>
        </w:rPr>
        <w:tab/>
        <w:t>Počet platných licencí</w:t>
      </w:r>
      <w:r w:rsidRPr="00DB4D5E">
        <w:rPr>
          <w:rFonts w:eastAsia="Times New Roman"/>
          <w:b/>
          <w:sz w:val="16"/>
          <w:szCs w:val="16"/>
          <w:lang w:eastAsia="cs-CZ"/>
        </w:rPr>
        <w:tab/>
        <w:t>Přijaté licenční poplatky (v mil. Kč)</w:t>
      </w:r>
    </w:p>
    <w:p w:rsidR="00DB4D5E" w:rsidRPr="00DB4D5E" w:rsidRDefault="0016384A" w:rsidP="00DB4D5E">
      <w:pPr>
        <w:spacing w:before="100" w:after="0" w:line="240" w:lineRule="auto"/>
        <w:jc w:val="both"/>
        <w:rPr>
          <w:rFonts w:eastAsia="Times New Roman"/>
          <w:b/>
          <w:szCs w:val="24"/>
          <w:lang w:eastAsia="cs-CZ"/>
        </w:rPr>
      </w:pPr>
      <w:r w:rsidRPr="0016384A">
        <w:rPr>
          <w:rFonts w:eastAsia="Times New Roman"/>
          <w:b/>
          <w:noProof/>
          <w:szCs w:val="24"/>
          <w:lang w:eastAsia="cs-CZ"/>
        </w:rPr>
        <w:drawing>
          <wp:inline distT="0" distB="0" distL="0" distR="0">
            <wp:extent cx="2028825" cy="2019301"/>
            <wp:effectExtent l="0" t="0" r="0" b="0"/>
            <wp:docPr id="5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6384A">
        <w:rPr>
          <w:rFonts w:eastAsia="Times New Roman"/>
          <w:b/>
          <w:noProof/>
          <w:szCs w:val="24"/>
          <w:lang w:eastAsia="cs-CZ"/>
        </w:rPr>
        <w:drawing>
          <wp:inline distT="0" distB="0" distL="0" distR="0">
            <wp:extent cx="2028825" cy="2019301"/>
            <wp:effectExtent l="0" t="0" r="0" b="0"/>
            <wp:docPr id="8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16384A">
        <w:rPr>
          <w:rFonts w:eastAsia="Times New Roman"/>
          <w:b/>
          <w:noProof/>
          <w:szCs w:val="24"/>
          <w:lang w:eastAsia="cs-CZ"/>
        </w:rPr>
        <w:drawing>
          <wp:inline distT="0" distB="0" distL="0" distR="0">
            <wp:extent cx="2028825" cy="2019301"/>
            <wp:effectExtent l="0" t="0" r="0" b="0"/>
            <wp:docPr id="9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4D5E" w:rsidRPr="00DB4D5E" w:rsidRDefault="00DB4D5E" w:rsidP="00DB4D5E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overflowPunct w:val="0"/>
        <w:autoSpaceDE w:val="0"/>
        <w:autoSpaceDN w:val="0"/>
        <w:adjustRightInd w:val="0"/>
        <w:spacing w:before="360" w:after="120" w:line="240" w:lineRule="auto"/>
        <w:jc w:val="both"/>
        <w:textAlignment w:val="baseline"/>
        <w:rPr>
          <w:rFonts w:eastAsia="Times New Roman" w:cs="Arial"/>
          <w:b/>
          <w:sz w:val="24"/>
          <w:szCs w:val="24"/>
          <w:lang w:eastAsia="cs-CZ"/>
        </w:rPr>
      </w:pPr>
      <w:r w:rsidRPr="00DB4D5E">
        <w:rPr>
          <w:rFonts w:eastAsia="Times New Roman" w:cs="Arial"/>
          <w:b/>
          <w:sz w:val="24"/>
          <w:szCs w:val="24"/>
          <w:lang w:eastAsia="cs-CZ"/>
        </w:rPr>
        <w:lastRenderedPageBreak/>
        <w:t xml:space="preserve">1.2 Poskytnuté licence na patenty a užitné vzory </w:t>
      </w:r>
    </w:p>
    <w:p w:rsidR="00DB4D5E" w:rsidRPr="00DB4D5E" w:rsidRDefault="00DB4D5E" w:rsidP="00DB4D5E">
      <w:pPr>
        <w:spacing w:before="60" w:after="60" w:line="240" w:lineRule="auto"/>
        <w:ind w:firstLine="340"/>
        <w:jc w:val="both"/>
        <w:rPr>
          <w:rFonts w:eastAsia="Times New Roman"/>
          <w:szCs w:val="24"/>
          <w:lang w:eastAsia="cs-CZ"/>
        </w:rPr>
      </w:pPr>
      <w:r w:rsidRPr="00DB4D5E">
        <w:rPr>
          <w:rFonts w:eastAsia="Times New Roman"/>
          <w:szCs w:val="24"/>
          <w:lang w:eastAsia="cs-CZ"/>
        </w:rPr>
        <w:t>Z hlediska šíření výsledků výzkumu a vývoje a jeho finančního zhodnocení (prodeje) patří mezi nejvýznamnější předměty licenčních smluv licence na patenty a užitné vzory. Podrobnější údaje za tyto licence jsou uvedeny v následující kapitole.</w:t>
      </w:r>
    </w:p>
    <w:p w:rsidR="00DB4D5E" w:rsidRPr="00DB4D5E" w:rsidRDefault="00DB4D5E" w:rsidP="00DB4D5E">
      <w:pPr>
        <w:spacing w:before="240" w:after="120" w:line="240" w:lineRule="auto"/>
        <w:jc w:val="both"/>
        <w:rPr>
          <w:rFonts w:eastAsia="Times New Roman"/>
          <w:b/>
          <w:bCs/>
          <w:i/>
          <w:sz w:val="22"/>
          <w:szCs w:val="24"/>
          <w:lang w:eastAsia="cs-CZ"/>
        </w:rPr>
      </w:pPr>
      <w:r w:rsidRPr="00DB4D5E">
        <w:rPr>
          <w:rFonts w:eastAsia="Times New Roman"/>
          <w:b/>
          <w:bCs/>
          <w:i/>
          <w:sz w:val="22"/>
          <w:szCs w:val="24"/>
          <w:lang w:eastAsia="cs-CZ"/>
        </w:rPr>
        <w:t>Počet poskytovatelů licencí na patenty a užitné vzory</w:t>
      </w:r>
    </w:p>
    <w:p w:rsidR="00DB4D5E" w:rsidRPr="00DB4D5E" w:rsidRDefault="00DB4D5E" w:rsidP="00DB4D5E">
      <w:pPr>
        <w:spacing w:before="60" w:after="60" w:line="240" w:lineRule="auto"/>
        <w:ind w:firstLine="340"/>
        <w:jc w:val="both"/>
        <w:rPr>
          <w:rFonts w:eastAsia="Times New Roman"/>
          <w:szCs w:val="24"/>
          <w:lang w:eastAsia="cs-CZ"/>
        </w:rPr>
      </w:pPr>
      <w:r w:rsidRPr="00DB4D5E">
        <w:rPr>
          <w:rFonts w:eastAsia="Times New Roman"/>
          <w:szCs w:val="24"/>
          <w:lang w:eastAsia="cs-CZ"/>
        </w:rPr>
        <w:t>V roce 201</w:t>
      </w:r>
      <w:r w:rsidR="00EC2F40">
        <w:rPr>
          <w:rFonts w:eastAsia="Times New Roman"/>
          <w:szCs w:val="24"/>
          <w:lang w:eastAsia="cs-CZ"/>
        </w:rPr>
        <w:t>3</w:t>
      </w:r>
      <w:r w:rsidRPr="00DB4D5E">
        <w:rPr>
          <w:rFonts w:eastAsia="Times New Roman"/>
          <w:szCs w:val="24"/>
          <w:lang w:eastAsia="cs-CZ"/>
        </w:rPr>
        <w:t xml:space="preserve"> bylo v České republice zjištěno 1</w:t>
      </w:r>
      <w:r w:rsidR="00D370B1">
        <w:rPr>
          <w:rFonts w:eastAsia="Times New Roman"/>
          <w:szCs w:val="24"/>
          <w:lang w:eastAsia="cs-CZ"/>
        </w:rPr>
        <w:t>2</w:t>
      </w:r>
      <w:r w:rsidR="004668A7">
        <w:rPr>
          <w:rFonts w:eastAsia="Times New Roman"/>
          <w:szCs w:val="24"/>
          <w:lang w:eastAsia="cs-CZ"/>
        </w:rPr>
        <w:t>6</w:t>
      </w:r>
      <w:r w:rsidRPr="00DB4D5E">
        <w:rPr>
          <w:rFonts w:eastAsia="Times New Roman"/>
          <w:szCs w:val="24"/>
          <w:lang w:eastAsia="cs-CZ"/>
        </w:rPr>
        <w:t xml:space="preserve"> subjektů, kteří byli poskytovateli platné licence na patent nebo užitný vzor</w:t>
      </w:r>
      <w:r w:rsidRPr="00DB4D5E">
        <w:rPr>
          <w:rFonts w:eastAsia="Times New Roman"/>
          <w:szCs w:val="24"/>
          <w:vertAlign w:val="superscript"/>
          <w:lang w:eastAsia="cs-CZ"/>
        </w:rPr>
        <w:footnoteReference w:id="1"/>
      </w:r>
      <w:r w:rsidRPr="00DB4D5E">
        <w:rPr>
          <w:rFonts w:eastAsia="Times New Roman"/>
          <w:szCs w:val="24"/>
          <w:lang w:eastAsia="cs-CZ"/>
        </w:rPr>
        <w:t>. Šetřením bylo zároveň zjištěno, že v roce 201</w:t>
      </w:r>
      <w:r w:rsidR="004668A7">
        <w:rPr>
          <w:rFonts w:eastAsia="Times New Roman"/>
          <w:szCs w:val="24"/>
          <w:lang w:eastAsia="cs-CZ"/>
        </w:rPr>
        <w:t>3</w:t>
      </w:r>
      <w:r w:rsidRPr="00DB4D5E">
        <w:rPr>
          <w:rFonts w:eastAsia="Times New Roman"/>
          <w:szCs w:val="24"/>
          <w:lang w:eastAsia="cs-CZ"/>
        </w:rPr>
        <w:t xml:space="preserve"> nově poskytlo platnou lice</w:t>
      </w:r>
      <w:r w:rsidR="004668A7">
        <w:rPr>
          <w:rFonts w:eastAsia="Times New Roman"/>
          <w:szCs w:val="24"/>
          <w:lang w:eastAsia="cs-CZ"/>
        </w:rPr>
        <w:t>nci na patent nebo užitný vzor 50</w:t>
      </w:r>
      <w:r w:rsidRPr="00DB4D5E">
        <w:rPr>
          <w:rFonts w:eastAsia="Times New Roman"/>
          <w:szCs w:val="24"/>
          <w:lang w:eastAsia="cs-CZ"/>
        </w:rPr>
        <w:t xml:space="preserve"> subjektů, tj. </w:t>
      </w:r>
      <w:r w:rsidR="004668A7">
        <w:rPr>
          <w:rFonts w:eastAsia="Times New Roman"/>
          <w:szCs w:val="24"/>
          <w:lang w:eastAsia="cs-CZ"/>
        </w:rPr>
        <w:t>40</w:t>
      </w:r>
      <w:r w:rsidRPr="00DB4D5E">
        <w:rPr>
          <w:rFonts w:eastAsia="Times New Roman"/>
          <w:szCs w:val="24"/>
          <w:lang w:eastAsia="cs-CZ"/>
        </w:rPr>
        <w:t> % z celkového počtu všech poskytovatelů licencí na patent nebo užitný vzor v ČR.</w:t>
      </w:r>
    </w:p>
    <w:p w:rsidR="00DB4D5E" w:rsidRPr="00DB4D5E" w:rsidRDefault="00DB4D5E" w:rsidP="00DB4D5E">
      <w:pPr>
        <w:spacing w:before="60" w:after="60" w:line="240" w:lineRule="auto"/>
        <w:ind w:firstLine="340"/>
        <w:jc w:val="both"/>
        <w:rPr>
          <w:rFonts w:eastAsia="Times New Roman"/>
          <w:szCs w:val="24"/>
          <w:lang w:eastAsia="cs-CZ"/>
        </w:rPr>
      </w:pPr>
      <w:r w:rsidRPr="00FD5687">
        <w:rPr>
          <w:rFonts w:eastAsia="Times New Roman"/>
          <w:szCs w:val="24"/>
          <w:lang w:eastAsia="cs-CZ"/>
        </w:rPr>
        <w:t xml:space="preserve">Ze subjektů, které poskytly licence na patenty a užitné vzory jich </w:t>
      </w:r>
      <w:r w:rsidR="00FD5687" w:rsidRPr="00FD5687">
        <w:rPr>
          <w:rFonts w:eastAsia="Times New Roman"/>
          <w:szCs w:val="24"/>
          <w:lang w:eastAsia="cs-CZ"/>
        </w:rPr>
        <w:t>22</w:t>
      </w:r>
      <w:r w:rsidRPr="00FD5687">
        <w:rPr>
          <w:rFonts w:eastAsia="Times New Roman"/>
          <w:szCs w:val="24"/>
          <w:lang w:eastAsia="cs-CZ"/>
        </w:rPr>
        <w:t xml:space="preserve"> poskytl</w:t>
      </w:r>
      <w:r w:rsidR="007877D8" w:rsidRPr="00FD5687">
        <w:rPr>
          <w:rFonts w:eastAsia="Times New Roman"/>
          <w:szCs w:val="24"/>
          <w:lang w:eastAsia="cs-CZ"/>
        </w:rPr>
        <w:t>o</w:t>
      </w:r>
      <w:r w:rsidRPr="00FD5687">
        <w:rPr>
          <w:rFonts w:eastAsia="Times New Roman"/>
          <w:szCs w:val="24"/>
          <w:lang w:eastAsia="cs-CZ"/>
        </w:rPr>
        <w:t xml:space="preserve"> licence na „stroje a zařízení pro všeobecné a speciální účely. Na „chemické látky a chemické přípravky“ poskytlo licenci 1</w:t>
      </w:r>
      <w:r w:rsidR="00FD5687" w:rsidRPr="00FD5687">
        <w:rPr>
          <w:rFonts w:eastAsia="Times New Roman"/>
          <w:szCs w:val="24"/>
          <w:lang w:eastAsia="cs-CZ"/>
        </w:rPr>
        <w:t>4</w:t>
      </w:r>
      <w:r w:rsidRPr="00FD5687">
        <w:rPr>
          <w:rFonts w:eastAsia="Times New Roman"/>
          <w:szCs w:val="24"/>
          <w:lang w:eastAsia="cs-CZ"/>
        </w:rPr>
        <w:t xml:space="preserve"> subjektů.</w:t>
      </w:r>
      <w:r w:rsidRPr="00DB4D5E">
        <w:rPr>
          <w:rFonts w:eastAsia="Times New Roman"/>
          <w:szCs w:val="24"/>
          <w:lang w:eastAsia="cs-CZ"/>
        </w:rPr>
        <w:t xml:space="preserve"> </w:t>
      </w:r>
    </w:p>
    <w:p w:rsidR="00DB4D5E" w:rsidRPr="00DB4D5E" w:rsidRDefault="00DB4D5E" w:rsidP="00DB4D5E">
      <w:pPr>
        <w:spacing w:after="0" w:line="240" w:lineRule="auto"/>
        <w:jc w:val="both"/>
        <w:rPr>
          <w:rFonts w:eastAsia="Times New Roman"/>
          <w:b/>
          <w:bCs/>
          <w:szCs w:val="24"/>
          <w:lang w:eastAsia="cs-CZ"/>
        </w:rPr>
      </w:pPr>
      <w:r w:rsidRPr="00DB4D5E">
        <w:rPr>
          <w:rFonts w:eastAsia="Times New Roman"/>
          <w:b/>
          <w:bCs/>
          <w:szCs w:val="24"/>
          <w:lang w:eastAsia="cs-CZ"/>
        </w:rPr>
        <w:t>Graf 1-3: Počet poskytovatelů licencí na patenty a užitné vzory v ČR, 2004 – 201</w:t>
      </w:r>
      <w:r w:rsidR="004668A7">
        <w:rPr>
          <w:rFonts w:eastAsia="Times New Roman"/>
          <w:b/>
          <w:bCs/>
          <w:szCs w:val="24"/>
          <w:lang w:eastAsia="cs-CZ"/>
        </w:rPr>
        <w:t>3</w:t>
      </w:r>
    </w:p>
    <w:p w:rsidR="00DB4D5E" w:rsidRPr="00DB4D5E" w:rsidRDefault="003C7CF5" w:rsidP="00F97AB2">
      <w:pPr>
        <w:spacing w:before="0" w:after="0" w:line="240" w:lineRule="auto"/>
        <w:jc w:val="both"/>
        <w:rPr>
          <w:rFonts w:eastAsia="Times New Roman"/>
          <w:szCs w:val="24"/>
          <w:lang w:eastAsia="cs-CZ"/>
        </w:rPr>
      </w:pPr>
      <w:r w:rsidRPr="003C7CF5">
        <w:rPr>
          <w:rFonts w:eastAsia="Times New Roman"/>
          <w:noProof/>
          <w:szCs w:val="24"/>
          <w:lang w:eastAsia="cs-CZ"/>
        </w:rPr>
        <w:drawing>
          <wp:inline distT="0" distB="0" distL="0" distR="0">
            <wp:extent cx="2990850" cy="2619375"/>
            <wp:effectExtent l="0" t="0" r="0" b="0"/>
            <wp:docPr id="11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F339C6" w:rsidRPr="00F339C6">
        <w:rPr>
          <w:rFonts w:eastAsia="Times New Roman"/>
          <w:szCs w:val="24"/>
          <w:lang w:eastAsia="cs-CZ"/>
        </w:rPr>
        <w:t xml:space="preserve"> </w:t>
      </w:r>
      <w:r w:rsidR="00F339C6" w:rsidRPr="00F339C6">
        <w:rPr>
          <w:rFonts w:eastAsia="Times New Roman"/>
          <w:noProof/>
          <w:szCs w:val="24"/>
          <w:lang w:eastAsia="cs-CZ"/>
        </w:rPr>
        <w:drawing>
          <wp:inline distT="0" distB="0" distL="0" distR="0">
            <wp:extent cx="3048000" cy="2619375"/>
            <wp:effectExtent l="0" t="0" r="0" b="0"/>
            <wp:docPr id="23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B4D5E" w:rsidRPr="00DB4D5E" w:rsidRDefault="00DB4D5E" w:rsidP="00DB4D5E">
      <w:pPr>
        <w:spacing w:after="120" w:line="240" w:lineRule="auto"/>
        <w:jc w:val="both"/>
        <w:rPr>
          <w:rFonts w:eastAsia="Times New Roman"/>
          <w:b/>
          <w:bCs/>
          <w:i/>
          <w:sz w:val="22"/>
          <w:szCs w:val="24"/>
          <w:lang w:eastAsia="cs-CZ"/>
        </w:rPr>
      </w:pPr>
      <w:r w:rsidRPr="00DB4D5E">
        <w:rPr>
          <w:rFonts w:eastAsia="Times New Roman"/>
          <w:b/>
          <w:bCs/>
          <w:i/>
          <w:sz w:val="22"/>
          <w:szCs w:val="24"/>
          <w:lang w:eastAsia="cs-CZ"/>
        </w:rPr>
        <w:t>Počet poskytnutých licencí na patenty a užitné vzory</w:t>
      </w:r>
    </w:p>
    <w:p w:rsidR="00DB4D5E" w:rsidRPr="00DB4D5E" w:rsidRDefault="00DB4D5E" w:rsidP="00DB4D5E">
      <w:pPr>
        <w:spacing w:before="60" w:after="60" w:line="240" w:lineRule="auto"/>
        <w:ind w:firstLine="340"/>
        <w:jc w:val="both"/>
        <w:rPr>
          <w:rFonts w:eastAsia="Times New Roman"/>
          <w:szCs w:val="24"/>
          <w:lang w:eastAsia="cs-CZ"/>
        </w:rPr>
      </w:pPr>
      <w:r w:rsidRPr="00DB4D5E">
        <w:rPr>
          <w:rFonts w:eastAsia="Times New Roman"/>
          <w:szCs w:val="24"/>
          <w:lang w:eastAsia="cs-CZ"/>
        </w:rPr>
        <w:t>V roce 201</w:t>
      </w:r>
      <w:r w:rsidR="004668A7">
        <w:rPr>
          <w:rFonts w:eastAsia="Times New Roman"/>
          <w:szCs w:val="24"/>
          <w:lang w:eastAsia="cs-CZ"/>
        </w:rPr>
        <w:t>3</w:t>
      </w:r>
      <w:r w:rsidRPr="00DB4D5E">
        <w:rPr>
          <w:rFonts w:eastAsia="Times New Roman"/>
          <w:szCs w:val="24"/>
          <w:lang w:eastAsia="cs-CZ"/>
        </w:rPr>
        <w:t xml:space="preserve"> bylo zjištěno </w:t>
      </w:r>
      <w:r w:rsidR="00FA22BA">
        <w:rPr>
          <w:rFonts w:eastAsia="Times New Roman"/>
          <w:szCs w:val="24"/>
          <w:lang w:eastAsia="cs-CZ"/>
        </w:rPr>
        <w:t>7</w:t>
      </w:r>
      <w:r w:rsidR="004668A7">
        <w:rPr>
          <w:rFonts w:eastAsia="Times New Roman"/>
          <w:szCs w:val="24"/>
          <w:lang w:eastAsia="cs-CZ"/>
        </w:rPr>
        <w:t>22</w:t>
      </w:r>
      <w:r w:rsidRPr="00DB4D5E">
        <w:rPr>
          <w:rFonts w:eastAsia="Times New Roman"/>
          <w:szCs w:val="24"/>
          <w:lang w:eastAsia="cs-CZ"/>
        </w:rPr>
        <w:t xml:space="preserve"> </w:t>
      </w:r>
      <w:r w:rsidR="00F3152B">
        <w:rPr>
          <w:rFonts w:eastAsia="Times New Roman"/>
          <w:szCs w:val="24"/>
          <w:lang w:eastAsia="cs-CZ"/>
        </w:rPr>
        <w:t xml:space="preserve">platných </w:t>
      </w:r>
      <w:r w:rsidRPr="00DB4D5E">
        <w:rPr>
          <w:rFonts w:eastAsia="Times New Roman"/>
          <w:szCs w:val="24"/>
          <w:lang w:eastAsia="cs-CZ"/>
        </w:rPr>
        <w:t xml:space="preserve">prodaných licencí na patenty nebo užitné vzory, za které bylo inkasováno celkem </w:t>
      </w:r>
      <w:r w:rsidR="004668A7">
        <w:rPr>
          <w:rFonts w:eastAsia="Times New Roman"/>
          <w:szCs w:val="24"/>
          <w:lang w:eastAsia="cs-CZ"/>
        </w:rPr>
        <w:t>2</w:t>
      </w:r>
      <w:r w:rsidR="00F3152B">
        <w:rPr>
          <w:rFonts w:eastAsia="Times New Roman"/>
          <w:szCs w:val="24"/>
          <w:lang w:eastAsia="cs-CZ"/>
        </w:rPr>
        <w:t xml:space="preserve"> </w:t>
      </w:r>
      <w:r w:rsidR="004668A7">
        <w:rPr>
          <w:rFonts w:eastAsia="Times New Roman"/>
          <w:szCs w:val="24"/>
          <w:lang w:eastAsia="cs-CZ"/>
        </w:rPr>
        <w:t>534</w:t>
      </w:r>
      <w:r w:rsidRPr="00DB4D5E">
        <w:rPr>
          <w:rFonts w:eastAsia="Times New Roman"/>
          <w:szCs w:val="24"/>
          <w:lang w:eastAsia="cs-CZ"/>
        </w:rPr>
        <w:t xml:space="preserve"> mil. Kč. Z celkového počtu prodaných licencí na patenty a užitné vzory bylo v roce 201</w:t>
      </w:r>
      <w:r w:rsidR="00F3152B">
        <w:rPr>
          <w:rFonts w:eastAsia="Times New Roman"/>
          <w:szCs w:val="24"/>
          <w:lang w:eastAsia="cs-CZ"/>
        </w:rPr>
        <w:t>3</w:t>
      </w:r>
      <w:r w:rsidRPr="00DB4D5E">
        <w:rPr>
          <w:rFonts w:eastAsia="Times New Roman"/>
          <w:szCs w:val="24"/>
          <w:lang w:eastAsia="cs-CZ"/>
        </w:rPr>
        <w:t xml:space="preserve"> nově uzavřeno </w:t>
      </w:r>
      <w:r w:rsidR="00FA22BA">
        <w:rPr>
          <w:rFonts w:eastAsia="Times New Roman"/>
          <w:szCs w:val="24"/>
          <w:lang w:eastAsia="cs-CZ"/>
        </w:rPr>
        <w:t>1</w:t>
      </w:r>
      <w:r w:rsidR="00F3152B">
        <w:rPr>
          <w:rFonts w:eastAsia="Times New Roman"/>
          <w:szCs w:val="24"/>
          <w:lang w:eastAsia="cs-CZ"/>
        </w:rPr>
        <w:t>26</w:t>
      </w:r>
      <w:r w:rsidRPr="00DB4D5E">
        <w:rPr>
          <w:rFonts w:eastAsia="Times New Roman"/>
          <w:szCs w:val="24"/>
          <w:lang w:eastAsia="cs-CZ"/>
        </w:rPr>
        <w:t xml:space="preserve"> licenčních smluv. Licenční poplatek na jednu nově uzavřenou licenci činil </w:t>
      </w:r>
      <w:r w:rsidR="00F3152B">
        <w:rPr>
          <w:rFonts w:eastAsia="Times New Roman"/>
          <w:szCs w:val="24"/>
          <w:lang w:eastAsia="cs-CZ"/>
        </w:rPr>
        <w:t>2,2 mil</w:t>
      </w:r>
      <w:r w:rsidRPr="00DB4D5E">
        <w:rPr>
          <w:rFonts w:eastAsia="Times New Roman"/>
          <w:szCs w:val="24"/>
          <w:lang w:eastAsia="cs-CZ"/>
        </w:rPr>
        <w:t>.</w:t>
      </w:r>
      <w:r w:rsidR="00F3152B">
        <w:rPr>
          <w:rFonts w:eastAsia="Times New Roman"/>
          <w:szCs w:val="24"/>
          <w:lang w:eastAsia="cs-CZ"/>
        </w:rPr>
        <w:t> </w:t>
      </w:r>
      <w:r w:rsidRPr="00DB4D5E">
        <w:rPr>
          <w:rFonts w:eastAsia="Times New Roman"/>
          <w:szCs w:val="24"/>
          <w:lang w:eastAsia="cs-CZ"/>
        </w:rPr>
        <w:t xml:space="preserve">Kč. </w:t>
      </w:r>
    </w:p>
    <w:p w:rsidR="00DB4D5E" w:rsidRPr="00DB4D5E" w:rsidRDefault="00DB4D5E" w:rsidP="00DB4D5E">
      <w:pPr>
        <w:spacing w:before="60" w:after="60" w:line="240" w:lineRule="auto"/>
        <w:ind w:firstLine="340"/>
        <w:jc w:val="both"/>
        <w:rPr>
          <w:rFonts w:eastAsia="Times New Roman"/>
          <w:szCs w:val="24"/>
          <w:lang w:eastAsia="cs-CZ"/>
        </w:rPr>
      </w:pPr>
      <w:r w:rsidRPr="00DB4D5E">
        <w:rPr>
          <w:rFonts w:eastAsia="Times New Roman"/>
          <w:szCs w:val="24"/>
          <w:lang w:eastAsia="cs-CZ"/>
        </w:rPr>
        <w:t>Šetření prokázalo, že nejvíce platných licencí (2</w:t>
      </w:r>
      <w:r w:rsidR="00F3152B">
        <w:rPr>
          <w:rFonts w:eastAsia="Times New Roman"/>
          <w:szCs w:val="24"/>
          <w:lang w:eastAsia="cs-CZ"/>
        </w:rPr>
        <w:t>67</w:t>
      </w:r>
      <w:r w:rsidRPr="00DB4D5E">
        <w:rPr>
          <w:rFonts w:eastAsia="Times New Roman"/>
          <w:szCs w:val="24"/>
          <w:lang w:eastAsia="cs-CZ"/>
        </w:rPr>
        <w:t>) bylo uzavřeno v produktové skupině „dřevo a dřevěné a korkové výrobky“. Na „</w:t>
      </w:r>
      <w:r w:rsidR="00F3152B" w:rsidRPr="00F3152B">
        <w:rPr>
          <w:rFonts w:eastAsia="Times New Roman"/>
          <w:szCs w:val="24"/>
          <w:lang w:eastAsia="cs-CZ"/>
        </w:rPr>
        <w:t>Stroje a zařízení pro všeobecné a speciální účely</w:t>
      </w:r>
      <w:r w:rsidRPr="00DB4D5E">
        <w:rPr>
          <w:rFonts w:eastAsia="Times New Roman"/>
          <w:szCs w:val="24"/>
          <w:lang w:eastAsia="cs-CZ"/>
        </w:rPr>
        <w:t xml:space="preserve">“ bylo zjištěno </w:t>
      </w:r>
      <w:r w:rsidR="00FA22BA">
        <w:rPr>
          <w:rFonts w:eastAsia="Times New Roman"/>
          <w:szCs w:val="24"/>
          <w:lang w:eastAsia="cs-CZ"/>
        </w:rPr>
        <w:t>10</w:t>
      </w:r>
      <w:r w:rsidR="00F3152B">
        <w:rPr>
          <w:rFonts w:eastAsia="Times New Roman"/>
          <w:szCs w:val="24"/>
          <w:lang w:eastAsia="cs-CZ"/>
        </w:rPr>
        <w:t>0</w:t>
      </w:r>
      <w:r w:rsidRPr="00DB4D5E">
        <w:rPr>
          <w:rFonts w:eastAsia="Times New Roman"/>
          <w:szCs w:val="24"/>
          <w:lang w:eastAsia="cs-CZ"/>
        </w:rPr>
        <w:t xml:space="preserve"> platných licencí</w:t>
      </w:r>
      <w:r w:rsidR="00FA22BA">
        <w:rPr>
          <w:rFonts w:eastAsia="Times New Roman"/>
          <w:szCs w:val="24"/>
          <w:lang w:eastAsia="cs-CZ"/>
        </w:rPr>
        <w:t xml:space="preserve"> na patent nebo užitný vzor</w:t>
      </w:r>
      <w:r w:rsidRPr="00DB4D5E">
        <w:rPr>
          <w:rFonts w:eastAsia="Times New Roman"/>
          <w:szCs w:val="24"/>
          <w:lang w:eastAsia="cs-CZ"/>
        </w:rPr>
        <w:t xml:space="preserve">. </w:t>
      </w:r>
    </w:p>
    <w:p w:rsidR="00DB4D5E" w:rsidRPr="00DB4D5E" w:rsidRDefault="00DB4D5E" w:rsidP="00DB4D5E">
      <w:pPr>
        <w:tabs>
          <w:tab w:val="left" w:pos="6946"/>
        </w:tabs>
        <w:spacing w:after="0" w:line="240" w:lineRule="auto"/>
        <w:jc w:val="both"/>
        <w:rPr>
          <w:rFonts w:eastAsia="Times New Roman"/>
          <w:b/>
          <w:szCs w:val="24"/>
          <w:lang w:eastAsia="cs-CZ"/>
        </w:rPr>
      </w:pPr>
      <w:r w:rsidRPr="00DB4D5E">
        <w:rPr>
          <w:rFonts w:eastAsia="Times New Roman"/>
          <w:b/>
          <w:bCs/>
          <w:szCs w:val="24"/>
          <w:lang w:eastAsia="cs-CZ"/>
        </w:rPr>
        <w:t xml:space="preserve">Graf 1-4: </w:t>
      </w:r>
      <w:r w:rsidRPr="00DB4D5E">
        <w:rPr>
          <w:rFonts w:eastAsia="Times New Roman"/>
          <w:b/>
          <w:szCs w:val="24"/>
          <w:lang w:eastAsia="cs-CZ"/>
        </w:rPr>
        <w:t>Počet poskytnutých licencí n</w:t>
      </w:r>
      <w:r w:rsidRPr="00DB4D5E">
        <w:rPr>
          <w:rFonts w:eastAsia="Times New Roman"/>
          <w:b/>
          <w:noProof/>
          <w:szCs w:val="24"/>
          <w:lang w:eastAsia="cs-CZ"/>
        </w:rPr>
        <w:t>a patenty a užitné vzory</w:t>
      </w:r>
      <w:r w:rsidRPr="00DB4D5E">
        <w:rPr>
          <w:rFonts w:eastAsia="Times New Roman"/>
          <w:b/>
          <w:szCs w:val="24"/>
          <w:lang w:eastAsia="cs-CZ"/>
        </w:rPr>
        <w:t>, 2004 – 201</w:t>
      </w:r>
      <w:r w:rsidR="00F3152B">
        <w:rPr>
          <w:rFonts w:eastAsia="Times New Roman"/>
          <w:b/>
          <w:szCs w:val="24"/>
          <w:lang w:eastAsia="cs-CZ"/>
        </w:rPr>
        <w:t>3</w:t>
      </w:r>
    </w:p>
    <w:p w:rsidR="00DB4D5E" w:rsidRPr="00DB4D5E" w:rsidRDefault="003C7CF5" w:rsidP="00DB4D5E">
      <w:pPr>
        <w:spacing w:before="0" w:after="0" w:line="240" w:lineRule="auto"/>
        <w:jc w:val="both"/>
        <w:rPr>
          <w:rFonts w:eastAsia="Times New Roman"/>
          <w:b/>
          <w:szCs w:val="24"/>
          <w:lang w:eastAsia="cs-CZ"/>
        </w:rPr>
      </w:pPr>
      <w:r w:rsidRPr="003C7CF5">
        <w:rPr>
          <w:rFonts w:eastAsia="Times New Roman"/>
          <w:b/>
          <w:noProof/>
          <w:szCs w:val="24"/>
          <w:lang w:eastAsia="cs-CZ"/>
        </w:rPr>
        <w:drawing>
          <wp:inline distT="0" distB="0" distL="0" distR="0">
            <wp:extent cx="3048000" cy="2619374"/>
            <wp:effectExtent l="0" t="0" r="0" b="0"/>
            <wp:docPr id="1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D01EF1" w:rsidRPr="00D01EF1">
        <w:rPr>
          <w:rFonts w:eastAsia="Times New Roman"/>
          <w:b/>
          <w:szCs w:val="24"/>
          <w:lang w:eastAsia="cs-CZ"/>
        </w:rPr>
        <w:t xml:space="preserve"> </w:t>
      </w:r>
      <w:r w:rsidR="00D01EF1" w:rsidRPr="00D01EF1">
        <w:rPr>
          <w:rFonts w:eastAsia="Times New Roman"/>
          <w:b/>
          <w:noProof/>
          <w:szCs w:val="24"/>
          <w:lang w:eastAsia="cs-CZ"/>
        </w:rPr>
        <w:drawing>
          <wp:inline distT="0" distB="0" distL="0" distR="0">
            <wp:extent cx="3000375" cy="2619375"/>
            <wp:effectExtent l="0" t="0" r="0" b="0"/>
            <wp:docPr id="25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B4D5E" w:rsidRPr="00DB4D5E" w:rsidRDefault="00DB4D5E" w:rsidP="00DB4D5E">
      <w:pPr>
        <w:spacing w:after="120" w:line="240" w:lineRule="auto"/>
        <w:jc w:val="both"/>
        <w:rPr>
          <w:rFonts w:eastAsia="Times New Roman"/>
          <w:b/>
          <w:bCs/>
          <w:i/>
          <w:sz w:val="22"/>
          <w:szCs w:val="24"/>
          <w:lang w:eastAsia="cs-CZ"/>
        </w:rPr>
      </w:pPr>
      <w:r w:rsidRPr="00DB4D5E">
        <w:rPr>
          <w:rFonts w:eastAsia="Times New Roman"/>
          <w:b/>
          <w:bCs/>
          <w:i/>
          <w:sz w:val="22"/>
          <w:szCs w:val="24"/>
          <w:lang w:eastAsia="cs-CZ"/>
        </w:rPr>
        <w:lastRenderedPageBreak/>
        <w:t>Licenční poplatky přijaté za licence na patenty a užitné vzory</w:t>
      </w:r>
    </w:p>
    <w:p w:rsidR="00DB4D5E" w:rsidRPr="00DB4D5E" w:rsidRDefault="00DB4D5E" w:rsidP="00DB4D5E">
      <w:pPr>
        <w:spacing w:before="60" w:after="60" w:line="240" w:lineRule="auto"/>
        <w:ind w:firstLine="340"/>
        <w:jc w:val="both"/>
        <w:rPr>
          <w:rFonts w:eastAsia="Times New Roman"/>
          <w:szCs w:val="24"/>
          <w:lang w:eastAsia="cs-CZ"/>
        </w:rPr>
      </w:pPr>
      <w:r w:rsidRPr="00DB4D5E">
        <w:rPr>
          <w:rFonts w:eastAsia="Times New Roman"/>
          <w:szCs w:val="24"/>
          <w:lang w:eastAsia="cs-CZ"/>
        </w:rPr>
        <w:t>Hodnota inkasovaných licenčních poplatků</w:t>
      </w:r>
      <w:r w:rsidRPr="00DB4D5E">
        <w:rPr>
          <w:rFonts w:eastAsia="Times New Roman"/>
          <w:szCs w:val="24"/>
          <w:vertAlign w:val="superscript"/>
          <w:lang w:eastAsia="cs-CZ"/>
        </w:rPr>
        <w:footnoteReference w:id="2"/>
      </w:r>
      <w:r w:rsidRPr="00DB4D5E">
        <w:rPr>
          <w:rFonts w:eastAsia="Times New Roman"/>
          <w:szCs w:val="24"/>
          <w:lang w:eastAsia="cs-CZ"/>
        </w:rPr>
        <w:t xml:space="preserve"> za patenty převyšuje inkasované poplatky za užitné vzory. Zatímco v roce 201</w:t>
      </w:r>
      <w:r w:rsidR="006F7FBC">
        <w:rPr>
          <w:rFonts w:eastAsia="Times New Roman"/>
          <w:szCs w:val="24"/>
          <w:lang w:eastAsia="cs-CZ"/>
        </w:rPr>
        <w:t>3</w:t>
      </w:r>
      <w:r w:rsidRPr="00DB4D5E">
        <w:rPr>
          <w:rFonts w:eastAsia="Times New Roman"/>
          <w:szCs w:val="24"/>
          <w:lang w:eastAsia="cs-CZ"/>
        </w:rPr>
        <w:t xml:space="preserve"> připadalo na jednu poskytnuté licenci na patent </w:t>
      </w:r>
      <w:r w:rsidR="006F7FBC">
        <w:rPr>
          <w:rFonts w:eastAsia="Times New Roman"/>
          <w:szCs w:val="24"/>
          <w:lang w:eastAsia="cs-CZ"/>
        </w:rPr>
        <w:t>4,8</w:t>
      </w:r>
      <w:r w:rsidRPr="00DB4D5E">
        <w:rPr>
          <w:rFonts w:eastAsia="Times New Roman"/>
          <w:szCs w:val="24"/>
          <w:lang w:eastAsia="cs-CZ"/>
        </w:rPr>
        <w:t xml:space="preserve"> mil. Kč, v případě užitných vzorů to bylo pouze </w:t>
      </w:r>
      <w:r w:rsidR="00251A5D">
        <w:rPr>
          <w:rFonts w:eastAsia="Times New Roman"/>
          <w:szCs w:val="24"/>
          <w:lang w:eastAsia="cs-CZ"/>
        </w:rPr>
        <w:t>0,</w:t>
      </w:r>
      <w:r w:rsidR="006F7FBC">
        <w:rPr>
          <w:rFonts w:eastAsia="Times New Roman"/>
          <w:szCs w:val="24"/>
          <w:lang w:eastAsia="cs-CZ"/>
        </w:rPr>
        <w:t>9</w:t>
      </w:r>
      <w:r w:rsidRPr="00DB4D5E">
        <w:rPr>
          <w:rFonts w:eastAsia="Times New Roman"/>
          <w:szCs w:val="24"/>
          <w:lang w:eastAsia="cs-CZ"/>
        </w:rPr>
        <w:t xml:space="preserve"> mil. Kč. U nově uzavřených licencí je situace podobná. Na jednu nově uzavřenou licenčn</w:t>
      </w:r>
      <w:r w:rsidR="00251A5D">
        <w:rPr>
          <w:rFonts w:eastAsia="Times New Roman"/>
          <w:szCs w:val="24"/>
          <w:lang w:eastAsia="cs-CZ"/>
        </w:rPr>
        <w:t xml:space="preserve">í smlouvu na patent připadalo </w:t>
      </w:r>
      <w:r w:rsidR="006F7FBC">
        <w:rPr>
          <w:rFonts w:eastAsia="Times New Roman"/>
          <w:szCs w:val="24"/>
          <w:lang w:eastAsia="cs-CZ"/>
        </w:rPr>
        <w:t>3,4 mil</w:t>
      </w:r>
      <w:r w:rsidRPr="00DB4D5E">
        <w:rPr>
          <w:rFonts w:eastAsia="Times New Roman"/>
          <w:szCs w:val="24"/>
          <w:lang w:eastAsia="cs-CZ"/>
        </w:rPr>
        <w:t xml:space="preserve">. Kč, zatímco v případě užitných vzorů </w:t>
      </w:r>
      <w:r w:rsidR="006F7FBC">
        <w:rPr>
          <w:rFonts w:eastAsia="Times New Roman"/>
          <w:szCs w:val="24"/>
          <w:lang w:eastAsia="cs-CZ"/>
        </w:rPr>
        <w:t>0,3</w:t>
      </w:r>
      <w:r w:rsidRPr="00DB4D5E">
        <w:rPr>
          <w:rFonts w:eastAsia="Times New Roman"/>
          <w:szCs w:val="24"/>
          <w:lang w:eastAsia="cs-CZ"/>
        </w:rPr>
        <w:t xml:space="preserve"> </w:t>
      </w:r>
      <w:r w:rsidR="006F7FBC">
        <w:rPr>
          <w:rFonts w:eastAsia="Times New Roman"/>
          <w:szCs w:val="24"/>
          <w:lang w:eastAsia="cs-CZ"/>
        </w:rPr>
        <w:t>mil</w:t>
      </w:r>
      <w:r w:rsidRPr="00DB4D5E">
        <w:rPr>
          <w:rFonts w:eastAsia="Times New Roman"/>
          <w:szCs w:val="24"/>
          <w:lang w:eastAsia="cs-CZ"/>
        </w:rPr>
        <w:t xml:space="preserve">. Kč. </w:t>
      </w:r>
    </w:p>
    <w:p w:rsidR="00DB4D5E" w:rsidRPr="00DB4D5E" w:rsidRDefault="00DB4D5E" w:rsidP="00DB4D5E">
      <w:pPr>
        <w:spacing w:before="60" w:after="60" w:line="240" w:lineRule="auto"/>
        <w:ind w:firstLine="340"/>
        <w:jc w:val="both"/>
        <w:rPr>
          <w:rFonts w:eastAsia="Times New Roman"/>
          <w:szCs w:val="24"/>
          <w:lang w:eastAsia="cs-CZ"/>
        </w:rPr>
      </w:pPr>
      <w:r w:rsidRPr="00DB4D5E">
        <w:rPr>
          <w:rFonts w:eastAsia="Times New Roman"/>
          <w:szCs w:val="24"/>
          <w:lang w:eastAsia="cs-CZ"/>
        </w:rPr>
        <w:t>Nejvíce poplatků za licence na patenty a užitné vzory bylo inkasováno za „základní farmaceutické výrobky a farmaceutické přípravky“, kde celkový objem přijatých lic</w:t>
      </w:r>
      <w:r w:rsidR="002300AD">
        <w:rPr>
          <w:rFonts w:eastAsia="Times New Roman"/>
          <w:szCs w:val="24"/>
          <w:lang w:eastAsia="cs-CZ"/>
        </w:rPr>
        <w:t xml:space="preserve">enčních poplatků činil téměř </w:t>
      </w:r>
      <w:r w:rsidR="006F7FBC">
        <w:rPr>
          <w:rFonts w:eastAsia="Times New Roman"/>
          <w:szCs w:val="24"/>
          <w:lang w:eastAsia="cs-CZ"/>
        </w:rPr>
        <w:t>2</w:t>
      </w:r>
      <w:r w:rsidRPr="00DB4D5E">
        <w:rPr>
          <w:rFonts w:eastAsia="Times New Roman"/>
          <w:szCs w:val="24"/>
          <w:lang w:eastAsia="cs-CZ"/>
        </w:rPr>
        <w:t xml:space="preserve"> mld. Kč. Za licenční poplatky na „</w:t>
      </w:r>
      <w:r w:rsidR="006F7FBC" w:rsidRPr="006F7FBC">
        <w:rPr>
          <w:rFonts w:eastAsia="Times New Roman"/>
          <w:szCs w:val="24"/>
          <w:lang w:eastAsia="cs-CZ"/>
        </w:rPr>
        <w:t>Železniční lokomotivy a vozový park</w:t>
      </w:r>
      <w:r w:rsidRPr="00DB4D5E">
        <w:rPr>
          <w:rFonts w:eastAsia="Times New Roman"/>
          <w:szCs w:val="24"/>
          <w:lang w:eastAsia="cs-CZ"/>
        </w:rPr>
        <w:t xml:space="preserve">“ bylo inkasováno </w:t>
      </w:r>
      <w:r w:rsidR="006F7FBC">
        <w:rPr>
          <w:rFonts w:eastAsia="Times New Roman"/>
          <w:szCs w:val="24"/>
          <w:lang w:eastAsia="cs-CZ"/>
        </w:rPr>
        <w:t>249</w:t>
      </w:r>
      <w:r w:rsidRPr="00DB4D5E">
        <w:rPr>
          <w:rFonts w:eastAsia="Times New Roman"/>
          <w:szCs w:val="24"/>
          <w:lang w:eastAsia="cs-CZ"/>
        </w:rPr>
        <w:t xml:space="preserve"> mil. Kč.</w:t>
      </w:r>
    </w:p>
    <w:p w:rsidR="00DB4D5E" w:rsidRPr="00DB4D5E" w:rsidRDefault="00DB4D5E" w:rsidP="00DB4D5E">
      <w:pPr>
        <w:tabs>
          <w:tab w:val="left" w:pos="910"/>
        </w:tabs>
        <w:spacing w:after="0" w:line="240" w:lineRule="auto"/>
        <w:jc w:val="both"/>
        <w:rPr>
          <w:rFonts w:eastAsia="Times New Roman"/>
          <w:b/>
          <w:szCs w:val="24"/>
          <w:lang w:eastAsia="cs-CZ"/>
        </w:rPr>
      </w:pPr>
      <w:r w:rsidRPr="00DB4D5E">
        <w:rPr>
          <w:rFonts w:eastAsia="Times New Roman"/>
          <w:b/>
          <w:bCs/>
          <w:szCs w:val="24"/>
          <w:lang w:eastAsia="cs-CZ"/>
        </w:rPr>
        <w:t>Graf 1-</w:t>
      </w:r>
      <w:r w:rsidRPr="00021A5D">
        <w:rPr>
          <w:rFonts w:eastAsia="Times New Roman"/>
          <w:b/>
          <w:bCs/>
          <w:szCs w:val="24"/>
          <w:lang w:eastAsia="cs-CZ"/>
        </w:rPr>
        <w:t xml:space="preserve">5: </w:t>
      </w:r>
      <w:r w:rsidRPr="00021A5D">
        <w:rPr>
          <w:rFonts w:eastAsia="Times New Roman"/>
          <w:b/>
          <w:szCs w:val="24"/>
          <w:lang w:eastAsia="cs-CZ"/>
        </w:rPr>
        <w:t>Přijaté licenční poplatky za licence n</w:t>
      </w:r>
      <w:r w:rsidRPr="00021A5D">
        <w:rPr>
          <w:rFonts w:eastAsia="Times New Roman"/>
          <w:b/>
          <w:noProof/>
          <w:szCs w:val="24"/>
          <w:lang w:eastAsia="cs-CZ"/>
        </w:rPr>
        <w:t>a patenty</w:t>
      </w:r>
      <w:r w:rsidRPr="00DB4D5E">
        <w:rPr>
          <w:rFonts w:eastAsia="Times New Roman"/>
          <w:b/>
          <w:noProof/>
          <w:szCs w:val="24"/>
          <w:lang w:eastAsia="cs-CZ"/>
        </w:rPr>
        <w:t xml:space="preserve"> a užitné vzory</w:t>
      </w:r>
      <w:r w:rsidRPr="00DB4D5E">
        <w:rPr>
          <w:rFonts w:eastAsia="Times New Roman"/>
          <w:b/>
          <w:szCs w:val="24"/>
          <w:lang w:eastAsia="cs-CZ"/>
        </w:rPr>
        <w:t xml:space="preserve"> (v mil. Kč), 2004 – 201</w:t>
      </w:r>
      <w:r w:rsidR="006F7FBC">
        <w:rPr>
          <w:rFonts w:eastAsia="Times New Roman"/>
          <w:b/>
          <w:szCs w:val="24"/>
          <w:lang w:eastAsia="cs-CZ"/>
        </w:rPr>
        <w:t>3</w:t>
      </w:r>
    </w:p>
    <w:p w:rsidR="00DB4D5E" w:rsidRPr="00DB4D5E" w:rsidRDefault="0079441E" w:rsidP="00DB4D5E">
      <w:pPr>
        <w:spacing w:before="0" w:after="0" w:line="240" w:lineRule="auto"/>
        <w:jc w:val="both"/>
        <w:rPr>
          <w:rFonts w:eastAsia="Times New Roman"/>
          <w:b/>
          <w:szCs w:val="24"/>
          <w:lang w:eastAsia="cs-CZ"/>
        </w:rPr>
      </w:pPr>
      <w:r w:rsidRPr="0079441E">
        <w:rPr>
          <w:rFonts w:eastAsia="Times New Roman"/>
          <w:b/>
          <w:noProof/>
          <w:szCs w:val="24"/>
          <w:lang w:eastAsia="cs-CZ"/>
        </w:rPr>
        <w:drawing>
          <wp:inline distT="0" distB="0" distL="0" distR="0">
            <wp:extent cx="3048000" cy="2619374"/>
            <wp:effectExtent l="0" t="0" r="0" b="0"/>
            <wp:docPr id="26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79441E">
        <w:rPr>
          <w:rFonts w:eastAsia="Times New Roman"/>
          <w:b/>
          <w:szCs w:val="24"/>
          <w:lang w:eastAsia="cs-CZ"/>
        </w:rPr>
        <w:t xml:space="preserve"> </w:t>
      </w:r>
      <w:r w:rsidRPr="0079441E">
        <w:rPr>
          <w:rFonts w:eastAsia="Times New Roman"/>
          <w:b/>
          <w:noProof/>
          <w:szCs w:val="24"/>
          <w:lang w:eastAsia="cs-CZ"/>
        </w:rPr>
        <w:drawing>
          <wp:inline distT="0" distB="0" distL="0" distR="0">
            <wp:extent cx="2990850" cy="2619375"/>
            <wp:effectExtent l="0" t="0" r="0" b="0"/>
            <wp:docPr id="27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B4D5E" w:rsidRPr="00DB4D5E" w:rsidRDefault="00DB4D5E" w:rsidP="00DB4D5E">
      <w:pPr>
        <w:spacing w:after="120" w:line="240" w:lineRule="auto"/>
        <w:jc w:val="both"/>
        <w:rPr>
          <w:rFonts w:eastAsia="Times New Roman"/>
          <w:b/>
          <w:bCs/>
          <w:i/>
          <w:sz w:val="22"/>
          <w:szCs w:val="24"/>
          <w:lang w:eastAsia="cs-CZ"/>
        </w:rPr>
      </w:pPr>
      <w:r w:rsidRPr="0095389E">
        <w:rPr>
          <w:rFonts w:eastAsia="Times New Roman"/>
          <w:b/>
          <w:bCs/>
          <w:i/>
          <w:sz w:val="22"/>
          <w:szCs w:val="24"/>
          <w:lang w:eastAsia="cs-CZ"/>
        </w:rPr>
        <w:t>Poskytnuté licence na patenty a užitné vzory podle typu poskytovatele licence</w:t>
      </w:r>
    </w:p>
    <w:p w:rsidR="00DB4D5E" w:rsidRDefault="00DB4D5E" w:rsidP="0095389E">
      <w:pPr>
        <w:spacing w:before="60" w:after="240" w:line="240" w:lineRule="auto"/>
        <w:jc w:val="both"/>
        <w:rPr>
          <w:rFonts w:eastAsia="Times New Roman"/>
          <w:bCs/>
          <w:szCs w:val="20"/>
          <w:lang w:eastAsia="cs-CZ"/>
        </w:rPr>
      </w:pPr>
      <w:r w:rsidRPr="00DB4D5E">
        <w:rPr>
          <w:rFonts w:eastAsia="Times New Roman"/>
          <w:bCs/>
          <w:szCs w:val="20"/>
          <w:lang w:eastAsia="cs-CZ"/>
        </w:rPr>
        <w:t>V roce 201</w:t>
      </w:r>
      <w:r w:rsidR="004D485A">
        <w:rPr>
          <w:rFonts w:eastAsia="Times New Roman"/>
          <w:bCs/>
          <w:szCs w:val="20"/>
          <w:lang w:eastAsia="cs-CZ"/>
        </w:rPr>
        <w:t>3</w:t>
      </w:r>
      <w:r w:rsidRPr="00DB4D5E">
        <w:rPr>
          <w:rFonts w:eastAsia="Times New Roman"/>
          <w:bCs/>
          <w:szCs w:val="20"/>
          <w:lang w:eastAsia="cs-CZ"/>
        </w:rPr>
        <w:t xml:space="preserve"> zaznamenaly nejvyšší počet </w:t>
      </w:r>
      <w:r w:rsidR="0016263E">
        <w:rPr>
          <w:rFonts w:eastAsia="Times New Roman"/>
          <w:bCs/>
          <w:szCs w:val="20"/>
          <w:lang w:eastAsia="cs-CZ"/>
        </w:rPr>
        <w:t>nov</w:t>
      </w:r>
      <w:r w:rsidR="00D02068">
        <w:rPr>
          <w:rFonts w:eastAsia="Times New Roman"/>
          <w:bCs/>
          <w:szCs w:val="20"/>
          <w:lang w:eastAsia="cs-CZ"/>
        </w:rPr>
        <w:t>ě uzavřených</w:t>
      </w:r>
      <w:r w:rsidR="0016263E">
        <w:rPr>
          <w:rFonts w:eastAsia="Times New Roman"/>
          <w:bCs/>
          <w:szCs w:val="20"/>
          <w:lang w:eastAsia="cs-CZ"/>
        </w:rPr>
        <w:t xml:space="preserve"> </w:t>
      </w:r>
      <w:r w:rsidRPr="00DB4D5E">
        <w:rPr>
          <w:rFonts w:eastAsia="Times New Roman"/>
          <w:bCs/>
          <w:szCs w:val="20"/>
          <w:lang w:eastAsia="cs-CZ"/>
        </w:rPr>
        <w:t>licencí na jednoho poskytovatele (</w:t>
      </w:r>
      <w:r w:rsidR="00502CFC">
        <w:rPr>
          <w:rFonts w:eastAsia="Times New Roman"/>
          <w:bCs/>
          <w:szCs w:val="20"/>
          <w:lang w:eastAsia="cs-CZ"/>
        </w:rPr>
        <w:t>2,8</w:t>
      </w:r>
      <w:r w:rsidRPr="00DB4D5E">
        <w:rPr>
          <w:rFonts w:eastAsia="Times New Roman"/>
          <w:bCs/>
          <w:szCs w:val="20"/>
          <w:lang w:eastAsia="cs-CZ"/>
        </w:rPr>
        <w:t xml:space="preserve">) </w:t>
      </w:r>
      <w:r w:rsidR="0016263E">
        <w:rPr>
          <w:rFonts w:eastAsia="Times New Roman"/>
          <w:bCs/>
          <w:szCs w:val="20"/>
          <w:lang w:eastAsia="cs-CZ"/>
        </w:rPr>
        <w:t xml:space="preserve">veřejné </w:t>
      </w:r>
      <w:r w:rsidR="00502CFC">
        <w:rPr>
          <w:rFonts w:eastAsia="Times New Roman"/>
          <w:bCs/>
          <w:szCs w:val="20"/>
          <w:lang w:eastAsia="cs-CZ"/>
        </w:rPr>
        <w:t>výzkumné instituce</w:t>
      </w:r>
      <w:r w:rsidR="0016263E">
        <w:rPr>
          <w:rFonts w:eastAsia="Times New Roman"/>
          <w:bCs/>
          <w:szCs w:val="20"/>
          <w:lang w:eastAsia="cs-CZ"/>
        </w:rPr>
        <w:t xml:space="preserve">. Toto číslo znamená, že </w:t>
      </w:r>
      <w:r w:rsidR="00502CFC">
        <w:rPr>
          <w:rFonts w:eastAsia="Times New Roman"/>
          <w:bCs/>
          <w:szCs w:val="20"/>
          <w:lang w:eastAsia="cs-CZ"/>
        </w:rPr>
        <w:t>výzkumné instituce</w:t>
      </w:r>
      <w:r w:rsidR="0016263E">
        <w:rPr>
          <w:rFonts w:eastAsia="Times New Roman"/>
          <w:bCs/>
          <w:szCs w:val="20"/>
          <w:lang w:eastAsia="cs-CZ"/>
        </w:rPr>
        <w:t xml:space="preserve">, které jsou poskytovateli licence na patent nebo užitný vzor, zaznamenaly v průměru téměř </w:t>
      </w:r>
      <w:r w:rsidR="00502CFC">
        <w:rPr>
          <w:rFonts w:eastAsia="Times New Roman"/>
          <w:bCs/>
          <w:szCs w:val="20"/>
          <w:lang w:eastAsia="cs-CZ"/>
        </w:rPr>
        <w:t>3</w:t>
      </w:r>
      <w:r w:rsidR="0016263E">
        <w:rPr>
          <w:rFonts w:eastAsia="Times New Roman"/>
          <w:bCs/>
          <w:szCs w:val="20"/>
          <w:lang w:eastAsia="cs-CZ"/>
        </w:rPr>
        <w:t xml:space="preserve"> nové licence. </w:t>
      </w:r>
      <w:r w:rsidR="00502CFC">
        <w:rPr>
          <w:rFonts w:eastAsia="Times New Roman"/>
          <w:bCs/>
          <w:szCs w:val="20"/>
          <w:lang w:eastAsia="cs-CZ"/>
        </w:rPr>
        <w:t>Veřejné vysoké škola zaznamenaly 34</w:t>
      </w:r>
      <w:r w:rsidR="0016263E">
        <w:rPr>
          <w:rFonts w:eastAsia="Times New Roman"/>
          <w:bCs/>
          <w:szCs w:val="20"/>
          <w:lang w:eastAsia="cs-CZ"/>
        </w:rPr>
        <w:t xml:space="preserve"> nových licencí, což představuje podíl </w:t>
      </w:r>
      <w:r w:rsidR="00502CFC">
        <w:rPr>
          <w:rFonts w:eastAsia="Times New Roman"/>
          <w:bCs/>
          <w:szCs w:val="20"/>
          <w:lang w:eastAsia="cs-CZ"/>
        </w:rPr>
        <w:t>2,6</w:t>
      </w:r>
      <w:r w:rsidR="0016263E">
        <w:rPr>
          <w:rFonts w:eastAsia="Times New Roman"/>
          <w:bCs/>
          <w:szCs w:val="20"/>
          <w:lang w:eastAsia="cs-CZ"/>
        </w:rPr>
        <w:t xml:space="preserve"> nové licence na </w:t>
      </w:r>
      <w:r w:rsidR="00502CFC">
        <w:rPr>
          <w:rFonts w:eastAsia="Times New Roman"/>
          <w:bCs/>
          <w:szCs w:val="20"/>
          <w:lang w:eastAsia="cs-CZ"/>
        </w:rPr>
        <w:t>jednu vysokou školu</w:t>
      </w:r>
      <w:r w:rsidR="0016263E">
        <w:rPr>
          <w:rFonts w:eastAsia="Times New Roman"/>
          <w:bCs/>
          <w:szCs w:val="20"/>
          <w:lang w:eastAsia="cs-CZ"/>
        </w:rPr>
        <w:t xml:space="preserve">. </w:t>
      </w:r>
      <w:r w:rsidR="00502CFC">
        <w:rPr>
          <w:rFonts w:eastAsia="Times New Roman"/>
          <w:bCs/>
          <w:szCs w:val="20"/>
          <w:lang w:eastAsia="cs-CZ"/>
        </w:rPr>
        <w:t xml:space="preserve">Podniky uzavřely </w:t>
      </w:r>
      <w:r w:rsidR="002528F3">
        <w:rPr>
          <w:rFonts w:eastAsia="Times New Roman"/>
          <w:bCs/>
          <w:szCs w:val="20"/>
          <w:lang w:eastAsia="cs-CZ"/>
        </w:rPr>
        <w:t>v</w:t>
      </w:r>
      <w:r w:rsidR="00502CFC">
        <w:rPr>
          <w:rFonts w:eastAsia="Times New Roman"/>
          <w:bCs/>
          <w:szCs w:val="20"/>
          <w:lang w:eastAsia="cs-CZ"/>
        </w:rPr>
        <w:t> </w:t>
      </w:r>
      <w:r w:rsidR="002528F3">
        <w:rPr>
          <w:rFonts w:eastAsia="Times New Roman"/>
          <w:bCs/>
          <w:szCs w:val="20"/>
          <w:lang w:eastAsia="cs-CZ"/>
        </w:rPr>
        <w:t>průměr</w:t>
      </w:r>
      <w:r w:rsidR="00502CFC">
        <w:rPr>
          <w:rFonts w:eastAsia="Times New Roman"/>
          <w:bCs/>
          <w:szCs w:val="20"/>
          <w:lang w:eastAsia="cs-CZ"/>
        </w:rPr>
        <w:t xml:space="preserve">ně 2,5 licence (49 nových licencí) a </w:t>
      </w:r>
      <w:r w:rsidR="002528F3">
        <w:rPr>
          <w:rFonts w:eastAsia="Times New Roman"/>
          <w:bCs/>
          <w:szCs w:val="20"/>
          <w:lang w:eastAsia="cs-CZ"/>
        </w:rPr>
        <w:t xml:space="preserve">nejmenší podíl byl zaznamenán u </w:t>
      </w:r>
      <w:r w:rsidR="00833A12">
        <w:rPr>
          <w:rFonts w:eastAsia="Times New Roman"/>
          <w:bCs/>
          <w:szCs w:val="20"/>
          <w:lang w:eastAsia="cs-CZ"/>
        </w:rPr>
        <w:t>fyzických osob</w:t>
      </w:r>
      <w:r w:rsidR="002528F3">
        <w:rPr>
          <w:rFonts w:eastAsia="Times New Roman"/>
          <w:bCs/>
          <w:szCs w:val="20"/>
          <w:lang w:eastAsia="cs-CZ"/>
        </w:rPr>
        <w:t xml:space="preserve"> (</w:t>
      </w:r>
      <w:r w:rsidR="00833A12">
        <w:rPr>
          <w:rFonts w:eastAsia="Times New Roman"/>
          <w:bCs/>
          <w:szCs w:val="20"/>
          <w:lang w:eastAsia="cs-CZ"/>
        </w:rPr>
        <w:t>1,1</w:t>
      </w:r>
      <w:r w:rsidR="002528F3">
        <w:rPr>
          <w:rFonts w:eastAsia="Times New Roman"/>
          <w:bCs/>
          <w:szCs w:val="20"/>
          <w:lang w:eastAsia="cs-CZ"/>
        </w:rPr>
        <w:t>).</w:t>
      </w:r>
      <w:r w:rsidRPr="00DB4D5E">
        <w:rPr>
          <w:rFonts w:eastAsia="Times New Roman"/>
          <w:bCs/>
          <w:szCs w:val="20"/>
          <w:lang w:eastAsia="cs-CZ"/>
        </w:rPr>
        <w:t xml:space="preserve"> Nejvyšší podíl inkasovaných licenčních poplatků na jednu </w:t>
      </w:r>
      <w:r w:rsidR="009D04AF">
        <w:rPr>
          <w:rFonts w:eastAsia="Times New Roman"/>
          <w:bCs/>
          <w:szCs w:val="20"/>
          <w:lang w:eastAsia="cs-CZ"/>
        </w:rPr>
        <w:t>nově uzavřenou</w:t>
      </w:r>
      <w:r w:rsidR="002528F3">
        <w:rPr>
          <w:rFonts w:eastAsia="Times New Roman"/>
          <w:bCs/>
          <w:szCs w:val="20"/>
          <w:lang w:eastAsia="cs-CZ"/>
        </w:rPr>
        <w:t xml:space="preserve"> </w:t>
      </w:r>
      <w:r w:rsidRPr="00DB4D5E">
        <w:rPr>
          <w:rFonts w:eastAsia="Times New Roman"/>
          <w:bCs/>
          <w:szCs w:val="20"/>
          <w:lang w:eastAsia="cs-CZ"/>
        </w:rPr>
        <w:t xml:space="preserve">licenci byl zjištěn u </w:t>
      </w:r>
      <w:r w:rsidR="009D04AF">
        <w:rPr>
          <w:rFonts w:eastAsia="Times New Roman"/>
          <w:bCs/>
          <w:szCs w:val="20"/>
          <w:lang w:eastAsia="cs-CZ"/>
        </w:rPr>
        <w:t>podniků (</w:t>
      </w:r>
      <w:r w:rsidR="00833A12">
        <w:rPr>
          <w:rFonts w:eastAsia="Times New Roman"/>
          <w:bCs/>
          <w:szCs w:val="20"/>
          <w:lang w:eastAsia="cs-CZ"/>
        </w:rPr>
        <w:t>5,6 mil.</w:t>
      </w:r>
      <w:r w:rsidR="009D04AF">
        <w:rPr>
          <w:rFonts w:eastAsia="Times New Roman"/>
          <w:bCs/>
          <w:szCs w:val="20"/>
          <w:lang w:eastAsia="cs-CZ"/>
        </w:rPr>
        <w:t xml:space="preserve"> Kč</w:t>
      </w:r>
      <w:r w:rsidR="009D04AF" w:rsidRPr="009D04AF">
        <w:rPr>
          <w:rFonts w:eastAsia="Times New Roman"/>
          <w:bCs/>
          <w:szCs w:val="20"/>
          <w:lang w:eastAsia="cs-CZ"/>
        </w:rPr>
        <w:t xml:space="preserve"> </w:t>
      </w:r>
      <w:r w:rsidR="009D04AF" w:rsidRPr="00DB4D5E">
        <w:rPr>
          <w:rFonts w:eastAsia="Times New Roman"/>
          <w:bCs/>
          <w:szCs w:val="20"/>
          <w:lang w:eastAsia="cs-CZ"/>
        </w:rPr>
        <w:t>na jednu licenci</w:t>
      </w:r>
      <w:r w:rsidR="009D04AF">
        <w:rPr>
          <w:rFonts w:eastAsia="Times New Roman"/>
          <w:bCs/>
          <w:szCs w:val="20"/>
          <w:lang w:eastAsia="cs-CZ"/>
        </w:rPr>
        <w:t>)</w:t>
      </w:r>
      <w:r w:rsidR="00594991">
        <w:rPr>
          <w:rFonts w:eastAsia="Times New Roman"/>
          <w:bCs/>
          <w:szCs w:val="20"/>
          <w:lang w:eastAsia="cs-CZ"/>
        </w:rPr>
        <w:t xml:space="preserve">. </w:t>
      </w:r>
      <w:r w:rsidR="00833A12">
        <w:rPr>
          <w:rFonts w:eastAsia="Times New Roman"/>
          <w:bCs/>
          <w:szCs w:val="20"/>
          <w:lang w:eastAsia="cs-CZ"/>
        </w:rPr>
        <w:t>Podstatně m</w:t>
      </w:r>
      <w:r w:rsidR="009D5F37">
        <w:rPr>
          <w:rFonts w:eastAsia="Times New Roman"/>
          <w:bCs/>
          <w:szCs w:val="20"/>
          <w:lang w:eastAsia="cs-CZ"/>
        </w:rPr>
        <w:t>éně již za jednu licenci (11</w:t>
      </w:r>
      <w:r w:rsidR="00833A12">
        <w:rPr>
          <w:rFonts w:eastAsia="Times New Roman"/>
          <w:bCs/>
          <w:szCs w:val="20"/>
          <w:lang w:eastAsia="cs-CZ"/>
        </w:rPr>
        <w:t>6</w:t>
      </w:r>
      <w:r w:rsidR="009D5F37">
        <w:rPr>
          <w:rFonts w:eastAsia="Times New Roman"/>
          <w:bCs/>
          <w:szCs w:val="20"/>
          <w:lang w:eastAsia="cs-CZ"/>
        </w:rPr>
        <w:t xml:space="preserve"> tis. Kč) v průměru inkasovaly veřejné </w:t>
      </w:r>
      <w:r w:rsidR="00833A12">
        <w:rPr>
          <w:rFonts w:eastAsia="Times New Roman"/>
          <w:bCs/>
          <w:szCs w:val="20"/>
          <w:lang w:eastAsia="cs-CZ"/>
        </w:rPr>
        <w:t>vysoké školy</w:t>
      </w:r>
      <w:r w:rsidR="0095389E">
        <w:rPr>
          <w:rFonts w:eastAsia="Times New Roman"/>
          <w:bCs/>
          <w:szCs w:val="20"/>
          <w:lang w:eastAsia="cs-CZ"/>
        </w:rPr>
        <w:t>, fyzické osoby (84 tis. Kč) i veřejné výzkumné instituce (31 tis. Kč)</w:t>
      </w:r>
      <w:r w:rsidR="009D5F37">
        <w:rPr>
          <w:rFonts w:eastAsia="Times New Roman"/>
          <w:bCs/>
          <w:szCs w:val="20"/>
          <w:lang w:eastAsia="cs-CZ"/>
        </w:rPr>
        <w:t xml:space="preserve">. </w:t>
      </w:r>
    </w:p>
    <w:p w:rsidR="00DB4D5E" w:rsidRPr="00DB4D5E" w:rsidRDefault="00DB4D5E" w:rsidP="005E2D22">
      <w:pPr>
        <w:tabs>
          <w:tab w:val="left" w:pos="142"/>
        </w:tabs>
        <w:spacing w:after="0" w:line="240" w:lineRule="auto"/>
        <w:ind w:left="1050" w:hanging="1050"/>
        <w:jc w:val="both"/>
        <w:rPr>
          <w:rFonts w:eastAsia="Times New Roman"/>
          <w:b/>
          <w:szCs w:val="24"/>
          <w:lang w:eastAsia="cs-CZ"/>
        </w:rPr>
      </w:pPr>
      <w:r w:rsidRPr="00DB4D5E">
        <w:rPr>
          <w:rFonts w:eastAsia="Times New Roman"/>
          <w:b/>
          <w:bCs/>
          <w:szCs w:val="24"/>
          <w:lang w:eastAsia="cs-CZ"/>
        </w:rPr>
        <w:t xml:space="preserve">Graf 1-6: Struktura </w:t>
      </w:r>
      <w:r w:rsidR="005E2D22">
        <w:rPr>
          <w:rFonts w:eastAsia="Times New Roman"/>
          <w:b/>
          <w:bCs/>
          <w:szCs w:val="24"/>
          <w:lang w:eastAsia="cs-CZ"/>
        </w:rPr>
        <w:t xml:space="preserve">všech </w:t>
      </w:r>
      <w:r w:rsidRPr="00DB4D5E">
        <w:rPr>
          <w:rFonts w:eastAsia="Times New Roman"/>
          <w:b/>
          <w:bCs/>
          <w:szCs w:val="24"/>
          <w:lang w:eastAsia="cs-CZ"/>
        </w:rPr>
        <w:t>poskytnutý</w:t>
      </w:r>
      <w:r w:rsidRPr="00DB4D5E">
        <w:rPr>
          <w:rFonts w:eastAsia="Times New Roman"/>
          <w:b/>
          <w:szCs w:val="24"/>
          <w:lang w:eastAsia="cs-CZ"/>
        </w:rPr>
        <w:t xml:space="preserve">ch </w:t>
      </w:r>
      <w:r w:rsidR="005E2D22">
        <w:rPr>
          <w:rFonts w:eastAsia="Times New Roman"/>
          <w:b/>
          <w:szCs w:val="24"/>
          <w:lang w:eastAsia="cs-CZ"/>
        </w:rPr>
        <w:t xml:space="preserve">platných </w:t>
      </w:r>
      <w:r w:rsidRPr="00DB4D5E">
        <w:rPr>
          <w:rFonts w:eastAsia="Times New Roman"/>
          <w:b/>
          <w:szCs w:val="24"/>
          <w:lang w:eastAsia="cs-CZ"/>
        </w:rPr>
        <w:t xml:space="preserve">licencí na patenty a užitné vzory </w:t>
      </w:r>
      <w:r w:rsidR="00B905A8">
        <w:rPr>
          <w:rFonts w:eastAsia="Times New Roman"/>
          <w:b/>
          <w:szCs w:val="24"/>
          <w:lang w:eastAsia="cs-CZ"/>
        </w:rPr>
        <w:t xml:space="preserve">podle typu </w:t>
      </w:r>
      <w:proofErr w:type="gramStart"/>
      <w:r w:rsidR="00B905A8">
        <w:rPr>
          <w:rFonts w:eastAsia="Times New Roman"/>
          <w:b/>
          <w:szCs w:val="24"/>
          <w:lang w:eastAsia="cs-CZ"/>
        </w:rPr>
        <w:t>poskytovatele</w:t>
      </w:r>
      <w:r w:rsidR="00151AA8">
        <w:rPr>
          <w:rFonts w:eastAsia="Times New Roman"/>
          <w:b/>
          <w:szCs w:val="24"/>
          <w:lang w:eastAsia="cs-CZ"/>
        </w:rPr>
        <w:t>,</w:t>
      </w:r>
      <w:r w:rsidRPr="00DB4D5E">
        <w:rPr>
          <w:rFonts w:eastAsia="Times New Roman"/>
          <w:b/>
          <w:szCs w:val="24"/>
          <w:lang w:eastAsia="cs-CZ"/>
        </w:rPr>
        <w:t xml:space="preserve"> </w:t>
      </w:r>
      <w:r w:rsidR="005E2D22">
        <w:rPr>
          <w:rFonts w:eastAsia="Times New Roman"/>
          <w:b/>
          <w:szCs w:val="24"/>
          <w:lang w:eastAsia="cs-CZ"/>
        </w:rPr>
        <w:t xml:space="preserve"> </w:t>
      </w:r>
      <w:r w:rsidRPr="00DB4D5E">
        <w:rPr>
          <w:rFonts w:eastAsia="Times New Roman"/>
          <w:b/>
          <w:szCs w:val="24"/>
          <w:lang w:eastAsia="cs-CZ"/>
        </w:rPr>
        <w:t>201</w:t>
      </w:r>
      <w:r w:rsidR="0095389E">
        <w:rPr>
          <w:rFonts w:eastAsia="Times New Roman"/>
          <w:b/>
          <w:szCs w:val="24"/>
          <w:lang w:eastAsia="cs-CZ"/>
        </w:rPr>
        <w:t>3</w:t>
      </w:r>
      <w:proofErr w:type="gramEnd"/>
    </w:p>
    <w:p w:rsidR="00DB4D5E" w:rsidRPr="00DB4D5E" w:rsidRDefault="008F59E7" w:rsidP="00DB4D5E">
      <w:pPr>
        <w:spacing w:after="120" w:line="240" w:lineRule="auto"/>
        <w:jc w:val="both"/>
        <w:rPr>
          <w:rFonts w:eastAsia="Times New Roman"/>
          <w:noProof/>
          <w:szCs w:val="24"/>
          <w:lang w:eastAsia="cs-CZ"/>
        </w:rPr>
      </w:pPr>
      <w:r w:rsidRPr="008F59E7">
        <w:rPr>
          <w:noProof/>
          <w:lang w:eastAsia="cs-CZ"/>
        </w:rPr>
        <w:drawing>
          <wp:inline distT="0" distB="0" distL="0" distR="0">
            <wp:extent cx="3009898" cy="2905125"/>
            <wp:effectExtent l="0" t="0" r="0" b="0"/>
            <wp:docPr id="1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AD5195" w:rsidRPr="00AD5195">
        <w:rPr>
          <w:noProof/>
          <w:lang w:eastAsia="cs-CZ"/>
        </w:rPr>
        <w:t xml:space="preserve"> </w:t>
      </w:r>
      <w:r w:rsidR="00A4245D" w:rsidRPr="00A4245D">
        <w:rPr>
          <w:noProof/>
          <w:lang w:eastAsia="cs-CZ"/>
        </w:rPr>
        <w:drawing>
          <wp:inline distT="0" distB="0" distL="0" distR="0">
            <wp:extent cx="3009898" cy="2905125"/>
            <wp:effectExtent l="0" t="0" r="0" b="0"/>
            <wp:docPr id="6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B4D5E" w:rsidRPr="00DB4D5E" w:rsidRDefault="00DB4D5E" w:rsidP="00DB4D5E">
      <w:pPr>
        <w:spacing w:after="120" w:line="240" w:lineRule="auto"/>
        <w:jc w:val="both"/>
        <w:rPr>
          <w:rFonts w:eastAsia="Times New Roman"/>
          <w:bCs/>
          <w:i/>
          <w:szCs w:val="24"/>
          <w:lang w:eastAsia="cs-CZ"/>
        </w:rPr>
      </w:pPr>
      <w:r w:rsidRPr="00DB4D5E">
        <w:rPr>
          <w:rFonts w:eastAsia="Times New Roman"/>
          <w:b/>
          <w:i/>
          <w:sz w:val="22"/>
          <w:szCs w:val="24"/>
          <w:lang w:eastAsia="cs-CZ"/>
        </w:rPr>
        <w:lastRenderedPageBreak/>
        <w:t>Poskytnuté licence na patenty a užitné vzory podle země smluvního partnera</w:t>
      </w:r>
      <w:r w:rsidRPr="00DB4D5E">
        <w:rPr>
          <w:rFonts w:eastAsia="Times New Roman"/>
          <w:bCs/>
          <w:i/>
          <w:szCs w:val="24"/>
          <w:lang w:eastAsia="cs-CZ"/>
        </w:rPr>
        <w:t xml:space="preserve"> </w:t>
      </w:r>
    </w:p>
    <w:p w:rsidR="00DB4D5E" w:rsidRPr="00DB4D5E" w:rsidRDefault="00DB4D5E" w:rsidP="00DB4D5E">
      <w:pPr>
        <w:spacing w:before="0" w:after="120" w:line="240" w:lineRule="auto"/>
        <w:ind w:firstLine="322"/>
        <w:jc w:val="both"/>
        <w:rPr>
          <w:rFonts w:eastAsia="Times New Roman"/>
          <w:bCs/>
          <w:szCs w:val="24"/>
          <w:lang w:eastAsia="cs-CZ"/>
        </w:rPr>
      </w:pPr>
      <w:r w:rsidRPr="00DB4D5E">
        <w:rPr>
          <w:rFonts w:eastAsia="Times New Roman"/>
          <w:bCs/>
          <w:szCs w:val="24"/>
          <w:lang w:eastAsia="cs-CZ"/>
        </w:rPr>
        <w:t>V roce 201</w:t>
      </w:r>
      <w:r w:rsidR="007A1E3D">
        <w:rPr>
          <w:rFonts w:eastAsia="Times New Roman"/>
          <w:bCs/>
          <w:szCs w:val="24"/>
          <w:lang w:eastAsia="cs-CZ"/>
        </w:rPr>
        <w:t>3</w:t>
      </w:r>
      <w:r w:rsidRPr="00DB4D5E">
        <w:rPr>
          <w:rFonts w:eastAsia="Times New Roman"/>
          <w:bCs/>
          <w:szCs w:val="24"/>
          <w:lang w:eastAsia="cs-CZ"/>
        </w:rPr>
        <w:t xml:space="preserve"> bylo z celkového počtu </w:t>
      </w:r>
      <w:r w:rsidR="005E2D22">
        <w:rPr>
          <w:rFonts w:eastAsia="Times New Roman"/>
          <w:bCs/>
          <w:szCs w:val="24"/>
          <w:lang w:eastAsia="cs-CZ"/>
        </w:rPr>
        <w:t>7</w:t>
      </w:r>
      <w:r w:rsidR="007A1E3D">
        <w:rPr>
          <w:rFonts w:eastAsia="Times New Roman"/>
          <w:bCs/>
          <w:szCs w:val="24"/>
          <w:lang w:eastAsia="cs-CZ"/>
        </w:rPr>
        <w:t>52</w:t>
      </w:r>
      <w:r w:rsidRPr="00DB4D5E">
        <w:rPr>
          <w:rFonts w:eastAsia="Times New Roman"/>
          <w:bCs/>
          <w:szCs w:val="24"/>
          <w:lang w:eastAsia="cs-CZ"/>
        </w:rPr>
        <w:t xml:space="preserve"> zjištěných poskytnutých</w:t>
      </w:r>
      <w:r w:rsidR="005E2D22">
        <w:rPr>
          <w:rFonts w:eastAsia="Times New Roman"/>
          <w:bCs/>
          <w:szCs w:val="24"/>
          <w:lang w:eastAsia="cs-CZ"/>
        </w:rPr>
        <w:t xml:space="preserve"> platných</w:t>
      </w:r>
      <w:r w:rsidRPr="00DB4D5E">
        <w:rPr>
          <w:rFonts w:eastAsia="Times New Roman"/>
          <w:bCs/>
          <w:szCs w:val="24"/>
          <w:lang w:eastAsia="cs-CZ"/>
        </w:rPr>
        <w:t xml:space="preserve"> licencí na patenty a užitné vzory uzavřeno </w:t>
      </w:r>
      <w:r w:rsidR="00853F7E">
        <w:rPr>
          <w:rFonts w:eastAsia="Times New Roman"/>
          <w:bCs/>
          <w:szCs w:val="24"/>
          <w:lang w:eastAsia="cs-CZ"/>
        </w:rPr>
        <w:t>6</w:t>
      </w:r>
      <w:r w:rsidR="009A7A45">
        <w:rPr>
          <w:rFonts w:eastAsia="Times New Roman"/>
          <w:bCs/>
          <w:szCs w:val="24"/>
          <w:lang w:eastAsia="cs-CZ"/>
        </w:rPr>
        <w:t>05</w:t>
      </w:r>
      <w:r w:rsidRPr="00DB4D5E">
        <w:rPr>
          <w:rFonts w:eastAsia="Times New Roman"/>
          <w:bCs/>
          <w:szCs w:val="24"/>
          <w:lang w:eastAsia="cs-CZ"/>
        </w:rPr>
        <w:t xml:space="preserve"> licencí (</w:t>
      </w:r>
      <w:r w:rsidR="005E2D22">
        <w:rPr>
          <w:rFonts w:eastAsia="Times New Roman"/>
          <w:bCs/>
          <w:szCs w:val="24"/>
          <w:lang w:eastAsia="cs-CZ"/>
        </w:rPr>
        <w:t>8</w:t>
      </w:r>
      <w:r w:rsidR="009A7A45">
        <w:rPr>
          <w:rFonts w:eastAsia="Times New Roman"/>
          <w:bCs/>
          <w:szCs w:val="24"/>
          <w:lang w:eastAsia="cs-CZ"/>
        </w:rPr>
        <w:t>0</w:t>
      </w:r>
      <w:r w:rsidRPr="00DB4D5E">
        <w:rPr>
          <w:rFonts w:eastAsia="Times New Roman"/>
          <w:bCs/>
          <w:szCs w:val="24"/>
          <w:lang w:eastAsia="cs-CZ"/>
        </w:rPr>
        <w:t> %) mezi subjekty z ČR navzájem a 1</w:t>
      </w:r>
      <w:r w:rsidR="009A7A45">
        <w:rPr>
          <w:rFonts w:eastAsia="Times New Roman"/>
          <w:bCs/>
          <w:szCs w:val="24"/>
          <w:lang w:eastAsia="cs-CZ"/>
        </w:rPr>
        <w:t>147</w:t>
      </w:r>
      <w:r w:rsidRPr="00DB4D5E">
        <w:rPr>
          <w:rFonts w:eastAsia="Times New Roman"/>
          <w:bCs/>
          <w:szCs w:val="24"/>
          <w:lang w:eastAsia="cs-CZ"/>
        </w:rPr>
        <w:t xml:space="preserve"> licencí (</w:t>
      </w:r>
      <w:r w:rsidR="009A7A45">
        <w:rPr>
          <w:rFonts w:eastAsia="Times New Roman"/>
          <w:bCs/>
          <w:szCs w:val="24"/>
          <w:lang w:eastAsia="cs-CZ"/>
        </w:rPr>
        <w:t>20</w:t>
      </w:r>
      <w:r w:rsidRPr="00DB4D5E">
        <w:rPr>
          <w:rFonts w:eastAsia="Times New Roman"/>
          <w:bCs/>
          <w:szCs w:val="24"/>
          <w:lang w:eastAsia="cs-CZ"/>
        </w:rPr>
        <w:t> %) mezi partnery z ČR a ze zahraničí (nabyvateli licence ze zahraničí). Nejvíce uzavřených smluv na prodej licencí mezi poskytovatelem z ČR a zahraničním nabyvatelem licence bylo zjištěno s partnery ze Spojených států (</w:t>
      </w:r>
      <w:r w:rsidR="00853F7E">
        <w:rPr>
          <w:rFonts w:eastAsia="Times New Roman"/>
          <w:bCs/>
          <w:szCs w:val="24"/>
          <w:lang w:eastAsia="cs-CZ"/>
        </w:rPr>
        <w:t>38</w:t>
      </w:r>
      <w:r w:rsidR="009A7A45">
        <w:rPr>
          <w:rFonts w:eastAsia="Times New Roman"/>
          <w:bCs/>
          <w:szCs w:val="24"/>
          <w:lang w:eastAsia="cs-CZ"/>
        </w:rPr>
        <w:t>), Číny (31</w:t>
      </w:r>
      <w:r w:rsidR="005E2D22">
        <w:rPr>
          <w:rFonts w:eastAsia="Times New Roman"/>
          <w:bCs/>
          <w:szCs w:val="24"/>
          <w:lang w:eastAsia="cs-CZ"/>
        </w:rPr>
        <w:t>), Slovenska (2</w:t>
      </w:r>
      <w:r w:rsidR="009A7A45">
        <w:rPr>
          <w:rFonts w:eastAsia="Times New Roman"/>
          <w:bCs/>
          <w:szCs w:val="24"/>
          <w:lang w:eastAsia="cs-CZ"/>
        </w:rPr>
        <w:t>8</w:t>
      </w:r>
      <w:r w:rsidRPr="00DB4D5E">
        <w:rPr>
          <w:rFonts w:eastAsia="Times New Roman"/>
          <w:bCs/>
          <w:szCs w:val="24"/>
          <w:lang w:eastAsia="cs-CZ"/>
        </w:rPr>
        <w:t>) a Švýcarska (1</w:t>
      </w:r>
      <w:r w:rsidR="009A7A45">
        <w:rPr>
          <w:rFonts w:eastAsia="Times New Roman"/>
          <w:bCs/>
          <w:szCs w:val="24"/>
          <w:lang w:eastAsia="cs-CZ"/>
        </w:rPr>
        <w:t>4</w:t>
      </w:r>
      <w:r w:rsidRPr="00DB4D5E">
        <w:rPr>
          <w:rFonts w:eastAsia="Times New Roman"/>
          <w:bCs/>
          <w:szCs w:val="24"/>
          <w:lang w:eastAsia="cs-CZ"/>
        </w:rPr>
        <w:t xml:space="preserve">). S partnery z uvedených zemí bylo uzavřeno </w:t>
      </w:r>
      <w:r w:rsidR="00A35759">
        <w:rPr>
          <w:rFonts w:eastAsia="Times New Roman"/>
          <w:bCs/>
          <w:szCs w:val="24"/>
          <w:lang w:eastAsia="cs-CZ"/>
        </w:rPr>
        <w:t>7</w:t>
      </w:r>
      <w:r w:rsidR="009A7A45">
        <w:rPr>
          <w:rFonts w:eastAsia="Times New Roman"/>
          <w:bCs/>
          <w:szCs w:val="24"/>
          <w:lang w:eastAsia="cs-CZ"/>
        </w:rPr>
        <w:t>6</w:t>
      </w:r>
      <w:r w:rsidRPr="00DB4D5E">
        <w:rPr>
          <w:rFonts w:eastAsia="Times New Roman"/>
          <w:bCs/>
          <w:szCs w:val="24"/>
          <w:lang w:eastAsia="cs-CZ"/>
        </w:rPr>
        <w:t xml:space="preserve"> % všech licenčních smluv uzavřených se zahraničními subjekty. </w:t>
      </w:r>
    </w:p>
    <w:p w:rsidR="00DB4D5E" w:rsidRPr="00DB4D5E" w:rsidRDefault="00DB4D5E" w:rsidP="00DB4D5E">
      <w:pPr>
        <w:spacing w:before="0" w:after="120" w:line="240" w:lineRule="auto"/>
        <w:ind w:firstLine="322"/>
        <w:jc w:val="both"/>
        <w:rPr>
          <w:rFonts w:eastAsia="Times New Roman"/>
          <w:szCs w:val="24"/>
          <w:lang w:eastAsia="cs-CZ"/>
        </w:rPr>
      </w:pPr>
      <w:r w:rsidRPr="00DB4D5E">
        <w:rPr>
          <w:rFonts w:eastAsia="Times New Roman"/>
          <w:szCs w:val="24"/>
          <w:lang w:eastAsia="cs-CZ"/>
        </w:rPr>
        <w:t>Z grafu č. 1-7 je patrný vysoký podíl přijatých poplatků od nabyvatelů ze Spoj</w:t>
      </w:r>
      <w:r w:rsidR="009A7A45">
        <w:rPr>
          <w:rFonts w:eastAsia="Times New Roman"/>
          <w:szCs w:val="24"/>
          <w:lang w:eastAsia="cs-CZ"/>
        </w:rPr>
        <w:t>ených států, které představují 77</w:t>
      </w:r>
      <w:r w:rsidRPr="00DB4D5E">
        <w:rPr>
          <w:rFonts w:eastAsia="Times New Roman"/>
          <w:szCs w:val="24"/>
          <w:lang w:eastAsia="cs-CZ"/>
        </w:rPr>
        <w:t> % všech inkasovaných poplatků bez ohledu na zahraničního nebo tuzemského partnera. Pro  partnery z ČR je charakteristický nízký podíl inkasovaných licenčních poplatků vzhledem k počtu uzavřených licenčních smluv.</w:t>
      </w:r>
    </w:p>
    <w:p w:rsidR="00DB4D5E" w:rsidRPr="00DB4D5E" w:rsidRDefault="00DB4D5E" w:rsidP="003C70A2">
      <w:pPr>
        <w:spacing w:after="0" w:line="240" w:lineRule="auto"/>
        <w:ind w:left="993" w:hanging="993"/>
        <w:jc w:val="both"/>
        <w:rPr>
          <w:rFonts w:eastAsia="Times New Roman"/>
          <w:b/>
          <w:szCs w:val="20"/>
          <w:lang w:eastAsia="cs-CZ"/>
        </w:rPr>
      </w:pPr>
      <w:r w:rsidRPr="006359FB">
        <w:rPr>
          <w:rFonts w:eastAsia="Times New Roman"/>
          <w:b/>
          <w:szCs w:val="20"/>
          <w:lang w:eastAsia="cs-CZ"/>
        </w:rPr>
        <w:t>Graf 1-7: Struktura poskytnutých licencí na patenty a užitné vzory podle země</w:t>
      </w:r>
      <w:r w:rsidR="00021A5D">
        <w:rPr>
          <w:rFonts w:eastAsia="Times New Roman"/>
          <w:b/>
          <w:szCs w:val="20"/>
          <w:lang w:eastAsia="cs-CZ"/>
        </w:rPr>
        <w:t xml:space="preserve"> smluvního partnera,</w:t>
      </w:r>
      <w:r w:rsidRPr="006359FB">
        <w:rPr>
          <w:rFonts w:eastAsia="Times New Roman"/>
          <w:b/>
          <w:szCs w:val="20"/>
          <w:lang w:eastAsia="cs-CZ"/>
        </w:rPr>
        <w:t xml:space="preserve"> 201</w:t>
      </w:r>
      <w:r w:rsidR="007A1E3D" w:rsidRPr="006359FB">
        <w:rPr>
          <w:rFonts w:eastAsia="Times New Roman"/>
          <w:b/>
          <w:szCs w:val="20"/>
          <w:lang w:eastAsia="cs-CZ"/>
        </w:rPr>
        <w:t>3</w:t>
      </w:r>
      <w:r w:rsidRPr="006359FB">
        <w:rPr>
          <w:rFonts w:eastAsia="Times New Roman"/>
          <w:b/>
          <w:szCs w:val="20"/>
          <w:lang w:eastAsia="cs-CZ"/>
        </w:rPr>
        <w:t xml:space="preserve"> (v %)</w:t>
      </w:r>
    </w:p>
    <w:p w:rsidR="00DB4D5E" w:rsidRPr="00DB4D5E" w:rsidRDefault="00DB4D5E" w:rsidP="00DB4D5E">
      <w:pPr>
        <w:spacing w:before="0" w:after="0" w:line="240" w:lineRule="auto"/>
        <w:jc w:val="both"/>
        <w:rPr>
          <w:rFonts w:eastAsia="Times New Roman"/>
          <w:b/>
          <w:sz w:val="18"/>
          <w:szCs w:val="24"/>
          <w:lang w:eastAsia="cs-CZ"/>
        </w:rPr>
      </w:pPr>
      <w:r w:rsidRPr="00DB4D5E">
        <w:rPr>
          <w:rFonts w:eastAsia="Times New Roman"/>
          <w:b/>
          <w:szCs w:val="24"/>
          <w:lang w:eastAsia="cs-CZ"/>
        </w:rPr>
        <w:t xml:space="preserve">  </w:t>
      </w:r>
    </w:p>
    <w:p w:rsidR="00DB4D5E" w:rsidRPr="00DB4D5E" w:rsidRDefault="00853F7E" w:rsidP="00DB4D5E">
      <w:pPr>
        <w:spacing w:before="0" w:after="120" w:line="240" w:lineRule="auto"/>
        <w:jc w:val="both"/>
        <w:rPr>
          <w:rFonts w:eastAsia="Times New Roman" w:cs="Arial"/>
          <w:b/>
          <w:color w:val="003300"/>
          <w:sz w:val="16"/>
          <w:szCs w:val="16"/>
          <w:lang w:eastAsia="cs-CZ"/>
        </w:rPr>
      </w:pPr>
      <w:r w:rsidRPr="00853F7E">
        <w:rPr>
          <w:rFonts w:eastAsia="Times New Roman" w:cs="Arial"/>
          <w:b/>
          <w:noProof/>
          <w:color w:val="003300"/>
          <w:sz w:val="16"/>
          <w:szCs w:val="16"/>
          <w:lang w:eastAsia="cs-CZ"/>
        </w:rPr>
        <w:drawing>
          <wp:inline distT="0" distB="0" distL="0" distR="0">
            <wp:extent cx="5934075" cy="6838950"/>
            <wp:effectExtent l="0" t="0" r="0" b="0"/>
            <wp:docPr id="2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B4D5E" w:rsidRDefault="00DB4D5E" w:rsidP="00DB4D5E">
      <w:pPr>
        <w:spacing w:before="240" w:after="120" w:line="240" w:lineRule="auto"/>
        <w:jc w:val="both"/>
        <w:rPr>
          <w:rFonts w:eastAsia="Times New Roman"/>
          <w:b/>
          <w:bCs/>
          <w:i/>
          <w:sz w:val="22"/>
          <w:szCs w:val="24"/>
          <w:lang w:eastAsia="cs-CZ"/>
        </w:rPr>
      </w:pPr>
    </w:p>
    <w:p w:rsidR="00DB4D5E" w:rsidRPr="00DB4D5E" w:rsidRDefault="00DB4D5E" w:rsidP="00DB4D5E">
      <w:pPr>
        <w:spacing w:before="240" w:after="120" w:line="240" w:lineRule="auto"/>
        <w:jc w:val="both"/>
        <w:rPr>
          <w:rFonts w:eastAsia="Times New Roman"/>
          <w:b/>
          <w:bCs/>
          <w:i/>
          <w:sz w:val="22"/>
          <w:szCs w:val="24"/>
          <w:lang w:eastAsia="cs-CZ"/>
        </w:rPr>
      </w:pPr>
      <w:r w:rsidRPr="00DB4D5E">
        <w:rPr>
          <w:rFonts w:eastAsia="Times New Roman"/>
          <w:b/>
          <w:bCs/>
          <w:i/>
          <w:sz w:val="22"/>
          <w:szCs w:val="24"/>
          <w:lang w:eastAsia="cs-CZ"/>
        </w:rPr>
        <w:lastRenderedPageBreak/>
        <w:t>Po</w:t>
      </w:r>
      <w:r w:rsidR="000D1E33">
        <w:rPr>
          <w:rFonts w:eastAsia="Times New Roman"/>
          <w:b/>
          <w:bCs/>
          <w:i/>
          <w:sz w:val="22"/>
          <w:szCs w:val="24"/>
          <w:lang w:eastAsia="cs-CZ"/>
        </w:rPr>
        <w:t>skytnuté</w:t>
      </w:r>
      <w:r w:rsidRPr="00DB4D5E">
        <w:rPr>
          <w:rFonts w:eastAsia="Times New Roman"/>
          <w:b/>
          <w:bCs/>
          <w:i/>
          <w:sz w:val="22"/>
          <w:szCs w:val="24"/>
          <w:lang w:eastAsia="cs-CZ"/>
        </w:rPr>
        <w:t xml:space="preserve"> licence na patenty a užitné vzory podle krajů</w:t>
      </w:r>
    </w:p>
    <w:p w:rsidR="00DB4D5E" w:rsidRPr="00DB4D5E" w:rsidRDefault="00DB4D5E" w:rsidP="00DB4D5E">
      <w:pPr>
        <w:spacing w:before="60" w:after="60" w:line="240" w:lineRule="auto"/>
        <w:jc w:val="both"/>
        <w:rPr>
          <w:rFonts w:eastAsia="Times New Roman"/>
          <w:szCs w:val="24"/>
          <w:lang w:eastAsia="cs-CZ"/>
        </w:rPr>
      </w:pPr>
      <w:r w:rsidRPr="00DB4D5E">
        <w:rPr>
          <w:rFonts w:eastAsia="Times New Roman"/>
          <w:szCs w:val="24"/>
          <w:lang w:eastAsia="cs-CZ"/>
        </w:rPr>
        <w:t>Z hlediska regionálního členění pocházela v roce 201</w:t>
      </w:r>
      <w:r w:rsidR="000135BD">
        <w:rPr>
          <w:rFonts w:eastAsia="Times New Roman"/>
          <w:szCs w:val="24"/>
          <w:lang w:eastAsia="cs-CZ"/>
        </w:rPr>
        <w:t>3</w:t>
      </w:r>
      <w:r w:rsidRPr="00DB4D5E">
        <w:rPr>
          <w:rFonts w:eastAsia="Times New Roman"/>
          <w:szCs w:val="24"/>
          <w:lang w:eastAsia="cs-CZ"/>
        </w:rPr>
        <w:t xml:space="preserve"> </w:t>
      </w:r>
      <w:r w:rsidR="00D47E45">
        <w:rPr>
          <w:rFonts w:eastAsia="Times New Roman"/>
          <w:szCs w:val="24"/>
          <w:lang w:eastAsia="cs-CZ"/>
        </w:rPr>
        <w:t>téměř</w:t>
      </w:r>
      <w:r w:rsidRPr="00DB4D5E">
        <w:rPr>
          <w:rFonts w:eastAsia="Times New Roman"/>
          <w:szCs w:val="24"/>
          <w:lang w:eastAsia="cs-CZ"/>
        </w:rPr>
        <w:t xml:space="preserve"> třetina poskytovatelů licencí (</w:t>
      </w:r>
      <w:r w:rsidR="0095389E">
        <w:rPr>
          <w:rFonts w:eastAsia="Times New Roman"/>
          <w:szCs w:val="24"/>
          <w:lang w:eastAsia="cs-CZ"/>
        </w:rPr>
        <w:t>29</w:t>
      </w:r>
      <w:r w:rsidR="002E3729">
        <w:rPr>
          <w:rFonts w:eastAsia="Times New Roman"/>
          <w:szCs w:val="24"/>
          <w:lang w:eastAsia="cs-CZ"/>
        </w:rPr>
        <w:t xml:space="preserve"> %</w:t>
      </w:r>
      <w:r w:rsidRPr="00DB4D5E">
        <w:rPr>
          <w:rFonts w:eastAsia="Times New Roman"/>
          <w:szCs w:val="24"/>
          <w:lang w:eastAsia="cs-CZ"/>
        </w:rPr>
        <w:t xml:space="preserve">) z Prahy. Šetřením bylo zjištěno, že za tyto licence bylo přijato </w:t>
      </w:r>
      <w:r w:rsidR="0095389E">
        <w:rPr>
          <w:rFonts w:eastAsia="Times New Roman"/>
          <w:szCs w:val="24"/>
          <w:lang w:eastAsia="cs-CZ"/>
        </w:rPr>
        <w:t xml:space="preserve">2 141 mil. Kč, tj. </w:t>
      </w:r>
      <w:r w:rsidR="000135BD">
        <w:rPr>
          <w:rFonts w:eastAsia="Times New Roman"/>
          <w:szCs w:val="24"/>
          <w:lang w:eastAsia="cs-CZ"/>
        </w:rPr>
        <w:t>84</w:t>
      </w:r>
      <w:r w:rsidRPr="00DB4D5E">
        <w:rPr>
          <w:rFonts w:eastAsia="Times New Roman"/>
          <w:szCs w:val="24"/>
          <w:lang w:eastAsia="cs-CZ"/>
        </w:rPr>
        <w:t xml:space="preserve"> % ze všech inkasovaných licenčních poplatků za platné licenční smlouvy uzavřené subjekty z ČR. </w:t>
      </w:r>
    </w:p>
    <w:p w:rsidR="00DB4D5E" w:rsidRPr="00DB4D5E" w:rsidRDefault="00DB4D5E" w:rsidP="00DB4D5E">
      <w:pPr>
        <w:spacing w:before="60" w:after="60" w:line="240" w:lineRule="auto"/>
        <w:ind w:right="-1"/>
        <w:jc w:val="both"/>
        <w:rPr>
          <w:rFonts w:eastAsia="Times New Roman"/>
          <w:b/>
          <w:szCs w:val="24"/>
          <w:lang w:eastAsia="cs-CZ"/>
        </w:rPr>
      </w:pPr>
      <w:r w:rsidRPr="00DB4D5E">
        <w:rPr>
          <w:rFonts w:eastAsia="Times New Roman"/>
          <w:b/>
          <w:bCs/>
          <w:szCs w:val="24"/>
          <w:lang w:eastAsia="cs-CZ"/>
        </w:rPr>
        <w:t xml:space="preserve">Graf 1-8: </w:t>
      </w:r>
      <w:r w:rsidRPr="00DB4D5E">
        <w:rPr>
          <w:rFonts w:eastAsia="Times New Roman"/>
          <w:b/>
          <w:szCs w:val="24"/>
          <w:lang w:eastAsia="cs-CZ"/>
        </w:rPr>
        <w:t>Struktura poskytnutých licencí na patenty a užitné vzory podle krajů</w:t>
      </w:r>
      <w:r w:rsidR="00021A5D">
        <w:rPr>
          <w:rFonts w:eastAsia="Times New Roman"/>
          <w:b/>
          <w:szCs w:val="24"/>
          <w:lang w:eastAsia="cs-CZ"/>
        </w:rPr>
        <w:t>,</w:t>
      </w:r>
      <w:r w:rsidRPr="00DB4D5E">
        <w:rPr>
          <w:rFonts w:eastAsia="Times New Roman"/>
          <w:b/>
          <w:szCs w:val="24"/>
          <w:lang w:eastAsia="cs-CZ"/>
        </w:rPr>
        <w:t xml:space="preserve"> 201</w:t>
      </w:r>
      <w:r w:rsidR="000135BD">
        <w:rPr>
          <w:rFonts w:eastAsia="Times New Roman"/>
          <w:b/>
          <w:szCs w:val="24"/>
          <w:lang w:eastAsia="cs-CZ"/>
        </w:rPr>
        <w:t>3</w:t>
      </w:r>
      <w:r w:rsidRPr="00DB4D5E">
        <w:rPr>
          <w:rFonts w:eastAsia="Times New Roman"/>
          <w:b/>
          <w:szCs w:val="24"/>
          <w:lang w:eastAsia="cs-CZ"/>
        </w:rPr>
        <w:t xml:space="preserve"> (v %)</w:t>
      </w:r>
    </w:p>
    <w:p w:rsidR="00DB4D5E" w:rsidRPr="00DB4D5E" w:rsidRDefault="00D47E45" w:rsidP="00DB4D5E">
      <w:pPr>
        <w:spacing w:before="0" w:after="0" w:line="240" w:lineRule="auto"/>
        <w:jc w:val="both"/>
        <w:rPr>
          <w:rFonts w:eastAsia="Times New Roman"/>
          <w:b/>
          <w:szCs w:val="24"/>
          <w:lang w:eastAsia="cs-CZ"/>
        </w:rPr>
      </w:pPr>
      <w:r w:rsidRPr="00D47E45">
        <w:rPr>
          <w:rFonts w:eastAsia="Times New Roman"/>
          <w:b/>
          <w:noProof/>
          <w:szCs w:val="24"/>
          <w:lang w:eastAsia="cs-CZ"/>
        </w:rPr>
        <w:drawing>
          <wp:inline distT="0" distB="0" distL="0" distR="0">
            <wp:extent cx="6105525" cy="3067050"/>
            <wp:effectExtent l="0" t="0" r="0" b="0"/>
            <wp:docPr id="2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B4D5E" w:rsidRPr="00A2723D" w:rsidRDefault="00DB4D5E" w:rsidP="00DB4D5E">
      <w:pPr>
        <w:spacing w:before="240" w:after="120" w:line="240" w:lineRule="auto"/>
        <w:jc w:val="both"/>
        <w:rPr>
          <w:rFonts w:eastAsia="Times New Roman"/>
          <w:b/>
          <w:bCs/>
          <w:i/>
          <w:sz w:val="22"/>
          <w:szCs w:val="24"/>
          <w:lang w:eastAsia="cs-CZ"/>
        </w:rPr>
      </w:pPr>
      <w:r w:rsidRPr="00A2723D">
        <w:rPr>
          <w:rFonts w:eastAsia="Times New Roman"/>
          <w:b/>
          <w:bCs/>
          <w:i/>
          <w:sz w:val="22"/>
          <w:szCs w:val="24"/>
          <w:lang w:eastAsia="cs-CZ"/>
        </w:rPr>
        <w:t>Patenty, ke kterým byla uzavřena licenční smlouva</w:t>
      </w:r>
    </w:p>
    <w:p w:rsidR="00DB4D5E" w:rsidRPr="00DB4D5E" w:rsidRDefault="00DB4D5E" w:rsidP="00DB4D5E">
      <w:pPr>
        <w:spacing w:before="60" w:after="60" w:line="240" w:lineRule="auto"/>
        <w:jc w:val="both"/>
        <w:rPr>
          <w:rFonts w:eastAsia="Times New Roman"/>
          <w:szCs w:val="20"/>
          <w:lang w:eastAsia="cs-CZ"/>
        </w:rPr>
      </w:pPr>
      <w:r w:rsidRPr="00A2723D">
        <w:rPr>
          <w:rFonts w:eastAsia="Times New Roman"/>
          <w:szCs w:val="20"/>
          <w:lang w:eastAsia="cs-CZ"/>
        </w:rPr>
        <w:t xml:space="preserve">Některé subjekty mají na 1 patent uzavřeno více licenčních smluv. Skutečný počet licencovaných patentů je tak menší než počet licenčních smluv uváděných subjekty výkazem </w:t>
      </w:r>
      <w:proofErr w:type="spellStart"/>
      <w:r w:rsidRPr="00A2723D">
        <w:rPr>
          <w:rFonts w:eastAsia="Times New Roman"/>
          <w:szCs w:val="20"/>
          <w:lang w:eastAsia="cs-CZ"/>
        </w:rPr>
        <w:t>Lic</w:t>
      </w:r>
      <w:proofErr w:type="spellEnd"/>
      <w:r w:rsidRPr="00A2723D">
        <w:rPr>
          <w:rFonts w:eastAsia="Times New Roman"/>
          <w:szCs w:val="20"/>
          <w:lang w:eastAsia="cs-CZ"/>
        </w:rPr>
        <w:t xml:space="preserve"> 5-01. V rámci ověřování dat, která subjekty </w:t>
      </w:r>
      <w:proofErr w:type="gramStart"/>
      <w:r w:rsidRPr="00A2723D">
        <w:rPr>
          <w:rFonts w:eastAsia="Times New Roman"/>
          <w:szCs w:val="20"/>
          <w:lang w:eastAsia="cs-CZ"/>
        </w:rPr>
        <w:t>uvádějí</w:t>
      </w:r>
      <w:proofErr w:type="gramEnd"/>
      <w:r w:rsidRPr="00A2723D">
        <w:rPr>
          <w:rFonts w:eastAsia="Times New Roman"/>
          <w:szCs w:val="20"/>
          <w:lang w:eastAsia="cs-CZ"/>
        </w:rPr>
        <w:t xml:space="preserve"> ve výkaze </w:t>
      </w:r>
      <w:proofErr w:type="spellStart"/>
      <w:proofErr w:type="gramStart"/>
      <w:r w:rsidRPr="00A2723D">
        <w:rPr>
          <w:rFonts w:eastAsia="Times New Roman"/>
          <w:szCs w:val="20"/>
          <w:lang w:eastAsia="cs-CZ"/>
        </w:rPr>
        <w:t>Lic</w:t>
      </w:r>
      <w:proofErr w:type="spellEnd"/>
      <w:proofErr w:type="gramEnd"/>
      <w:r w:rsidRPr="00A2723D">
        <w:rPr>
          <w:rFonts w:eastAsia="Times New Roman"/>
          <w:szCs w:val="20"/>
          <w:lang w:eastAsia="cs-CZ"/>
        </w:rPr>
        <w:t xml:space="preserve"> 5-01, zjišťujeme také skutečný počet licencovaných patentů. Zatímco tedy celkový počet licenčních smluv na patenty uzavřených subjekty z ČR byl </w:t>
      </w:r>
      <w:r w:rsidR="00D47E45" w:rsidRPr="00A2723D">
        <w:rPr>
          <w:rFonts w:eastAsia="Times New Roman"/>
          <w:szCs w:val="20"/>
          <w:lang w:eastAsia="cs-CZ"/>
        </w:rPr>
        <w:t>4</w:t>
      </w:r>
      <w:r w:rsidR="009777E4" w:rsidRPr="00A2723D">
        <w:rPr>
          <w:rFonts w:eastAsia="Times New Roman"/>
          <w:szCs w:val="20"/>
          <w:lang w:eastAsia="cs-CZ"/>
        </w:rPr>
        <w:t>72</w:t>
      </w:r>
      <w:r w:rsidRPr="00A2723D">
        <w:rPr>
          <w:rFonts w:eastAsia="Times New Roman"/>
          <w:szCs w:val="20"/>
          <w:lang w:eastAsia="cs-CZ"/>
        </w:rPr>
        <w:t xml:space="preserve">, počet patentů, ke kterým byly tyto licenční smlouvy uzavřeny, byl </w:t>
      </w:r>
      <w:r w:rsidR="003D0765" w:rsidRPr="00A2723D">
        <w:rPr>
          <w:rFonts w:eastAsia="Times New Roman"/>
          <w:szCs w:val="20"/>
          <w:lang w:eastAsia="cs-CZ"/>
        </w:rPr>
        <w:t>téměř</w:t>
      </w:r>
      <w:r w:rsidRPr="00A2723D">
        <w:rPr>
          <w:rFonts w:eastAsia="Times New Roman"/>
          <w:szCs w:val="20"/>
          <w:lang w:eastAsia="cs-CZ"/>
        </w:rPr>
        <w:t xml:space="preserve"> polovičn</w:t>
      </w:r>
      <w:r w:rsidR="00D47E45" w:rsidRPr="00A2723D">
        <w:rPr>
          <w:rFonts w:eastAsia="Times New Roman"/>
          <w:szCs w:val="20"/>
          <w:lang w:eastAsia="cs-CZ"/>
        </w:rPr>
        <w:t>í. Bylo zjištěno, že v roce 201</w:t>
      </w:r>
      <w:r w:rsidR="009777E4" w:rsidRPr="00A2723D">
        <w:rPr>
          <w:rFonts w:eastAsia="Times New Roman"/>
          <w:szCs w:val="20"/>
          <w:lang w:eastAsia="cs-CZ"/>
        </w:rPr>
        <w:t>3</w:t>
      </w:r>
      <w:r w:rsidRPr="00A2723D">
        <w:rPr>
          <w:rFonts w:eastAsia="Times New Roman"/>
          <w:szCs w:val="20"/>
          <w:lang w:eastAsia="cs-CZ"/>
        </w:rPr>
        <w:t xml:space="preserve"> české subjekty uzavřely licenční </w:t>
      </w:r>
      <w:r w:rsidR="003D0765" w:rsidRPr="00A2723D">
        <w:rPr>
          <w:rFonts w:eastAsia="Times New Roman"/>
          <w:szCs w:val="20"/>
          <w:lang w:eastAsia="cs-CZ"/>
        </w:rPr>
        <w:t xml:space="preserve">smlouvy ke </w:t>
      </w:r>
      <w:r w:rsidR="00A2723D" w:rsidRPr="00A2723D">
        <w:rPr>
          <w:rFonts w:eastAsia="Times New Roman"/>
          <w:szCs w:val="20"/>
          <w:lang w:eastAsia="cs-CZ"/>
        </w:rPr>
        <w:t>251</w:t>
      </w:r>
      <w:r w:rsidRPr="00A2723D">
        <w:rPr>
          <w:rFonts w:eastAsia="Times New Roman"/>
          <w:szCs w:val="20"/>
          <w:lang w:eastAsia="cs-CZ"/>
        </w:rPr>
        <w:t xml:space="preserve"> patentům. Podobně tomu je u nově uzavřených licenčních smluv, kdy bylo zjištěno uzavření </w:t>
      </w:r>
      <w:r w:rsidR="009777E4" w:rsidRPr="00A2723D">
        <w:rPr>
          <w:rFonts w:eastAsia="Times New Roman"/>
          <w:szCs w:val="20"/>
          <w:lang w:eastAsia="cs-CZ"/>
        </w:rPr>
        <w:t>79</w:t>
      </w:r>
      <w:r w:rsidRPr="00A2723D">
        <w:rPr>
          <w:rFonts w:eastAsia="Times New Roman"/>
          <w:szCs w:val="20"/>
          <w:lang w:eastAsia="cs-CZ"/>
        </w:rPr>
        <w:t xml:space="preserve"> nových licenčních smluv k </w:t>
      </w:r>
      <w:r w:rsidR="003D0765" w:rsidRPr="00A2723D">
        <w:rPr>
          <w:rFonts w:eastAsia="Times New Roman"/>
          <w:szCs w:val="20"/>
          <w:lang w:eastAsia="cs-CZ"/>
        </w:rPr>
        <w:t>6</w:t>
      </w:r>
      <w:r w:rsidR="00A2723D" w:rsidRPr="00A2723D">
        <w:rPr>
          <w:rFonts w:eastAsia="Times New Roman"/>
          <w:szCs w:val="20"/>
          <w:lang w:eastAsia="cs-CZ"/>
        </w:rPr>
        <w:t>7</w:t>
      </w:r>
      <w:r w:rsidRPr="00A2723D">
        <w:rPr>
          <w:rFonts w:eastAsia="Times New Roman"/>
          <w:szCs w:val="20"/>
          <w:lang w:eastAsia="cs-CZ"/>
        </w:rPr>
        <w:t xml:space="preserve"> patentům.</w:t>
      </w:r>
    </w:p>
    <w:p w:rsidR="00164CD8" w:rsidRDefault="00164CD8"/>
    <w:sectPr w:rsidR="00164CD8" w:rsidSect="00F97A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4F" w:rsidRDefault="00846B4F" w:rsidP="00DB4D5E">
      <w:pPr>
        <w:spacing w:before="0" w:after="0" w:line="240" w:lineRule="auto"/>
      </w:pPr>
      <w:r>
        <w:separator/>
      </w:r>
    </w:p>
  </w:endnote>
  <w:endnote w:type="continuationSeparator" w:id="0">
    <w:p w:rsidR="00846B4F" w:rsidRDefault="00846B4F" w:rsidP="00DB4D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4F" w:rsidRDefault="00846B4F" w:rsidP="00DB4D5E">
      <w:pPr>
        <w:spacing w:before="0" w:after="0" w:line="240" w:lineRule="auto"/>
      </w:pPr>
      <w:r>
        <w:separator/>
      </w:r>
    </w:p>
  </w:footnote>
  <w:footnote w:type="continuationSeparator" w:id="0">
    <w:p w:rsidR="00846B4F" w:rsidRDefault="00846B4F" w:rsidP="00DB4D5E">
      <w:pPr>
        <w:spacing w:before="0" w:after="0" w:line="240" w:lineRule="auto"/>
      </w:pPr>
      <w:r>
        <w:continuationSeparator/>
      </w:r>
    </w:p>
  </w:footnote>
  <w:footnote w:id="1">
    <w:p w:rsidR="00DB4D5E" w:rsidRPr="006F7FBC" w:rsidRDefault="00DB4D5E" w:rsidP="00DB4D5E">
      <w:pPr>
        <w:pStyle w:val="Textpoznpodarou"/>
        <w:rPr>
          <w:i/>
          <w:sz w:val="16"/>
          <w:szCs w:val="16"/>
        </w:rPr>
      </w:pPr>
      <w:r w:rsidRPr="006F7FBC">
        <w:rPr>
          <w:rStyle w:val="Znakapoznpodarou"/>
          <w:sz w:val="18"/>
          <w:szCs w:val="18"/>
        </w:rPr>
        <w:footnoteRef/>
      </w:r>
      <w:r w:rsidRPr="006F7FBC">
        <w:rPr>
          <w:sz w:val="18"/>
          <w:szCs w:val="18"/>
        </w:rPr>
        <w:t xml:space="preserve"> </w:t>
      </w:r>
      <w:r w:rsidRPr="006F7FBC">
        <w:rPr>
          <w:i/>
          <w:sz w:val="16"/>
          <w:szCs w:val="16"/>
        </w:rPr>
        <w:t>Někteří poskytovatelé mají uzavřené licenční smlouvy na více předmětů licenčních smluv. Z tohoto důvodu neodpovídá celkový počet poskytovatelů součtu poskytovatelů podle jednotlivých předmětů licenčních smluv.</w:t>
      </w:r>
    </w:p>
  </w:footnote>
  <w:footnote w:id="2">
    <w:p w:rsidR="00DB4D5E" w:rsidRPr="002E4827" w:rsidRDefault="00DB4D5E" w:rsidP="00DB4D5E">
      <w:pPr>
        <w:pStyle w:val="Textpoznpodarou"/>
        <w:rPr>
          <w:i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E4827">
        <w:rPr>
          <w:i/>
          <w:sz w:val="16"/>
          <w:szCs w:val="16"/>
        </w:rPr>
        <w:t>Na celkových přijatých licenčních poplatcích se, dle veřejně dostupných informací ve výročních zprávách, z více jak 95% podílí Ústav organické chemie a biochemie AV ČR, v.v.i. (</w:t>
      </w:r>
      <w:proofErr w:type="gramStart"/>
      <w:r w:rsidRPr="002E4827">
        <w:rPr>
          <w:i/>
          <w:sz w:val="16"/>
          <w:szCs w:val="16"/>
        </w:rPr>
        <w:t>více  viz</w:t>
      </w:r>
      <w:proofErr w:type="gramEnd"/>
      <w:r w:rsidRPr="002E4827">
        <w:rPr>
          <w:i/>
          <w:sz w:val="16"/>
          <w:szCs w:val="16"/>
        </w:rPr>
        <w:t xml:space="preserve"> http://www.uochb.cz/web/structure/573.html?lang=cz)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736"/>
    <w:multiLevelType w:val="hybridMultilevel"/>
    <w:tmpl w:val="162CEB42"/>
    <w:lvl w:ilvl="0" w:tplc="918643D0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5E"/>
    <w:rsid w:val="000078EF"/>
    <w:rsid w:val="000135BD"/>
    <w:rsid w:val="00021A5D"/>
    <w:rsid w:val="00032397"/>
    <w:rsid w:val="000457C5"/>
    <w:rsid w:val="00053AEE"/>
    <w:rsid w:val="00086DC0"/>
    <w:rsid w:val="000A437C"/>
    <w:rsid w:val="000B51C2"/>
    <w:rsid w:val="000D1E33"/>
    <w:rsid w:val="000D2AE1"/>
    <w:rsid w:val="00101E62"/>
    <w:rsid w:val="00124312"/>
    <w:rsid w:val="00151AA8"/>
    <w:rsid w:val="0016263E"/>
    <w:rsid w:val="0016384A"/>
    <w:rsid w:val="00164CD8"/>
    <w:rsid w:val="002300AD"/>
    <w:rsid w:val="00251A5D"/>
    <w:rsid w:val="002528F3"/>
    <w:rsid w:val="00271CCE"/>
    <w:rsid w:val="00277832"/>
    <w:rsid w:val="00292595"/>
    <w:rsid w:val="002E0041"/>
    <w:rsid w:val="002E2FC8"/>
    <w:rsid w:val="002E3729"/>
    <w:rsid w:val="002E4827"/>
    <w:rsid w:val="002F4267"/>
    <w:rsid w:val="002F7BBE"/>
    <w:rsid w:val="003540EC"/>
    <w:rsid w:val="0035728F"/>
    <w:rsid w:val="00362D80"/>
    <w:rsid w:val="003914D6"/>
    <w:rsid w:val="003C70A2"/>
    <w:rsid w:val="003C7CF5"/>
    <w:rsid w:val="003D0765"/>
    <w:rsid w:val="00401823"/>
    <w:rsid w:val="0042069D"/>
    <w:rsid w:val="004538C1"/>
    <w:rsid w:val="004668A7"/>
    <w:rsid w:val="0047547B"/>
    <w:rsid w:val="00476B10"/>
    <w:rsid w:val="00483857"/>
    <w:rsid w:val="0048388C"/>
    <w:rsid w:val="00484B06"/>
    <w:rsid w:val="00485D45"/>
    <w:rsid w:val="004901A2"/>
    <w:rsid w:val="00496D82"/>
    <w:rsid w:val="00497D66"/>
    <w:rsid w:val="004A5BFC"/>
    <w:rsid w:val="004D411B"/>
    <w:rsid w:val="004D485A"/>
    <w:rsid w:val="00502CFC"/>
    <w:rsid w:val="00507D9F"/>
    <w:rsid w:val="00540435"/>
    <w:rsid w:val="00565B2E"/>
    <w:rsid w:val="00594991"/>
    <w:rsid w:val="00594B7B"/>
    <w:rsid w:val="005C585A"/>
    <w:rsid w:val="005E2D22"/>
    <w:rsid w:val="006359FB"/>
    <w:rsid w:val="006F5B5E"/>
    <w:rsid w:val="006F7FBC"/>
    <w:rsid w:val="0074516E"/>
    <w:rsid w:val="007877D8"/>
    <w:rsid w:val="007920FA"/>
    <w:rsid w:val="0079441E"/>
    <w:rsid w:val="007A1E3D"/>
    <w:rsid w:val="008170C8"/>
    <w:rsid w:val="00817C44"/>
    <w:rsid w:val="00825884"/>
    <w:rsid w:val="00833A12"/>
    <w:rsid w:val="00846B4F"/>
    <w:rsid w:val="00853F7E"/>
    <w:rsid w:val="00882C84"/>
    <w:rsid w:val="00893B81"/>
    <w:rsid w:val="008C4727"/>
    <w:rsid w:val="008F59E7"/>
    <w:rsid w:val="008F7E20"/>
    <w:rsid w:val="00905E8D"/>
    <w:rsid w:val="00906A72"/>
    <w:rsid w:val="0092181F"/>
    <w:rsid w:val="0095389E"/>
    <w:rsid w:val="009777E4"/>
    <w:rsid w:val="00985BD6"/>
    <w:rsid w:val="00996D1D"/>
    <w:rsid w:val="009A7A45"/>
    <w:rsid w:val="009D04AF"/>
    <w:rsid w:val="009D0DB2"/>
    <w:rsid w:val="009D2711"/>
    <w:rsid w:val="009D5F37"/>
    <w:rsid w:val="009E2282"/>
    <w:rsid w:val="009F5A3A"/>
    <w:rsid w:val="00A2723D"/>
    <w:rsid w:val="00A35759"/>
    <w:rsid w:val="00A4245D"/>
    <w:rsid w:val="00AB241B"/>
    <w:rsid w:val="00AD5195"/>
    <w:rsid w:val="00B2029F"/>
    <w:rsid w:val="00B21395"/>
    <w:rsid w:val="00B2533A"/>
    <w:rsid w:val="00B905A8"/>
    <w:rsid w:val="00BF16EF"/>
    <w:rsid w:val="00C17351"/>
    <w:rsid w:val="00C20988"/>
    <w:rsid w:val="00C51765"/>
    <w:rsid w:val="00C555A6"/>
    <w:rsid w:val="00C86FC4"/>
    <w:rsid w:val="00C920D8"/>
    <w:rsid w:val="00C95B8E"/>
    <w:rsid w:val="00CB52C0"/>
    <w:rsid w:val="00CC0B5E"/>
    <w:rsid w:val="00CE449C"/>
    <w:rsid w:val="00D01EF1"/>
    <w:rsid w:val="00D02068"/>
    <w:rsid w:val="00D370B1"/>
    <w:rsid w:val="00D375EF"/>
    <w:rsid w:val="00D47E45"/>
    <w:rsid w:val="00D80BEF"/>
    <w:rsid w:val="00DB4D5E"/>
    <w:rsid w:val="00DC650D"/>
    <w:rsid w:val="00E47265"/>
    <w:rsid w:val="00E64F95"/>
    <w:rsid w:val="00EC2F40"/>
    <w:rsid w:val="00EC5747"/>
    <w:rsid w:val="00F3152B"/>
    <w:rsid w:val="00F339C6"/>
    <w:rsid w:val="00F50791"/>
    <w:rsid w:val="00F80FDE"/>
    <w:rsid w:val="00F91434"/>
    <w:rsid w:val="00F97AB2"/>
    <w:rsid w:val="00FA0A55"/>
    <w:rsid w:val="00FA22BA"/>
    <w:rsid w:val="00FD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0C8"/>
    <w:pPr>
      <w:spacing w:before="120" w:after="200"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170C8"/>
    <w:pPr>
      <w:keepNext/>
      <w:spacing w:before="0" w:after="120" w:line="240" w:lineRule="auto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8170C8"/>
    <w:pPr>
      <w:keepNext/>
      <w:spacing w:before="240" w:after="60"/>
      <w:jc w:val="center"/>
      <w:outlineLvl w:val="1"/>
    </w:pPr>
    <w:rPr>
      <w:rFonts w:eastAsia="Times New Roman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8170C8"/>
    <w:pPr>
      <w:spacing w:before="240" w:after="120" w:line="264" w:lineRule="auto"/>
      <w:outlineLvl w:val="2"/>
    </w:pPr>
    <w:rPr>
      <w:rFonts w:eastAsia="Times New Roman"/>
      <w:b/>
      <w:bCs/>
      <w:iCs/>
      <w:sz w:val="22"/>
    </w:rPr>
  </w:style>
  <w:style w:type="paragraph" w:styleId="Nadpis4">
    <w:name w:val="heading 4"/>
    <w:basedOn w:val="Normln"/>
    <w:next w:val="Normln"/>
    <w:link w:val="Nadpis4Char"/>
    <w:qFormat/>
    <w:rsid w:val="008170C8"/>
    <w:pPr>
      <w:keepNext/>
      <w:spacing w:after="120"/>
      <w:outlineLvl w:val="3"/>
    </w:pPr>
    <w:rPr>
      <w:b/>
      <w:bCs/>
      <w:color w:val="FF0000"/>
    </w:rPr>
  </w:style>
  <w:style w:type="paragraph" w:styleId="Nadpis5">
    <w:name w:val="heading 5"/>
    <w:basedOn w:val="Normln"/>
    <w:next w:val="Normln"/>
    <w:link w:val="Nadpis5Char"/>
    <w:qFormat/>
    <w:rsid w:val="008170C8"/>
    <w:pPr>
      <w:keepNext/>
      <w:spacing w:before="200" w:after="60" w:line="264" w:lineRule="auto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170C8"/>
    <w:pPr>
      <w:keepNext/>
      <w:spacing w:before="0" w:after="120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8170C8"/>
    <w:pPr>
      <w:keepNext/>
      <w:jc w:val="right"/>
      <w:outlineLvl w:val="6"/>
    </w:pPr>
    <w:rPr>
      <w:i/>
      <w:sz w:val="16"/>
      <w:szCs w:val="14"/>
    </w:rPr>
  </w:style>
  <w:style w:type="paragraph" w:styleId="Nadpis8">
    <w:name w:val="heading 8"/>
    <w:basedOn w:val="Normln"/>
    <w:next w:val="Normln"/>
    <w:link w:val="Nadpis8Char"/>
    <w:qFormat/>
    <w:rsid w:val="008170C8"/>
    <w:pPr>
      <w:keepNext/>
      <w:outlineLvl w:val="7"/>
    </w:pPr>
    <w:rPr>
      <w:rFonts w:cs="Arial"/>
      <w:b/>
      <w:bCs/>
      <w:color w:val="FF0000"/>
      <w:sz w:val="16"/>
      <w:szCs w:val="16"/>
    </w:rPr>
  </w:style>
  <w:style w:type="paragraph" w:styleId="Nadpis9">
    <w:name w:val="heading 9"/>
    <w:basedOn w:val="Normln"/>
    <w:next w:val="Normln"/>
    <w:link w:val="Nadpis9Char"/>
    <w:qFormat/>
    <w:rsid w:val="008170C8"/>
    <w:pPr>
      <w:keepNext/>
      <w:spacing w:before="240" w:after="120"/>
      <w:outlineLvl w:val="8"/>
    </w:pPr>
    <w:rPr>
      <w:rFonts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5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rsid w:val="00565B2E"/>
    <w:rPr>
      <w:rFonts w:ascii="Arial" w:eastAsia="Times New Roman" w:hAnsi="Arial"/>
      <w:b/>
      <w:bCs/>
      <w:iCs/>
      <w:sz w:val="24"/>
      <w:szCs w:val="28"/>
      <w:lang w:eastAsia="en-US"/>
    </w:rPr>
  </w:style>
  <w:style w:type="paragraph" w:customStyle="1" w:styleId="nadpisdefinice">
    <w:name w:val="nadpis definice"/>
    <w:basedOn w:val="Normln"/>
    <w:link w:val="nadpisdefiniceChar"/>
    <w:qFormat/>
    <w:rsid w:val="008170C8"/>
    <w:rPr>
      <w:rFonts w:cs="Arial"/>
      <w:sz w:val="32"/>
      <w:szCs w:val="32"/>
    </w:rPr>
  </w:style>
  <w:style w:type="character" w:customStyle="1" w:styleId="nadpisdefiniceChar">
    <w:name w:val="nadpis definice Char"/>
    <w:basedOn w:val="Standardnpsmoodstavce"/>
    <w:link w:val="nadpisdefinice"/>
    <w:rsid w:val="00565B2E"/>
    <w:rPr>
      <w:rFonts w:ascii="Arial" w:hAnsi="Arial" w:cs="Arial"/>
      <w:sz w:val="32"/>
      <w:szCs w:val="32"/>
      <w:lang w:eastAsia="en-US"/>
    </w:rPr>
  </w:style>
  <w:style w:type="paragraph" w:styleId="Titulek">
    <w:name w:val="caption"/>
    <w:basedOn w:val="Normln"/>
    <w:next w:val="Normln"/>
    <w:qFormat/>
    <w:rsid w:val="008170C8"/>
    <w:pPr>
      <w:spacing w:after="0" w:line="240" w:lineRule="auto"/>
    </w:pPr>
    <w:rPr>
      <w:b/>
      <w:bCs/>
      <w:sz w:val="16"/>
      <w:szCs w:val="20"/>
    </w:rPr>
  </w:style>
  <w:style w:type="character" w:customStyle="1" w:styleId="Nadpis3Char">
    <w:name w:val="Nadpis 3 Char"/>
    <w:basedOn w:val="Standardnpsmoodstavce"/>
    <w:link w:val="Nadpis3"/>
    <w:rsid w:val="008170C8"/>
    <w:rPr>
      <w:rFonts w:ascii="Arial" w:eastAsia="Times New Roman" w:hAnsi="Arial"/>
      <w:b/>
      <w:bCs/>
      <w:iCs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8170C8"/>
    <w:rPr>
      <w:rFonts w:ascii="Arial" w:hAnsi="Arial"/>
      <w:b/>
      <w:bCs/>
      <w:color w:val="FF0000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8170C8"/>
    <w:rPr>
      <w:rFonts w:ascii="Arial" w:hAnsi="Arial"/>
      <w:b/>
      <w:bCs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8170C8"/>
    <w:rPr>
      <w:rFonts w:ascii="Arial" w:hAnsi="Arial"/>
      <w:b/>
      <w:bCs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8170C8"/>
    <w:rPr>
      <w:rFonts w:ascii="Arial" w:hAnsi="Arial"/>
      <w:i/>
      <w:sz w:val="16"/>
      <w:szCs w:val="14"/>
      <w:lang w:eastAsia="en-US"/>
    </w:rPr>
  </w:style>
  <w:style w:type="character" w:customStyle="1" w:styleId="Nadpis8Char">
    <w:name w:val="Nadpis 8 Char"/>
    <w:basedOn w:val="Standardnpsmoodstavce"/>
    <w:link w:val="Nadpis8"/>
    <w:rsid w:val="008170C8"/>
    <w:rPr>
      <w:rFonts w:ascii="Arial" w:hAnsi="Arial" w:cs="Arial"/>
      <w:b/>
      <w:bCs/>
      <w:color w:val="FF0000"/>
      <w:sz w:val="16"/>
      <w:szCs w:val="16"/>
      <w:lang w:eastAsia="en-US"/>
    </w:rPr>
  </w:style>
  <w:style w:type="character" w:customStyle="1" w:styleId="Nadpis9Char">
    <w:name w:val="Nadpis 9 Char"/>
    <w:basedOn w:val="Standardnpsmoodstavce"/>
    <w:link w:val="Nadpis9"/>
    <w:rsid w:val="008170C8"/>
    <w:rPr>
      <w:rFonts w:ascii="Arial" w:hAnsi="Arial" w:cs="Arial"/>
      <w:b/>
      <w:bCs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D5E"/>
    <w:pPr>
      <w:spacing w:before="0"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D5E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DB4D5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D5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D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13\graf_ZJ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13\graf_ZJ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13\graf_ZJ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13\graf_ZJ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13\graf_ZJ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13\graf_ZJ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13\graf_ZJ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13\graf_ZJ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13\graf_ZJ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13\graf_ZJ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13\graf_ZJ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13\graf_ZJ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13\graf_ZJ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13\graf_ZJ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13\graf_ZJ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Licence\publikace\2013\graf_ZJ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0.4937939514317467"/>
          <c:y val="5.3312824269059478E-2"/>
          <c:w val="0.50620604856825258"/>
          <c:h val="0.88217054263565953"/>
        </c:manualLayout>
      </c:layout>
      <c:barChart>
        <c:barDir val="bar"/>
        <c:grouping val="clustered"/>
        <c:ser>
          <c:idx val="0"/>
          <c:order val="0"/>
          <c:dPt>
            <c:idx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4"/>
            <c:spPr>
              <a:solidFill>
                <a:schemeClr val="tx2">
                  <a:lumMod val="50000"/>
                </a:schemeClr>
              </a:solidFill>
            </c:spPr>
          </c:dPt>
          <c:cat>
            <c:strRef>
              <c:f>graf1_2!$H$2:$H$6</c:f>
              <c:strCache>
                <c:ptCount val="5"/>
                <c:pt idx="0">
                  <c:v>Průmyslový vzor</c:v>
                </c:pt>
                <c:pt idx="1">
                  <c:v>Nové odrůdy rostlin a plemen zvířat</c:v>
                </c:pt>
                <c:pt idx="2">
                  <c:v>Know-how</c:v>
                </c:pt>
                <c:pt idx="3">
                  <c:v>Patent</c:v>
                </c:pt>
                <c:pt idx="4">
                  <c:v>Užitný vzor</c:v>
                </c:pt>
              </c:strCache>
            </c:strRef>
          </c:cat>
          <c:val>
            <c:numRef>
              <c:f>graf1_2!$I$2:$I$6</c:f>
              <c:numCache>
                <c:formatCode>#,##0</c:formatCode>
                <c:ptCount val="5"/>
                <c:pt idx="0">
                  <c:v>20</c:v>
                </c:pt>
                <c:pt idx="1">
                  <c:v>21</c:v>
                </c:pt>
                <c:pt idx="2">
                  <c:v>37</c:v>
                </c:pt>
                <c:pt idx="3">
                  <c:v>73</c:v>
                </c:pt>
                <c:pt idx="4">
                  <c:v>75</c:v>
                </c:pt>
              </c:numCache>
            </c:numRef>
          </c:val>
        </c:ser>
        <c:dLbls>
          <c:showVal val="1"/>
        </c:dLbls>
        <c:gapWidth val="80"/>
        <c:axId val="49276800"/>
        <c:axId val="49279360"/>
      </c:barChart>
      <c:catAx>
        <c:axId val="49276800"/>
        <c:scaling>
          <c:orientation val="minMax"/>
        </c:scaling>
        <c:axPos val="l"/>
        <c:tickLblPos val="nextTo"/>
        <c:crossAx val="49279360"/>
        <c:crosses val="autoZero"/>
        <c:auto val="1"/>
        <c:lblAlgn val="ctr"/>
        <c:lblOffset val="100"/>
      </c:catAx>
      <c:valAx>
        <c:axId val="49279360"/>
        <c:scaling>
          <c:orientation val="minMax"/>
        </c:scaling>
        <c:delete val="1"/>
        <c:axPos val="b"/>
        <c:numFmt formatCode="#,##0" sourceLinked="1"/>
        <c:tickLblPos val="none"/>
        <c:crossAx val="49276800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900"/>
            </a:pPr>
            <a:r>
              <a:rPr lang="cs-CZ" sz="900"/>
              <a:t>Užitné</a:t>
            </a:r>
            <a:r>
              <a:rPr lang="cs-CZ" sz="900" baseline="0"/>
              <a:t> vzory</a:t>
            </a:r>
            <a:endParaRPr lang="cs-CZ" sz="900"/>
          </a:p>
        </c:rich>
      </c:tx>
      <c:layout>
        <c:manualLayout>
          <c:xMode val="edge"/>
          <c:yMode val="edge"/>
          <c:x val="0.41227580594978991"/>
          <c:y val="5.0536884003582527E-2"/>
        </c:manualLayout>
      </c:layout>
    </c:title>
    <c:plotArea>
      <c:layout>
        <c:manualLayout>
          <c:layoutTarget val="inner"/>
          <c:xMode val="edge"/>
          <c:yMode val="edge"/>
          <c:x val="8.6687664041994753E-2"/>
          <c:y val="0.19774169307674724"/>
          <c:w val="0.88079166666666664"/>
          <c:h val="0.65198636477493965"/>
        </c:manualLayout>
      </c:layout>
      <c:barChart>
        <c:barDir val="col"/>
        <c:grouping val="clustered"/>
        <c:ser>
          <c:idx val="0"/>
          <c:order val="0"/>
          <c:tx>
            <c:strRef>
              <c:f>graf3_5!$A$33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numRef>
              <c:f>graf3_5!$B$32:$K$32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graf3_5!$B$33:$K$33</c:f>
              <c:numCache>
                <c:formatCode>#,##0</c:formatCode>
                <c:ptCount val="10"/>
                <c:pt idx="0">
                  <c:v>72</c:v>
                </c:pt>
                <c:pt idx="1">
                  <c:v>78</c:v>
                </c:pt>
                <c:pt idx="2">
                  <c:v>122</c:v>
                </c:pt>
                <c:pt idx="3">
                  <c:v>150</c:v>
                </c:pt>
                <c:pt idx="4">
                  <c:v>101</c:v>
                </c:pt>
                <c:pt idx="5">
                  <c:v>100</c:v>
                </c:pt>
                <c:pt idx="6">
                  <c:v>191</c:v>
                </c:pt>
                <c:pt idx="7">
                  <c:v>253</c:v>
                </c:pt>
                <c:pt idx="8">
                  <c:v>327</c:v>
                </c:pt>
                <c:pt idx="9" formatCode="General">
                  <c:v>280</c:v>
                </c:pt>
              </c:numCache>
            </c:numRef>
          </c:val>
        </c:ser>
        <c:ser>
          <c:idx val="1"/>
          <c:order val="1"/>
          <c:tx>
            <c:strRef>
              <c:f>graf3_5!$A$34</c:f>
              <c:strCache>
                <c:ptCount val="1"/>
                <c:pt idx="0">
                  <c:v>nových licencí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dLbls>
            <c:showVal val="1"/>
          </c:dLbls>
          <c:cat>
            <c:numRef>
              <c:f>graf3_5!$B$32:$K$32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graf3_5!$B$34:$K$34</c:f>
              <c:numCache>
                <c:formatCode>#,##0</c:formatCode>
                <c:ptCount val="10"/>
                <c:pt idx="0">
                  <c:v>20</c:v>
                </c:pt>
                <c:pt idx="1">
                  <c:v>21</c:v>
                </c:pt>
                <c:pt idx="2">
                  <c:v>56</c:v>
                </c:pt>
                <c:pt idx="3">
                  <c:v>33</c:v>
                </c:pt>
                <c:pt idx="4">
                  <c:v>18</c:v>
                </c:pt>
                <c:pt idx="5">
                  <c:v>17</c:v>
                </c:pt>
                <c:pt idx="6">
                  <c:v>70</c:v>
                </c:pt>
                <c:pt idx="7">
                  <c:v>51</c:v>
                </c:pt>
                <c:pt idx="8">
                  <c:v>80</c:v>
                </c:pt>
                <c:pt idx="9" formatCode="General">
                  <c:v>47</c:v>
                </c:pt>
              </c:numCache>
            </c:numRef>
          </c:val>
        </c:ser>
        <c:gapWidth val="59"/>
        <c:axId val="81076608"/>
        <c:axId val="81078528"/>
      </c:barChart>
      <c:catAx>
        <c:axId val="81076608"/>
        <c:scaling>
          <c:orientation val="minMax"/>
        </c:scaling>
        <c:axPos val="b"/>
        <c:numFmt formatCode="General" sourceLinked="1"/>
        <c:tickLblPos val="nextTo"/>
        <c:crossAx val="81078528"/>
        <c:crosses val="autoZero"/>
        <c:auto val="1"/>
        <c:lblAlgn val="ctr"/>
        <c:lblOffset val="100"/>
      </c:catAx>
      <c:valAx>
        <c:axId val="81078528"/>
        <c:scaling>
          <c:orientation val="minMax"/>
          <c:max val="450"/>
        </c:scaling>
        <c:delete val="1"/>
        <c:axPos val="l"/>
        <c:numFmt formatCode="#,##0" sourceLinked="1"/>
        <c:tickLblPos val="none"/>
        <c:crossAx val="8107660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7886812020837831"/>
          <c:y val="0.15776708480728777"/>
          <c:w val="0.45711929462856127"/>
          <c:h val="7.6026617004824923E-2"/>
        </c:manualLayout>
      </c:layout>
    </c:legend>
    <c:plotVisOnly val="1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 sz="900"/>
            </a:pPr>
            <a:r>
              <a:rPr lang="cs-CZ" sz="900"/>
              <a:t>Patenty</a:t>
            </a:r>
          </a:p>
        </c:rich>
      </c:tx>
      <c:layout>
        <c:manualLayout>
          <c:xMode val="edge"/>
          <c:yMode val="edge"/>
          <c:x val="0.41227580594978991"/>
          <c:y val="5.0536884003582527E-2"/>
        </c:manualLayout>
      </c:layout>
    </c:title>
    <c:plotArea>
      <c:layout>
        <c:manualLayout>
          <c:layoutTarget val="inner"/>
          <c:xMode val="edge"/>
          <c:yMode val="edge"/>
          <c:x val="4.0854224698235894E-2"/>
          <c:y val="0.21228698154597359"/>
          <c:w val="0.88912500000000005"/>
          <c:h val="0.70531966798173917"/>
        </c:manualLayout>
      </c:layout>
      <c:barChart>
        <c:barDir val="col"/>
        <c:grouping val="clustered"/>
        <c:ser>
          <c:idx val="0"/>
          <c:order val="0"/>
          <c:tx>
            <c:strRef>
              <c:f>graf3_5!$A$49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numRef>
              <c:f>graf3_5!$B$48:$K$48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graf3_5!$B$49:$K$49</c:f>
              <c:numCache>
                <c:formatCode>#,##0</c:formatCode>
                <c:ptCount val="10"/>
                <c:pt idx="0">
                  <c:v>427.96499999999992</c:v>
                </c:pt>
                <c:pt idx="1">
                  <c:v>517.92999999999984</c:v>
                </c:pt>
                <c:pt idx="2">
                  <c:v>671.577</c:v>
                </c:pt>
                <c:pt idx="3">
                  <c:v>1106.8809999999999</c:v>
                </c:pt>
                <c:pt idx="4">
                  <c:v>959.53899999999999</c:v>
                </c:pt>
                <c:pt idx="5">
                  <c:v>1152.442</c:v>
                </c:pt>
                <c:pt idx="6">
                  <c:v>1427.1679999999997</c:v>
                </c:pt>
                <c:pt idx="7">
                  <c:v>1519.2799999999997</c:v>
                </c:pt>
                <c:pt idx="8">
                  <c:v>1865.1169999999995</c:v>
                </c:pt>
                <c:pt idx="9">
                  <c:v>2292.5369999999998</c:v>
                </c:pt>
              </c:numCache>
            </c:numRef>
          </c:val>
        </c:ser>
        <c:ser>
          <c:idx val="1"/>
          <c:order val="1"/>
          <c:tx>
            <c:strRef>
              <c:f>graf3_5!$A$50</c:f>
              <c:strCache>
                <c:ptCount val="1"/>
                <c:pt idx="0">
                  <c:v>za novou licenci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dLbls>
            <c:showVal val="1"/>
          </c:dLbls>
          <c:cat>
            <c:numRef>
              <c:f>graf3_5!$B$48:$K$48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graf3_5!$B$50:$K$50</c:f>
              <c:numCache>
                <c:formatCode>#,##0</c:formatCode>
                <c:ptCount val="10"/>
                <c:pt idx="0">
                  <c:v>2.7719999999999998</c:v>
                </c:pt>
                <c:pt idx="1">
                  <c:v>8.293000000000001</c:v>
                </c:pt>
                <c:pt idx="2">
                  <c:v>50.768000000000008</c:v>
                </c:pt>
                <c:pt idx="3">
                  <c:v>126.116</c:v>
                </c:pt>
                <c:pt idx="4">
                  <c:v>6.8369999999999997</c:v>
                </c:pt>
                <c:pt idx="5">
                  <c:v>3.0030000000000001</c:v>
                </c:pt>
                <c:pt idx="6">
                  <c:v>69.704000000000022</c:v>
                </c:pt>
                <c:pt idx="7">
                  <c:v>3.4019999999999997</c:v>
                </c:pt>
                <c:pt idx="8">
                  <c:v>8.1069999999999993</c:v>
                </c:pt>
                <c:pt idx="9">
                  <c:v>266.02999999999992</c:v>
                </c:pt>
              </c:numCache>
            </c:numRef>
          </c:val>
        </c:ser>
        <c:gapWidth val="59"/>
        <c:axId val="81260928"/>
        <c:axId val="81262848"/>
      </c:barChart>
      <c:catAx>
        <c:axId val="81260928"/>
        <c:scaling>
          <c:orientation val="minMax"/>
        </c:scaling>
        <c:axPos val="b"/>
        <c:numFmt formatCode="General" sourceLinked="1"/>
        <c:tickLblPos val="nextTo"/>
        <c:crossAx val="81262848"/>
        <c:crosses val="autoZero"/>
        <c:auto val="1"/>
        <c:lblAlgn val="ctr"/>
        <c:lblOffset val="100"/>
      </c:catAx>
      <c:valAx>
        <c:axId val="81262848"/>
        <c:scaling>
          <c:orientation val="minMax"/>
          <c:max val="2400"/>
          <c:min val="0"/>
        </c:scaling>
        <c:delete val="1"/>
        <c:axPos val="l"/>
        <c:numFmt formatCode="#,##0" sourceLinked="1"/>
        <c:tickLblPos val="none"/>
        <c:crossAx val="8126092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7886812020837831"/>
          <c:y val="0.15776708480728777"/>
          <c:w val="0.45711929462856127"/>
          <c:h val="7.6026617004824923E-2"/>
        </c:manualLayout>
      </c:layout>
    </c:legend>
    <c:plotVisOnly val="1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 sz="900"/>
            </a:pPr>
            <a:r>
              <a:rPr lang="cs-CZ" sz="900"/>
              <a:t>Užitné vzory</a:t>
            </a:r>
          </a:p>
        </c:rich>
      </c:tx>
      <c:layout>
        <c:manualLayout>
          <c:xMode val="edge"/>
          <c:yMode val="edge"/>
          <c:x val="0.41227580594979002"/>
          <c:y val="5.0536884003582527E-2"/>
        </c:manualLayout>
      </c:layout>
    </c:title>
    <c:plotArea>
      <c:layout>
        <c:manualLayout>
          <c:layoutTarget val="inner"/>
          <c:xMode val="edge"/>
          <c:yMode val="edge"/>
          <c:x val="8.3317117207482833E-2"/>
          <c:y val="0.2122869815459737"/>
          <c:w val="0.87638631158366354"/>
          <c:h val="0.70531966798173917"/>
        </c:manualLayout>
      </c:layout>
      <c:barChart>
        <c:barDir val="col"/>
        <c:grouping val="clustered"/>
        <c:ser>
          <c:idx val="0"/>
          <c:order val="0"/>
          <c:tx>
            <c:strRef>
              <c:f>graf3_5!$A$58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numRef>
              <c:f>graf3_5!$B$57:$K$57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graf3_5!$B$58:$K$58</c:f>
              <c:numCache>
                <c:formatCode>#,##0</c:formatCode>
                <c:ptCount val="10"/>
                <c:pt idx="0">
                  <c:v>53.826000000000001</c:v>
                </c:pt>
                <c:pt idx="1">
                  <c:v>20.504999999999999</c:v>
                </c:pt>
                <c:pt idx="2">
                  <c:v>112.21899999999999</c:v>
                </c:pt>
                <c:pt idx="3">
                  <c:v>149.91899999999998</c:v>
                </c:pt>
                <c:pt idx="4">
                  <c:v>200.136</c:v>
                </c:pt>
                <c:pt idx="5">
                  <c:v>179.22499999999999</c:v>
                </c:pt>
                <c:pt idx="6">
                  <c:v>158.87414650000011</c:v>
                </c:pt>
                <c:pt idx="7">
                  <c:v>225.26299999999998</c:v>
                </c:pt>
                <c:pt idx="8">
                  <c:v>209.24600000000001</c:v>
                </c:pt>
                <c:pt idx="9">
                  <c:v>242.45000000000007</c:v>
                </c:pt>
              </c:numCache>
            </c:numRef>
          </c:val>
        </c:ser>
        <c:ser>
          <c:idx val="1"/>
          <c:order val="1"/>
          <c:tx>
            <c:strRef>
              <c:f>graf3_5!$A$59</c:f>
              <c:strCache>
                <c:ptCount val="1"/>
                <c:pt idx="0">
                  <c:v>za novou licenci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dLbls>
            <c:showVal val="1"/>
          </c:dLbls>
          <c:cat>
            <c:numRef>
              <c:f>graf3_5!$B$57:$K$57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graf3_5!$B$59:$K$59</c:f>
              <c:numCache>
                <c:formatCode>#,##0</c:formatCode>
                <c:ptCount val="10"/>
                <c:pt idx="0">
                  <c:v>29.186</c:v>
                </c:pt>
                <c:pt idx="1">
                  <c:v>7.4530000000000003</c:v>
                </c:pt>
                <c:pt idx="2">
                  <c:v>4.5609999999999991</c:v>
                </c:pt>
                <c:pt idx="3">
                  <c:v>5.1899999999999995</c:v>
                </c:pt>
                <c:pt idx="4">
                  <c:v>3.4979999999999998</c:v>
                </c:pt>
                <c:pt idx="5">
                  <c:v>3.528</c:v>
                </c:pt>
                <c:pt idx="6">
                  <c:v>46.958372500000017</c:v>
                </c:pt>
                <c:pt idx="7">
                  <c:v>12.563000000000002</c:v>
                </c:pt>
                <c:pt idx="8">
                  <c:v>4.471000000000001</c:v>
                </c:pt>
                <c:pt idx="9">
                  <c:v>12.731</c:v>
                </c:pt>
              </c:numCache>
            </c:numRef>
          </c:val>
        </c:ser>
        <c:gapWidth val="59"/>
        <c:axId val="82314368"/>
        <c:axId val="82316672"/>
      </c:barChart>
      <c:catAx>
        <c:axId val="82314368"/>
        <c:scaling>
          <c:orientation val="minMax"/>
        </c:scaling>
        <c:axPos val="b"/>
        <c:numFmt formatCode="General" sourceLinked="1"/>
        <c:tickLblPos val="nextTo"/>
        <c:crossAx val="82316672"/>
        <c:crosses val="autoZero"/>
        <c:auto val="1"/>
        <c:lblAlgn val="ctr"/>
        <c:lblOffset val="100"/>
      </c:catAx>
      <c:valAx>
        <c:axId val="82316672"/>
        <c:scaling>
          <c:orientation val="minMax"/>
          <c:max val="1700"/>
        </c:scaling>
        <c:delete val="1"/>
        <c:axPos val="l"/>
        <c:numFmt formatCode="#,##0" sourceLinked="1"/>
        <c:tickLblPos val="none"/>
        <c:crossAx val="8231436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7886812020837831"/>
          <c:y val="0.15776708480728793"/>
          <c:w val="0.45711929462856127"/>
          <c:h val="7.6026617004824923E-2"/>
        </c:manualLayout>
      </c:layout>
    </c:legend>
    <c:plotVisOnly val="1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 sz="900"/>
            </a:pPr>
            <a:r>
              <a:rPr lang="cs-CZ" sz="900"/>
              <a:t>Patenty</a:t>
            </a:r>
          </a:p>
        </c:rich>
      </c:tx>
    </c:title>
    <c:plotArea>
      <c:layout/>
      <c:barChart>
        <c:barDir val="col"/>
        <c:grouping val="percentStacked"/>
        <c:ser>
          <c:idx val="0"/>
          <c:order val="0"/>
          <c:tx>
            <c:strRef>
              <c:f>graf6!$E$4</c:f>
              <c:strCache>
                <c:ptCount val="1"/>
                <c:pt idx="0">
                  <c:v>Veřejné vysoké školy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dLbls>
            <c:dLbl>
              <c:idx val="2"/>
              <c:delete val="1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Val val="1"/>
          </c:dLbls>
          <c:cat>
            <c:strRef>
              <c:f>graf6!$F$3:$H$3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graf6!$F$4:$H$4</c:f>
              <c:numCache>
                <c:formatCode>0%</c:formatCode>
                <c:ptCount val="3"/>
                <c:pt idx="0">
                  <c:v>0.17808219178082219</c:v>
                </c:pt>
                <c:pt idx="1">
                  <c:v>0.14406779661016969</c:v>
                </c:pt>
                <c:pt idx="2">
                  <c:v>2.8248180945389342E-3</c:v>
                </c:pt>
              </c:numCache>
            </c:numRef>
          </c:val>
        </c:ser>
        <c:ser>
          <c:idx val="1"/>
          <c:order val="1"/>
          <c:tx>
            <c:strRef>
              <c:f>graf6!$E$5</c:f>
              <c:strCache>
                <c:ptCount val="1"/>
                <c:pt idx="0">
                  <c:v>Veřejné výzkumné instituce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graf6!$F$3:$H$3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graf6!$F$5:$H$5</c:f>
              <c:numCache>
                <c:formatCode>0%</c:formatCode>
                <c:ptCount val="3"/>
                <c:pt idx="0">
                  <c:v>0.1506849315068495</c:v>
                </c:pt>
                <c:pt idx="1">
                  <c:v>0.16101694915254244</c:v>
                </c:pt>
                <c:pt idx="2">
                  <c:v>0.8521384823887258</c:v>
                </c:pt>
              </c:numCache>
            </c:numRef>
          </c:val>
        </c:ser>
        <c:ser>
          <c:idx val="2"/>
          <c:order val="2"/>
          <c:tx>
            <c:strRef>
              <c:f>graf6!$E$6</c:f>
              <c:strCache>
                <c:ptCount val="1"/>
                <c:pt idx="0">
                  <c:v>Podniky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cat>
            <c:strRef>
              <c:f>graf6!$F$3:$H$3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graf6!$F$6:$H$6</c:f>
              <c:numCache>
                <c:formatCode>0%</c:formatCode>
                <c:ptCount val="3"/>
                <c:pt idx="0">
                  <c:v>0.47945205479452052</c:v>
                </c:pt>
                <c:pt idx="1">
                  <c:v>0.49576271186440768</c:v>
                </c:pt>
                <c:pt idx="2">
                  <c:v>0.13837159443882469</c:v>
                </c:pt>
              </c:numCache>
            </c:numRef>
          </c:val>
        </c:ser>
        <c:ser>
          <c:idx val="3"/>
          <c:order val="3"/>
          <c:tx>
            <c:strRef>
              <c:f>graf6!$E$7</c:f>
              <c:strCache>
                <c:ptCount val="1"/>
                <c:pt idx="0">
                  <c:v>Fyzické osoby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2"/>
              <c:delete val="1"/>
            </c:dLbl>
            <c:dLblPos val="ctr"/>
            <c:showVal val="1"/>
          </c:dLbls>
          <c:cat>
            <c:strRef>
              <c:f>graf6!$F$3:$H$3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graf6!$F$7:$H$7</c:f>
              <c:numCache>
                <c:formatCode>0%</c:formatCode>
                <c:ptCount val="3"/>
                <c:pt idx="0">
                  <c:v>0.13698630136986326</c:v>
                </c:pt>
                <c:pt idx="1">
                  <c:v>4.8728813559322036E-2</c:v>
                </c:pt>
                <c:pt idx="2">
                  <c:v>6.579610274556098E-3</c:v>
                </c:pt>
              </c:numCache>
            </c:numRef>
          </c:val>
        </c:ser>
        <c:dLbls>
          <c:showVal val="1"/>
        </c:dLbls>
        <c:gapWidth val="60"/>
        <c:overlap val="100"/>
        <c:axId val="82499072"/>
        <c:axId val="82540032"/>
      </c:barChart>
      <c:catAx>
        <c:axId val="82499072"/>
        <c:scaling>
          <c:orientation val="minMax"/>
        </c:scaling>
        <c:axPos val="b"/>
        <c:tickLblPos val="nextTo"/>
        <c:crossAx val="82540032"/>
        <c:crosses val="autoZero"/>
        <c:auto val="1"/>
        <c:lblAlgn val="ctr"/>
        <c:lblOffset val="100"/>
      </c:catAx>
      <c:valAx>
        <c:axId val="82540032"/>
        <c:scaling>
          <c:orientation val="minMax"/>
        </c:scaling>
        <c:delete val="1"/>
        <c:axPos val="l"/>
        <c:numFmt formatCode="0%" sourceLinked="1"/>
        <c:tickLblPos val="none"/>
        <c:crossAx val="8249907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6.963034228401091E-2"/>
          <c:y val="9.768323221892343E-2"/>
          <c:w val="0.84567310101964832"/>
          <c:h val="0.12670435867647742"/>
        </c:manualLayout>
      </c:layout>
    </c:legend>
    <c:plotVisOnly val="1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 sz="900"/>
            </a:pPr>
            <a:r>
              <a:rPr lang="cs-CZ" sz="900"/>
              <a:t>Užitné vzory</a:t>
            </a:r>
          </a:p>
        </c:rich>
      </c:tx>
    </c:title>
    <c:plotArea>
      <c:layout/>
      <c:barChart>
        <c:barDir val="col"/>
        <c:grouping val="percentStacked"/>
        <c:ser>
          <c:idx val="0"/>
          <c:order val="0"/>
          <c:tx>
            <c:strRef>
              <c:f>graf6!$E$12</c:f>
              <c:strCache>
                <c:ptCount val="1"/>
                <c:pt idx="0">
                  <c:v>Veřejné vysoké školy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dLbls>
            <c:dLbl>
              <c:idx val="2"/>
              <c:delete val="1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Val val="1"/>
          </c:dLbls>
          <c:cat>
            <c:strRef>
              <c:f>graf6!$F$11:$H$11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graf6!$F$12:$H$12</c:f>
              <c:numCache>
                <c:formatCode>0%</c:formatCode>
                <c:ptCount val="3"/>
                <c:pt idx="0">
                  <c:v>0.10666666666666677</c:v>
                </c:pt>
                <c:pt idx="1">
                  <c:v>5.7142857142857141E-2</c:v>
                </c:pt>
                <c:pt idx="2">
                  <c:v>5.3619302949061733E-4</c:v>
                </c:pt>
              </c:numCache>
            </c:numRef>
          </c:val>
        </c:ser>
        <c:ser>
          <c:idx val="1"/>
          <c:order val="1"/>
          <c:tx>
            <c:strRef>
              <c:f>graf6!$E$13</c:f>
              <c:strCache>
                <c:ptCount val="1"/>
                <c:pt idx="0">
                  <c:v>Veřejné výzkumné instituce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2"/>
              <c:delete val="1"/>
            </c:dLbl>
            <c:showVal val="1"/>
          </c:dLbls>
          <c:cat>
            <c:strRef>
              <c:f>graf6!$F$11:$H$11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graf6!$F$13:$H$13</c:f>
              <c:numCache>
                <c:formatCode>0%</c:formatCode>
                <c:ptCount val="3"/>
                <c:pt idx="0">
                  <c:v>6.666666666666668E-2</c:v>
                </c:pt>
                <c:pt idx="1">
                  <c:v>4.642857142857143E-2</c:v>
                </c:pt>
                <c:pt idx="2">
                  <c:v>2.3510002062280879E-4</c:v>
                </c:pt>
              </c:numCache>
            </c:numRef>
          </c:val>
        </c:ser>
        <c:ser>
          <c:idx val="2"/>
          <c:order val="2"/>
          <c:tx>
            <c:strRef>
              <c:f>graf6!$E$14</c:f>
              <c:strCache>
                <c:ptCount val="1"/>
                <c:pt idx="0">
                  <c:v>Podniky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cat>
            <c:strRef>
              <c:f>graf6!$F$11:$H$11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graf6!$F$14:$H$14</c:f>
              <c:numCache>
                <c:formatCode>0%</c:formatCode>
                <c:ptCount val="3"/>
                <c:pt idx="0">
                  <c:v>0.57333333333333369</c:v>
                </c:pt>
                <c:pt idx="1">
                  <c:v>0.47142857142857197</c:v>
                </c:pt>
                <c:pt idx="2">
                  <c:v>0.9819096720973397</c:v>
                </c:pt>
              </c:numCache>
            </c:numRef>
          </c:val>
        </c:ser>
        <c:ser>
          <c:idx val="3"/>
          <c:order val="3"/>
          <c:tx>
            <c:strRef>
              <c:f>graf6!$E$15</c:f>
              <c:strCache>
                <c:ptCount val="1"/>
                <c:pt idx="0">
                  <c:v>Fyzické osoby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cat>
            <c:strRef>
              <c:f>graf6!$F$11:$H$11</c:f>
              <c:strCache>
                <c:ptCount val="3"/>
                <c:pt idx="0">
                  <c:v>počet poskytovatelů</c:v>
                </c:pt>
                <c:pt idx="1">
                  <c:v>počet licencí</c:v>
                </c:pt>
                <c:pt idx="2">
                  <c:v>licenční poplatky</c:v>
                </c:pt>
              </c:strCache>
            </c:strRef>
          </c:cat>
          <c:val>
            <c:numRef>
              <c:f>graf6!$F$15:$H$15</c:f>
              <c:numCache>
                <c:formatCode>0%</c:formatCode>
                <c:ptCount val="3"/>
                <c:pt idx="0">
                  <c:v>0.2</c:v>
                </c:pt>
                <c:pt idx="1">
                  <c:v>0.15000000000000019</c:v>
                </c:pt>
                <c:pt idx="2">
                  <c:v>1.6510620746545704E-2</c:v>
                </c:pt>
              </c:numCache>
            </c:numRef>
          </c:val>
        </c:ser>
        <c:dLbls>
          <c:showVal val="1"/>
        </c:dLbls>
        <c:gapWidth val="60"/>
        <c:overlap val="100"/>
        <c:axId val="83056512"/>
        <c:axId val="83058048"/>
      </c:barChart>
      <c:catAx>
        <c:axId val="83056512"/>
        <c:scaling>
          <c:orientation val="minMax"/>
        </c:scaling>
        <c:axPos val="b"/>
        <c:tickLblPos val="nextTo"/>
        <c:crossAx val="83058048"/>
        <c:crosses val="autoZero"/>
        <c:auto val="1"/>
        <c:lblAlgn val="ctr"/>
        <c:lblOffset val="100"/>
      </c:catAx>
      <c:valAx>
        <c:axId val="83058048"/>
        <c:scaling>
          <c:orientation val="minMax"/>
        </c:scaling>
        <c:delete val="1"/>
        <c:axPos val="l"/>
        <c:numFmt formatCode="0%" sourceLinked="1"/>
        <c:tickLblPos val="none"/>
        <c:crossAx val="830565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6.963034228401091E-2"/>
          <c:y val="9.768323221892343E-2"/>
          <c:w val="0.84567310101964832"/>
          <c:h val="0.1267043586764775"/>
        </c:manualLayout>
      </c:layout>
    </c:legend>
    <c:plotVisOnly val="1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0.16139549971983841"/>
          <c:y val="5.4543855821548824E-2"/>
          <c:w val="0.79650290904648158"/>
          <c:h val="0.92698427180229659"/>
        </c:manualLayout>
      </c:layout>
      <c:barChart>
        <c:barDir val="bar"/>
        <c:grouping val="clustered"/>
        <c:ser>
          <c:idx val="0"/>
          <c:order val="0"/>
          <c:tx>
            <c:strRef>
              <c:f>graf7!$F$1</c:f>
              <c:strCache>
                <c:ptCount val="1"/>
                <c:pt idx="0">
                  <c:v>přijaté licenční poplatky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cat>
            <c:strRef>
              <c:f>graf7!$E$2:$E$23</c:f>
              <c:strCache>
                <c:ptCount val="22"/>
                <c:pt idx="0">
                  <c:v>Řecko</c:v>
                </c:pt>
                <c:pt idx="1">
                  <c:v>Dánsko</c:v>
                </c:pt>
                <c:pt idx="2">
                  <c:v>Polsko</c:v>
                </c:pt>
                <c:pt idx="3">
                  <c:v>Spojené království</c:v>
                </c:pt>
                <c:pt idx="4">
                  <c:v>Itálie</c:v>
                </c:pt>
                <c:pt idx="5">
                  <c:v>Irsko</c:v>
                </c:pt>
                <c:pt idx="6">
                  <c:v>Rakousko</c:v>
                </c:pt>
                <c:pt idx="7">
                  <c:v>Kypr</c:v>
                </c:pt>
                <c:pt idx="8">
                  <c:v>Maďarsko</c:v>
                </c:pt>
                <c:pt idx="9">
                  <c:v>Rumunsko</c:v>
                </c:pt>
                <c:pt idx="10">
                  <c:v>Švédsko</c:v>
                </c:pt>
                <c:pt idx="11">
                  <c:v>Chorvatsko</c:v>
                </c:pt>
                <c:pt idx="12">
                  <c:v>Nizozemí</c:v>
                </c:pt>
                <c:pt idx="13">
                  <c:v>Bulharsko</c:v>
                </c:pt>
                <c:pt idx="14">
                  <c:v>Francie</c:v>
                </c:pt>
                <c:pt idx="15">
                  <c:v>Švýcarsko</c:v>
                </c:pt>
                <c:pt idx="16">
                  <c:v>Ruská federace</c:v>
                </c:pt>
                <c:pt idx="17">
                  <c:v>Německo</c:v>
                </c:pt>
                <c:pt idx="18">
                  <c:v>Slovensko</c:v>
                </c:pt>
                <c:pt idx="19">
                  <c:v>Čína</c:v>
                </c:pt>
                <c:pt idx="20">
                  <c:v>Spojené státy</c:v>
                </c:pt>
                <c:pt idx="21">
                  <c:v>Česko</c:v>
                </c:pt>
              </c:strCache>
            </c:strRef>
          </c:cat>
          <c:val>
            <c:numRef>
              <c:f>graf7!$F$2:$F$23</c:f>
              <c:numCache>
                <c:formatCode>0%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2.3668760431513103E-6</c:v>
                </c:pt>
                <c:pt idx="5">
                  <c:v>7.8895868105043697E-5</c:v>
                </c:pt>
                <c:pt idx="6">
                  <c:v>1.1794932281704007E-4</c:v>
                </c:pt>
                <c:pt idx="7">
                  <c:v>0</c:v>
                </c:pt>
                <c:pt idx="8">
                  <c:v>1.5455700561778044E-3</c:v>
                </c:pt>
                <c:pt idx="9">
                  <c:v>3.248931848565706E-3</c:v>
                </c:pt>
                <c:pt idx="10">
                  <c:v>2.8027757144316748E-3</c:v>
                </c:pt>
                <c:pt idx="11">
                  <c:v>4.6887814414827414E-3</c:v>
                </c:pt>
                <c:pt idx="12">
                  <c:v>2.8599752188078291E-4</c:v>
                </c:pt>
                <c:pt idx="13">
                  <c:v>3.9258583969069682E-3</c:v>
                </c:pt>
                <c:pt idx="14">
                  <c:v>4.4773405149612332E-3</c:v>
                </c:pt>
                <c:pt idx="15">
                  <c:v>8.1649333901909552E-3</c:v>
                </c:pt>
                <c:pt idx="16">
                  <c:v>2.057998719520061E-2</c:v>
                </c:pt>
                <c:pt idx="17">
                  <c:v>1.065094219418088E-5</c:v>
                </c:pt>
                <c:pt idx="18">
                  <c:v>1.2311700217792062E-3</c:v>
                </c:pt>
                <c:pt idx="19">
                  <c:v>0.12501720916123069</c:v>
                </c:pt>
                <c:pt idx="20">
                  <c:v>0.76725127190001363</c:v>
                </c:pt>
                <c:pt idx="21">
                  <c:v>2.7189883025041193E-2</c:v>
                </c:pt>
              </c:numCache>
            </c:numRef>
          </c:val>
        </c:ser>
        <c:ser>
          <c:idx val="1"/>
          <c:order val="1"/>
          <c:tx>
            <c:strRef>
              <c:f>graf7!$G$1</c:f>
              <c:strCache>
                <c:ptCount val="1"/>
                <c:pt idx="0">
                  <c:v>počet platných licencí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graf7!$E$2:$E$23</c:f>
              <c:strCache>
                <c:ptCount val="22"/>
                <c:pt idx="0">
                  <c:v>Řecko</c:v>
                </c:pt>
                <c:pt idx="1">
                  <c:v>Dánsko</c:v>
                </c:pt>
                <c:pt idx="2">
                  <c:v>Polsko</c:v>
                </c:pt>
                <c:pt idx="3">
                  <c:v>Spojené království</c:v>
                </c:pt>
                <c:pt idx="4">
                  <c:v>Itálie</c:v>
                </c:pt>
                <c:pt idx="5">
                  <c:v>Irsko</c:v>
                </c:pt>
                <c:pt idx="6">
                  <c:v>Rakousko</c:v>
                </c:pt>
                <c:pt idx="7">
                  <c:v>Kypr</c:v>
                </c:pt>
                <c:pt idx="8">
                  <c:v>Maďarsko</c:v>
                </c:pt>
                <c:pt idx="9">
                  <c:v>Rumunsko</c:v>
                </c:pt>
                <c:pt idx="10">
                  <c:v>Švédsko</c:v>
                </c:pt>
                <c:pt idx="11">
                  <c:v>Chorvatsko</c:v>
                </c:pt>
                <c:pt idx="12">
                  <c:v>Nizozemí</c:v>
                </c:pt>
                <c:pt idx="13">
                  <c:v>Bulharsko</c:v>
                </c:pt>
                <c:pt idx="14">
                  <c:v>Francie</c:v>
                </c:pt>
                <c:pt idx="15">
                  <c:v>Švýcarsko</c:v>
                </c:pt>
                <c:pt idx="16">
                  <c:v>Ruská federace</c:v>
                </c:pt>
                <c:pt idx="17">
                  <c:v>Německo</c:v>
                </c:pt>
                <c:pt idx="18">
                  <c:v>Slovensko</c:v>
                </c:pt>
                <c:pt idx="19">
                  <c:v>Čína</c:v>
                </c:pt>
                <c:pt idx="20">
                  <c:v>Spojené státy</c:v>
                </c:pt>
                <c:pt idx="21">
                  <c:v>Česko</c:v>
                </c:pt>
              </c:strCache>
            </c:strRef>
          </c:cat>
          <c:val>
            <c:numRef>
              <c:f>graf7!$G$2:$G$23</c:f>
              <c:numCache>
                <c:formatCode>0%</c:formatCode>
                <c:ptCount val="22"/>
                <c:pt idx="0">
                  <c:v>1.3297872340425551E-3</c:v>
                </c:pt>
                <c:pt idx="1">
                  <c:v>1.3297872340425551E-3</c:v>
                </c:pt>
                <c:pt idx="2">
                  <c:v>1.3297872340425551E-3</c:v>
                </c:pt>
                <c:pt idx="3">
                  <c:v>1.3297872340425551E-3</c:v>
                </c:pt>
                <c:pt idx="4">
                  <c:v>1.3297872340425551E-3</c:v>
                </c:pt>
                <c:pt idx="5">
                  <c:v>1.3297872340425551E-3</c:v>
                </c:pt>
                <c:pt idx="6">
                  <c:v>1.3297872340425551E-3</c:v>
                </c:pt>
                <c:pt idx="7">
                  <c:v>2.6595744680851098E-3</c:v>
                </c:pt>
                <c:pt idx="8">
                  <c:v>1.3297872340425551E-3</c:v>
                </c:pt>
                <c:pt idx="9">
                  <c:v>0</c:v>
                </c:pt>
                <c:pt idx="10">
                  <c:v>1.3297872340425551E-3</c:v>
                </c:pt>
                <c:pt idx="11">
                  <c:v>1.3297872340425551E-3</c:v>
                </c:pt>
                <c:pt idx="12">
                  <c:v>2.6595744680851098E-3</c:v>
                </c:pt>
                <c:pt idx="13">
                  <c:v>2.6595744680851098E-3</c:v>
                </c:pt>
                <c:pt idx="14">
                  <c:v>3.9893617021276671E-3</c:v>
                </c:pt>
                <c:pt idx="15">
                  <c:v>1.8617021276595747E-2</c:v>
                </c:pt>
                <c:pt idx="16">
                  <c:v>6.6489361702127703E-3</c:v>
                </c:pt>
                <c:pt idx="17">
                  <c:v>9.3085106382978858E-3</c:v>
                </c:pt>
                <c:pt idx="18">
                  <c:v>3.7234042553191557E-2</c:v>
                </c:pt>
                <c:pt idx="19">
                  <c:v>4.1223404255319153E-2</c:v>
                </c:pt>
                <c:pt idx="20">
                  <c:v>5.0531914893617101E-2</c:v>
                </c:pt>
                <c:pt idx="21">
                  <c:v>0.80452127659574546</c:v>
                </c:pt>
              </c:numCache>
            </c:numRef>
          </c:val>
        </c:ser>
        <c:ser>
          <c:idx val="2"/>
          <c:order val="2"/>
          <c:tx>
            <c:strRef>
              <c:f>graf7!$H$1</c:f>
              <c:strCache>
                <c:ptCount val="1"/>
                <c:pt idx="0">
                  <c:v>počet poskytovatelů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cat>
            <c:strRef>
              <c:f>graf7!$E$2:$E$23</c:f>
              <c:strCache>
                <c:ptCount val="22"/>
                <c:pt idx="0">
                  <c:v>Řecko</c:v>
                </c:pt>
                <c:pt idx="1">
                  <c:v>Dánsko</c:v>
                </c:pt>
                <c:pt idx="2">
                  <c:v>Polsko</c:v>
                </c:pt>
                <c:pt idx="3">
                  <c:v>Spojené království</c:v>
                </c:pt>
                <c:pt idx="4">
                  <c:v>Itálie</c:v>
                </c:pt>
                <c:pt idx="5">
                  <c:v>Irsko</c:v>
                </c:pt>
                <c:pt idx="6">
                  <c:v>Rakousko</c:v>
                </c:pt>
                <c:pt idx="7">
                  <c:v>Kypr</c:v>
                </c:pt>
                <c:pt idx="8">
                  <c:v>Maďarsko</c:v>
                </c:pt>
                <c:pt idx="9">
                  <c:v>Rumunsko</c:v>
                </c:pt>
                <c:pt idx="10">
                  <c:v>Švédsko</c:v>
                </c:pt>
                <c:pt idx="11">
                  <c:v>Chorvatsko</c:v>
                </c:pt>
                <c:pt idx="12">
                  <c:v>Nizozemí</c:v>
                </c:pt>
                <c:pt idx="13">
                  <c:v>Bulharsko</c:v>
                </c:pt>
                <c:pt idx="14">
                  <c:v>Francie</c:v>
                </c:pt>
                <c:pt idx="15">
                  <c:v>Švýcarsko</c:v>
                </c:pt>
                <c:pt idx="16">
                  <c:v>Ruská federace</c:v>
                </c:pt>
                <c:pt idx="17">
                  <c:v>Německo</c:v>
                </c:pt>
                <c:pt idx="18">
                  <c:v>Slovensko</c:v>
                </c:pt>
                <c:pt idx="19">
                  <c:v>Čína</c:v>
                </c:pt>
                <c:pt idx="20">
                  <c:v>Spojené státy</c:v>
                </c:pt>
                <c:pt idx="21">
                  <c:v>Česko</c:v>
                </c:pt>
              </c:strCache>
            </c:strRef>
          </c:cat>
          <c:val>
            <c:numRef>
              <c:f>graf7!$H$2:$H$23</c:f>
              <c:numCache>
                <c:formatCode>0%</c:formatCode>
                <c:ptCount val="22"/>
                <c:pt idx="0">
                  <c:v>0</c:v>
                </c:pt>
                <c:pt idx="1">
                  <c:v>7.9365079365079413E-3</c:v>
                </c:pt>
                <c:pt idx="2">
                  <c:v>7.9365079365079413E-3</c:v>
                </c:pt>
                <c:pt idx="3">
                  <c:v>7.9365079365079413E-3</c:v>
                </c:pt>
                <c:pt idx="4">
                  <c:v>7.9365079365079413E-3</c:v>
                </c:pt>
                <c:pt idx="5">
                  <c:v>7.9365079365079413E-3</c:v>
                </c:pt>
                <c:pt idx="6">
                  <c:v>7.9365079365079413E-3</c:v>
                </c:pt>
                <c:pt idx="7">
                  <c:v>7.9365079365079413E-3</c:v>
                </c:pt>
                <c:pt idx="8">
                  <c:v>7.9365079365079413E-3</c:v>
                </c:pt>
                <c:pt idx="9">
                  <c:v>7.9365079365079413E-3</c:v>
                </c:pt>
                <c:pt idx="10">
                  <c:v>7.9365079365079413E-3</c:v>
                </c:pt>
                <c:pt idx="11">
                  <c:v>7.9365079365079413E-3</c:v>
                </c:pt>
                <c:pt idx="12">
                  <c:v>1.5873015873015879E-2</c:v>
                </c:pt>
                <c:pt idx="13">
                  <c:v>1.5873015873015879E-2</c:v>
                </c:pt>
                <c:pt idx="14">
                  <c:v>2.3809523809523812E-2</c:v>
                </c:pt>
                <c:pt idx="15">
                  <c:v>1.5873015873015879E-2</c:v>
                </c:pt>
                <c:pt idx="16">
                  <c:v>1.5873015873015879E-2</c:v>
                </c:pt>
                <c:pt idx="17">
                  <c:v>3.968253968253968E-2</c:v>
                </c:pt>
                <c:pt idx="18">
                  <c:v>6.3492063492063502E-2</c:v>
                </c:pt>
                <c:pt idx="19">
                  <c:v>2.3809523809523812E-2</c:v>
                </c:pt>
                <c:pt idx="20">
                  <c:v>3.968253968253968E-2</c:v>
                </c:pt>
                <c:pt idx="21">
                  <c:v>0.8333333333333337</c:v>
                </c:pt>
              </c:numCache>
            </c:numRef>
          </c:val>
        </c:ser>
        <c:axId val="83565184"/>
        <c:axId val="83669376"/>
      </c:barChart>
      <c:catAx>
        <c:axId val="83565184"/>
        <c:scaling>
          <c:orientation val="minMax"/>
        </c:scaling>
        <c:axPos val="l"/>
        <c:tickLblPos val="nextTo"/>
        <c:crossAx val="83669376"/>
        <c:crosses val="autoZero"/>
        <c:auto val="1"/>
        <c:lblAlgn val="ctr"/>
        <c:lblOffset val="100"/>
      </c:catAx>
      <c:valAx>
        <c:axId val="83669376"/>
        <c:scaling>
          <c:orientation val="minMax"/>
        </c:scaling>
        <c:axPos val="b"/>
        <c:majorGridlines>
          <c:spPr>
            <a:ln cmpd="sng">
              <a:prstDash val="sysDot"/>
            </a:ln>
          </c:spPr>
        </c:majorGridlines>
        <c:numFmt formatCode="0%" sourceLinked="1"/>
        <c:tickLblPos val="nextTo"/>
        <c:crossAx val="8356518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61968253049251265"/>
          <c:y val="0.61188784651289163"/>
          <c:w val="0.20287950708289124"/>
          <c:h val="7.8300917513516213E-2"/>
        </c:manualLayout>
      </c:layout>
      <c:spPr>
        <a:solidFill>
          <a:schemeClr val="bg1"/>
        </a:solidFill>
      </c:spPr>
    </c:legend>
    <c:plotVisOnly val="1"/>
  </c:chart>
  <c:spPr>
    <a:solidFill>
      <a:sysClr val="window" lastClr="FFFFFF"/>
    </a:solidFill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0.15148203172716729"/>
          <c:y val="3.5608308605341282E-2"/>
          <c:w val="0.81717096683669255"/>
          <c:h val="0.87670958044191061"/>
        </c:manualLayout>
      </c:layout>
      <c:barChart>
        <c:barDir val="bar"/>
        <c:grouping val="clustered"/>
        <c:ser>
          <c:idx val="0"/>
          <c:order val="0"/>
          <c:tx>
            <c:strRef>
              <c:f>graf8!$B$23</c:f>
              <c:strCache>
                <c:ptCount val="1"/>
                <c:pt idx="0">
                  <c:v>přijaté licenční poplatky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cat>
            <c:strRef>
              <c:f>graf8!$A$24:$A$37</c:f>
              <c:strCache>
                <c:ptCount val="14"/>
                <c:pt idx="0">
                  <c:v>Zlínský</c:v>
                </c:pt>
                <c:pt idx="1">
                  <c:v>Karlovarský</c:v>
                </c:pt>
                <c:pt idx="2">
                  <c:v>Ústecký</c:v>
                </c:pt>
                <c:pt idx="3">
                  <c:v>Olomoucký</c:v>
                </c:pt>
                <c:pt idx="4">
                  <c:v>Jihočeský</c:v>
                </c:pt>
                <c:pt idx="5">
                  <c:v>Liberecký</c:v>
                </c:pt>
                <c:pt idx="6">
                  <c:v>Pardubický</c:v>
                </c:pt>
                <c:pt idx="7">
                  <c:v>Královéhradecký</c:v>
                </c:pt>
                <c:pt idx="8">
                  <c:v>Jihomoravský</c:v>
                </c:pt>
                <c:pt idx="9">
                  <c:v>Moravskoslezský</c:v>
                </c:pt>
                <c:pt idx="10">
                  <c:v>Plzeňský</c:v>
                </c:pt>
                <c:pt idx="11">
                  <c:v>Vysočina</c:v>
                </c:pt>
                <c:pt idx="12">
                  <c:v>Středočeský</c:v>
                </c:pt>
                <c:pt idx="13">
                  <c:v>Praha </c:v>
                </c:pt>
              </c:strCache>
            </c:strRef>
          </c:cat>
          <c:val>
            <c:numRef>
              <c:f>graf8!$B$24:$B$37</c:f>
              <c:numCache>
                <c:formatCode>0%</c:formatCode>
                <c:ptCount val="14"/>
                <c:pt idx="0">
                  <c:v>0</c:v>
                </c:pt>
                <c:pt idx="1">
                  <c:v>2.406323977203829E-5</c:v>
                </c:pt>
                <c:pt idx="2">
                  <c:v>4.4931196885822383E-4</c:v>
                </c:pt>
                <c:pt idx="3">
                  <c:v>7.2189719316114833E-5</c:v>
                </c:pt>
                <c:pt idx="4">
                  <c:v>2.6430115815189676E-5</c:v>
                </c:pt>
                <c:pt idx="5">
                  <c:v>4.0714212735607734E-3</c:v>
                </c:pt>
                <c:pt idx="6">
                  <c:v>8.8675010956663896E-3</c:v>
                </c:pt>
                <c:pt idx="7">
                  <c:v>2.7494815555267213E-2</c:v>
                </c:pt>
                <c:pt idx="8">
                  <c:v>8.7420566653793504E-3</c:v>
                </c:pt>
                <c:pt idx="9">
                  <c:v>1.1641085338899208E-3</c:v>
                </c:pt>
                <c:pt idx="10">
                  <c:v>9.8604450437024149E-2</c:v>
                </c:pt>
                <c:pt idx="11">
                  <c:v>1.4595735599433083E-5</c:v>
                </c:pt>
                <c:pt idx="12">
                  <c:v>5.994113579280683E-3</c:v>
                </c:pt>
                <c:pt idx="13">
                  <c:v>0.84447494208057194</c:v>
                </c:pt>
              </c:numCache>
            </c:numRef>
          </c:val>
        </c:ser>
        <c:ser>
          <c:idx val="1"/>
          <c:order val="1"/>
          <c:tx>
            <c:strRef>
              <c:f>graf8!$C$23</c:f>
              <c:strCache>
                <c:ptCount val="1"/>
                <c:pt idx="0">
                  <c:v>počet platných licencí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graf8!$A$24:$A$37</c:f>
              <c:strCache>
                <c:ptCount val="14"/>
                <c:pt idx="0">
                  <c:v>Zlínský</c:v>
                </c:pt>
                <c:pt idx="1">
                  <c:v>Karlovarský</c:v>
                </c:pt>
                <c:pt idx="2">
                  <c:v>Ústecký</c:v>
                </c:pt>
                <c:pt idx="3">
                  <c:v>Olomoucký</c:v>
                </c:pt>
                <c:pt idx="4">
                  <c:v>Jihočeský</c:v>
                </c:pt>
                <c:pt idx="5">
                  <c:v>Liberecký</c:v>
                </c:pt>
                <c:pt idx="6">
                  <c:v>Pardubický</c:v>
                </c:pt>
                <c:pt idx="7">
                  <c:v>Královéhradecký</c:v>
                </c:pt>
                <c:pt idx="8">
                  <c:v>Jihomoravský</c:v>
                </c:pt>
                <c:pt idx="9">
                  <c:v>Moravskoslezský</c:v>
                </c:pt>
                <c:pt idx="10">
                  <c:v>Plzeňský</c:v>
                </c:pt>
                <c:pt idx="11">
                  <c:v>Vysočina</c:v>
                </c:pt>
                <c:pt idx="12">
                  <c:v>Středočeský</c:v>
                </c:pt>
                <c:pt idx="13">
                  <c:v>Praha </c:v>
                </c:pt>
              </c:strCache>
            </c:strRef>
          </c:cat>
          <c:val>
            <c:numRef>
              <c:f>graf8!$C$24:$C$37</c:f>
              <c:numCache>
                <c:formatCode>0%</c:formatCode>
                <c:ptCount val="14"/>
                <c:pt idx="0">
                  <c:v>5.3191489361702126E-3</c:v>
                </c:pt>
                <c:pt idx="1">
                  <c:v>2.6595744680851098E-3</c:v>
                </c:pt>
                <c:pt idx="2">
                  <c:v>1.1968085106383003E-2</c:v>
                </c:pt>
                <c:pt idx="3">
                  <c:v>1.4627659574468085E-2</c:v>
                </c:pt>
                <c:pt idx="4">
                  <c:v>1.9946808510638344E-2</c:v>
                </c:pt>
                <c:pt idx="5">
                  <c:v>5.4521276595744683E-2</c:v>
                </c:pt>
                <c:pt idx="6">
                  <c:v>3.5904255319148939E-2</c:v>
                </c:pt>
                <c:pt idx="7">
                  <c:v>4.1223404255319153E-2</c:v>
                </c:pt>
                <c:pt idx="8">
                  <c:v>5.1861702127659566E-2</c:v>
                </c:pt>
                <c:pt idx="9">
                  <c:v>6.781914893617022E-2</c:v>
                </c:pt>
                <c:pt idx="10">
                  <c:v>4.2553191489361722E-2</c:v>
                </c:pt>
                <c:pt idx="11">
                  <c:v>0.19946808510638336</c:v>
                </c:pt>
                <c:pt idx="12">
                  <c:v>0.19547872340425532</c:v>
                </c:pt>
                <c:pt idx="13">
                  <c:v>0.25664893617021278</c:v>
                </c:pt>
              </c:numCache>
            </c:numRef>
          </c:val>
        </c:ser>
        <c:ser>
          <c:idx val="2"/>
          <c:order val="2"/>
          <c:tx>
            <c:strRef>
              <c:f>graf8!$D$23</c:f>
              <c:strCache>
                <c:ptCount val="1"/>
                <c:pt idx="0">
                  <c:v>počet poskytovatelů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cat>
            <c:strRef>
              <c:f>graf8!$A$24:$A$37</c:f>
              <c:strCache>
                <c:ptCount val="14"/>
                <c:pt idx="0">
                  <c:v>Zlínský</c:v>
                </c:pt>
                <c:pt idx="1">
                  <c:v>Karlovarský</c:v>
                </c:pt>
                <c:pt idx="2">
                  <c:v>Ústecký</c:v>
                </c:pt>
                <c:pt idx="3">
                  <c:v>Olomoucký</c:v>
                </c:pt>
                <c:pt idx="4">
                  <c:v>Jihočeský</c:v>
                </c:pt>
                <c:pt idx="5">
                  <c:v>Liberecký</c:v>
                </c:pt>
                <c:pt idx="6">
                  <c:v>Pardubický</c:v>
                </c:pt>
                <c:pt idx="7">
                  <c:v>Královéhradecký</c:v>
                </c:pt>
                <c:pt idx="8">
                  <c:v>Jihomoravský</c:v>
                </c:pt>
                <c:pt idx="9">
                  <c:v>Moravskoslezský</c:v>
                </c:pt>
                <c:pt idx="10">
                  <c:v>Plzeňský</c:v>
                </c:pt>
                <c:pt idx="11">
                  <c:v>Vysočina</c:v>
                </c:pt>
                <c:pt idx="12">
                  <c:v>Středočeský</c:v>
                </c:pt>
                <c:pt idx="13">
                  <c:v>Praha </c:v>
                </c:pt>
              </c:strCache>
            </c:strRef>
          </c:cat>
          <c:val>
            <c:numRef>
              <c:f>graf8!$D$24:$D$37</c:f>
              <c:numCache>
                <c:formatCode>0%</c:formatCode>
                <c:ptCount val="14"/>
                <c:pt idx="0">
                  <c:v>7.9365079365079413E-3</c:v>
                </c:pt>
                <c:pt idx="1">
                  <c:v>1.5873015873015879E-2</c:v>
                </c:pt>
                <c:pt idx="2">
                  <c:v>1.5873015873015879E-2</c:v>
                </c:pt>
                <c:pt idx="3">
                  <c:v>3.1746031746031744E-2</c:v>
                </c:pt>
                <c:pt idx="4">
                  <c:v>5.5555555555555469E-2</c:v>
                </c:pt>
                <c:pt idx="5">
                  <c:v>3.1746031746031744E-2</c:v>
                </c:pt>
                <c:pt idx="6">
                  <c:v>6.3492063492063502E-2</c:v>
                </c:pt>
                <c:pt idx="7">
                  <c:v>6.3492063492063502E-2</c:v>
                </c:pt>
                <c:pt idx="8">
                  <c:v>0.10317460317460322</c:v>
                </c:pt>
                <c:pt idx="9">
                  <c:v>0.11904761904761912</c:v>
                </c:pt>
                <c:pt idx="10">
                  <c:v>5.5555555555555469E-2</c:v>
                </c:pt>
                <c:pt idx="11">
                  <c:v>2.3809523809523812E-2</c:v>
                </c:pt>
                <c:pt idx="12">
                  <c:v>0.12698412698412698</c:v>
                </c:pt>
                <c:pt idx="13">
                  <c:v>0.28571428571428625</c:v>
                </c:pt>
              </c:numCache>
            </c:numRef>
          </c:val>
        </c:ser>
        <c:axId val="84265216"/>
        <c:axId val="84299776"/>
      </c:barChart>
      <c:catAx>
        <c:axId val="84265216"/>
        <c:scaling>
          <c:orientation val="minMax"/>
        </c:scaling>
        <c:axPos val="l"/>
        <c:tickLblPos val="nextTo"/>
        <c:crossAx val="84299776"/>
        <c:crosses val="autoZero"/>
        <c:auto val="1"/>
        <c:lblAlgn val="ctr"/>
        <c:lblOffset val="100"/>
      </c:catAx>
      <c:valAx>
        <c:axId val="84299776"/>
        <c:scaling>
          <c:orientation val="minMax"/>
        </c:scaling>
        <c:axPos val="b"/>
        <c:majorGridlines>
          <c:spPr>
            <a:ln cmpd="sng">
              <a:prstDash val="sysDot"/>
            </a:ln>
          </c:spPr>
        </c:majorGridlines>
        <c:numFmt formatCode="0%" sourceLinked="1"/>
        <c:tickLblPos val="nextTo"/>
        <c:crossAx val="8426521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59332345845737466"/>
          <c:y val="0.46154162480431776"/>
          <c:w val="0.20287950708289124"/>
          <c:h val="0.18512582069674519"/>
        </c:manualLayout>
      </c:layout>
      <c:spPr>
        <a:solidFill>
          <a:schemeClr val="bg1"/>
        </a:solidFill>
      </c:spPr>
    </c:legend>
    <c:plotVisOnly val="1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0.47810087119391914"/>
          <c:y val="5.3312824269059401E-2"/>
          <c:w val="0.49060022426774247"/>
          <c:h val="0.88217054263565886"/>
        </c:manualLayout>
      </c:layout>
      <c:barChart>
        <c:barDir val="bar"/>
        <c:grouping val="clustered"/>
        <c:ser>
          <c:idx val="0"/>
          <c:order val="0"/>
          <c:dPt>
            <c:idx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3"/>
            <c:spPr>
              <a:solidFill>
                <a:srgbClr val="95B3D7"/>
              </a:solidFill>
            </c:spPr>
          </c:dPt>
          <c:dPt>
            <c:idx val="4"/>
            <c:spPr>
              <a:solidFill>
                <a:srgbClr val="10253F"/>
              </a:solidFill>
            </c:spPr>
          </c:dPt>
          <c:cat>
            <c:strRef>
              <c:f>graf1_2!$H$24:$H$28</c:f>
              <c:strCache>
                <c:ptCount val="5"/>
                <c:pt idx="0">
                  <c:v>Průmyslový vzor</c:v>
                </c:pt>
                <c:pt idx="1">
                  <c:v>Know-how</c:v>
                </c:pt>
                <c:pt idx="2">
                  <c:v>Užitný vzor</c:v>
                </c:pt>
                <c:pt idx="3">
                  <c:v>Patent</c:v>
                </c:pt>
                <c:pt idx="4">
                  <c:v>Nové odrůdy rostlin a plemen zvířat</c:v>
                </c:pt>
              </c:strCache>
            </c:strRef>
          </c:cat>
          <c:val>
            <c:numRef>
              <c:f>graf1_2!$I$24:$I$28</c:f>
              <c:numCache>
                <c:formatCode>#,##0</c:formatCode>
                <c:ptCount val="5"/>
                <c:pt idx="0">
                  <c:v>86</c:v>
                </c:pt>
                <c:pt idx="1">
                  <c:v>134</c:v>
                </c:pt>
                <c:pt idx="2">
                  <c:v>280</c:v>
                </c:pt>
                <c:pt idx="3">
                  <c:v>472</c:v>
                </c:pt>
                <c:pt idx="4">
                  <c:v>533</c:v>
                </c:pt>
              </c:numCache>
            </c:numRef>
          </c:val>
        </c:ser>
        <c:dLbls>
          <c:showVal val="1"/>
        </c:dLbls>
        <c:gapWidth val="80"/>
        <c:axId val="49328896"/>
        <c:axId val="49331584"/>
      </c:barChart>
      <c:catAx>
        <c:axId val="49328896"/>
        <c:scaling>
          <c:orientation val="minMax"/>
        </c:scaling>
        <c:axPos val="l"/>
        <c:tickLblPos val="nextTo"/>
        <c:crossAx val="49331584"/>
        <c:crosses val="autoZero"/>
        <c:auto val="1"/>
        <c:lblAlgn val="ctr"/>
        <c:lblOffset val="100"/>
      </c:catAx>
      <c:valAx>
        <c:axId val="49331584"/>
        <c:scaling>
          <c:orientation val="minMax"/>
          <c:max val="650"/>
          <c:min val="0"/>
        </c:scaling>
        <c:delete val="1"/>
        <c:axPos val="b"/>
        <c:numFmt formatCode="#,##0" sourceLinked="1"/>
        <c:tickLblPos val="none"/>
        <c:crossAx val="49328896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0.4937939514317467"/>
          <c:y val="5.3312824269059401E-2"/>
          <c:w val="0.50620604856825258"/>
          <c:h val="0.88217054263565886"/>
        </c:manualLayout>
      </c:layout>
      <c:barChart>
        <c:barDir val="bar"/>
        <c:grouping val="clustered"/>
        <c:ser>
          <c:idx val="0"/>
          <c:order val="0"/>
          <c:dPt>
            <c:idx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1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2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chemeClr val="tx2">
                  <a:lumMod val="50000"/>
                </a:schemeClr>
              </a:solidFill>
            </c:spPr>
          </c:dPt>
          <c:cat>
            <c:strRef>
              <c:f>graf1_2!$H$45:$H$49</c:f>
              <c:strCache>
                <c:ptCount val="5"/>
                <c:pt idx="0">
                  <c:v>Nové odrůdy rostlin a plemen zvířat</c:v>
                </c:pt>
                <c:pt idx="1">
                  <c:v>Užitný vzor</c:v>
                </c:pt>
                <c:pt idx="2">
                  <c:v>Průmyslový vzor</c:v>
                </c:pt>
                <c:pt idx="3">
                  <c:v>Know-how</c:v>
                </c:pt>
                <c:pt idx="4">
                  <c:v>Patent</c:v>
                </c:pt>
              </c:strCache>
            </c:strRef>
          </c:cat>
          <c:val>
            <c:numRef>
              <c:f>graf1_2!$I$45:$I$49</c:f>
              <c:numCache>
                <c:formatCode>#,##0</c:formatCode>
                <c:ptCount val="5"/>
                <c:pt idx="0">
                  <c:v>219.51399999999992</c:v>
                </c:pt>
                <c:pt idx="1">
                  <c:v>242.45000000000007</c:v>
                </c:pt>
                <c:pt idx="2">
                  <c:v>1321.1969999999999</c:v>
                </c:pt>
                <c:pt idx="3">
                  <c:v>1978.982</c:v>
                </c:pt>
                <c:pt idx="4">
                  <c:v>2292.5369999999998</c:v>
                </c:pt>
              </c:numCache>
            </c:numRef>
          </c:val>
        </c:ser>
        <c:dLbls>
          <c:showVal val="1"/>
        </c:dLbls>
        <c:gapWidth val="80"/>
        <c:axId val="49426432"/>
        <c:axId val="49428736"/>
      </c:barChart>
      <c:catAx>
        <c:axId val="49426432"/>
        <c:scaling>
          <c:orientation val="minMax"/>
        </c:scaling>
        <c:axPos val="l"/>
        <c:tickLblPos val="nextTo"/>
        <c:crossAx val="49428736"/>
        <c:crosses val="autoZero"/>
        <c:auto val="1"/>
        <c:lblAlgn val="ctr"/>
        <c:lblOffset val="100"/>
      </c:catAx>
      <c:valAx>
        <c:axId val="49428736"/>
        <c:scaling>
          <c:orientation val="minMax"/>
          <c:max val="3500"/>
          <c:min val="0"/>
        </c:scaling>
        <c:delete val="1"/>
        <c:axPos val="b"/>
        <c:numFmt formatCode="#,##0" sourceLinked="1"/>
        <c:tickLblPos val="none"/>
        <c:crossAx val="49426432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0.4937939514317467"/>
          <c:y val="5.3312824269059401E-2"/>
          <c:w val="0.50620604856825258"/>
          <c:h val="0.88217054263565886"/>
        </c:manualLayout>
      </c:layout>
      <c:barChart>
        <c:barDir val="bar"/>
        <c:grouping val="clustered"/>
        <c:ser>
          <c:idx val="0"/>
          <c:order val="0"/>
          <c:dPt>
            <c:idx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4"/>
            <c:spPr>
              <a:solidFill>
                <a:schemeClr val="tx2">
                  <a:lumMod val="50000"/>
                </a:schemeClr>
              </a:solidFill>
            </c:spPr>
          </c:dPt>
          <c:cat>
            <c:strRef>
              <c:f>graf1_2!$H$15:$H$19</c:f>
              <c:strCache>
                <c:ptCount val="5"/>
                <c:pt idx="0">
                  <c:v>Průmyslový vzor</c:v>
                </c:pt>
                <c:pt idx="1">
                  <c:v>Know-how</c:v>
                </c:pt>
                <c:pt idx="2">
                  <c:v>Nové odrůdy rostlin a plemen zvířat</c:v>
                </c:pt>
                <c:pt idx="3">
                  <c:v>Užitný vzor</c:v>
                </c:pt>
                <c:pt idx="4">
                  <c:v>Patent</c:v>
                </c:pt>
              </c:strCache>
            </c:strRef>
          </c:cat>
          <c:val>
            <c:numRef>
              <c:f>graf1_2!$I$15:$I$19</c:f>
              <c:numCache>
                <c:formatCode>#,##0</c:formatCode>
                <c:ptCount val="5"/>
                <c:pt idx="0">
                  <c:v>6</c:v>
                </c:pt>
                <c:pt idx="1">
                  <c:v>12</c:v>
                </c:pt>
                <c:pt idx="2">
                  <c:v>14</c:v>
                </c:pt>
                <c:pt idx="3">
                  <c:v>25</c:v>
                </c:pt>
                <c:pt idx="4">
                  <c:v>30</c:v>
                </c:pt>
              </c:numCache>
            </c:numRef>
          </c:val>
        </c:ser>
        <c:dLbls>
          <c:showVal val="1"/>
        </c:dLbls>
        <c:gapWidth val="80"/>
        <c:axId val="67521920"/>
        <c:axId val="67674112"/>
      </c:barChart>
      <c:catAx>
        <c:axId val="67521920"/>
        <c:scaling>
          <c:orientation val="minMax"/>
        </c:scaling>
        <c:axPos val="l"/>
        <c:tickLblPos val="nextTo"/>
        <c:crossAx val="67674112"/>
        <c:crosses val="autoZero"/>
        <c:auto val="1"/>
        <c:lblAlgn val="ctr"/>
        <c:lblOffset val="100"/>
      </c:catAx>
      <c:valAx>
        <c:axId val="67674112"/>
        <c:scaling>
          <c:orientation val="minMax"/>
        </c:scaling>
        <c:delete val="1"/>
        <c:axPos val="b"/>
        <c:numFmt formatCode="#,##0" sourceLinked="1"/>
        <c:tickLblPos val="none"/>
        <c:crossAx val="67521920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0.4937939514317467"/>
          <c:y val="5.3312824269059401E-2"/>
          <c:w val="0.50620604856825258"/>
          <c:h val="0.88217054263565886"/>
        </c:manualLayout>
      </c:layout>
      <c:barChart>
        <c:barDir val="bar"/>
        <c:grouping val="clustered"/>
        <c:ser>
          <c:idx val="0"/>
          <c:order val="0"/>
          <c:dPt>
            <c:idx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1"/>
            <c:spPr>
              <a:solidFill>
                <a:srgbClr val="376092"/>
              </a:solidFill>
            </c:spPr>
          </c:dPt>
          <c:dPt>
            <c:idx val="2"/>
            <c:spPr>
              <a:solidFill>
                <a:srgbClr val="10253F"/>
              </a:solidFill>
            </c:spPr>
          </c:dPt>
          <c:dPt>
            <c:idx val="3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cat>
            <c:strRef>
              <c:f>graf1_2!$H$35:$H$39</c:f>
              <c:strCache>
                <c:ptCount val="5"/>
                <c:pt idx="0">
                  <c:v>Průmyslový vzor</c:v>
                </c:pt>
                <c:pt idx="1">
                  <c:v>Know-how</c:v>
                </c:pt>
                <c:pt idx="2">
                  <c:v>Užitný vzor</c:v>
                </c:pt>
                <c:pt idx="3">
                  <c:v>Patent</c:v>
                </c:pt>
                <c:pt idx="4">
                  <c:v>Nové odrůdy rostlin a plemen zvířat</c:v>
                </c:pt>
              </c:strCache>
            </c:strRef>
          </c:cat>
          <c:val>
            <c:numRef>
              <c:f>graf1_2!$I$35:$I$39</c:f>
              <c:numCache>
                <c:formatCode>#,##0</c:formatCode>
                <c:ptCount val="5"/>
                <c:pt idx="0">
                  <c:v>15</c:v>
                </c:pt>
                <c:pt idx="1">
                  <c:v>24</c:v>
                </c:pt>
                <c:pt idx="2">
                  <c:v>47</c:v>
                </c:pt>
                <c:pt idx="3">
                  <c:v>79</c:v>
                </c:pt>
                <c:pt idx="4">
                  <c:v>162</c:v>
                </c:pt>
              </c:numCache>
            </c:numRef>
          </c:val>
        </c:ser>
        <c:dLbls>
          <c:showVal val="1"/>
        </c:dLbls>
        <c:gapWidth val="80"/>
        <c:axId val="67854336"/>
        <c:axId val="67855872"/>
      </c:barChart>
      <c:catAx>
        <c:axId val="67854336"/>
        <c:scaling>
          <c:orientation val="minMax"/>
        </c:scaling>
        <c:axPos val="l"/>
        <c:tickLblPos val="nextTo"/>
        <c:crossAx val="67855872"/>
        <c:crosses val="autoZero"/>
        <c:auto val="1"/>
        <c:lblAlgn val="ctr"/>
        <c:lblOffset val="100"/>
      </c:catAx>
      <c:valAx>
        <c:axId val="67855872"/>
        <c:scaling>
          <c:orientation val="minMax"/>
          <c:max val="250"/>
          <c:min val="0"/>
        </c:scaling>
        <c:delete val="1"/>
        <c:axPos val="b"/>
        <c:numFmt formatCode="#,##0" sourceLinked="1"/>
        <c:tickLblPos val="none"/>
        <c:crossAx val="67854336"/>
        <c:crosses val="autoZero"/>
        <c:crossBetween val="between"/>
        <c:majorUnit val="100"/>
      </c:valAx>
    </c:plotArea>
    <c:plotVisOnly val="1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0.4937939514317467"/>
          <c:y val="5.3312824269059401E-2"/>
          <c:w val="0.50620604856825258"/>
          <c:h val="0.88217054263565886"/>
        </c:manualLayout>
      </c:layout>
      <c:barChart>
        <c:barDir val="bar"/>
        <c:grouping val="clustered"/>
        <c:ser>
          <c:idx val="0"/>
          <c:order val="0"/>
          <c:dPt>
            <c:idx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1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2"/>
            <c:spPr>
              <a:solidFill>
                <a:schemeClr val="tx2">
                  <a:lumMod val="50000"/>
                </a:schemeClr>
              </a:solidFill>
            </c:spPr>
          </c:dPt>
          <c:dPt>
            <c:idx val="3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cat>
            <c:strRef>
              <c:f>graf1_2!$H$56:$H$60</c:f>
              <c:strCache>
                <c:ptCount val="5"/>
                <c:pt idx="0">
                  <c:v>Užitný vzor</c:v>
                </c:pt>
                <c:pt idx="1">
                  <c:v>Nové odrůdy rostlin a plemen zvířat</c:v>
                </c:pt>
                <c:pt idx="2">
                  <c:v>Know-how</c:v>
                </c:pt>
                <c:pt idx="3">
                  <c:v>Patent</c:v>
                </c:pt>
                <c:pt idx="4">
                  <c:v>Průmyslový vzor</c:v>
                </c:pt>
              </c:strCache>
            </c:strRef>
          </c:cat>
          <c:val>
            <c:numRef>
              <c:f>graf1_2!$I$56:$I$60</c:f>
              <c:numCache>
                <c:formatCode>#,##0.0</c:formatCode>
                <c:ptCount val="5"/>
                <c:pt idx="0">
                  <c:v>12.731</c:v>
                </c:pt>
                <c:pt idx="1">
                  <c:v>91.722000000000008</c:v>
                </c:pt>
                <c:pt idx="2">
                  <c:v>246.33400000000003</c:v>
                </c:pt>
                <c:pt idx="3">
                  <c:v>266.02999999999969</c:v>
                </c:pt>
                <c:pt idx="4">
                  <c:v>723.24099999999999</c:v>
                </c:pt>
              </c:numCache>
            </c:numRef>
          </c:val>
        </c:ser>
        <c:dLbls>
          <c:showVal val="1"/>
        </c:dLbls>
        <c:gapWidth val="80"/>
        <c:axId val="72724480"/>
        <c:axId val="72726016"/>
      </c:barChart>
      <c:catAx>
        <c:axId val="72724480"/>
        <c:scaling>
          <c:orientation val="minMax"/>
        </c:scaling>
        <c:axPos val="l"/>
        <c:tickLblPos val="nextTo"/>
        <c:crossAx val="72726016"/>
        <c:crosses val="autoZero"/>
        <c:auto val="1"/>
        <c:lblAlgn val="ctr"/>
        <c:lblOffset val="100"/>
      </c:catAx>
      <c:valAx>
        <c:axId val="72726016"/>
        <c:scaling>
          <c:orientation val="minMax"/>
          <c:max val="1000"/>
        </c:scaling>
        <c:delete val="1"/>
        <c:axPos val="b"/>
        <c:numFmt formatCode="#,##0.0" sourceLinked="1"/>
        <c:tickLblPos val="none"/>
        <c:crossAx val="72724480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900"/>
            </a:pPr>
            <a:r>
              <a:rPr lang="cs-CZ" sz="900"/>
              <a:t>Patenty</a:t>
            </a:r>
          </a:p>
        </c:rich>
      </c:tx>
      <c:layout>
        <c:manualLayout>
          <c:xMode val="edge"/>
          <c:yMode val="edge"/>
          <c:x val="0.41227580594978946"/>
          <c:y val="5.0536884003582527E-2"/>
        </c:manualLayout>
      </c:layout>
    </c:title>
    <c:plotArea>
      <c:layout>
        <c:manualLayout>
          <c:layoutTarget val="inner"/>
          <c:xMode val="edge"/>
          <c:yMode val="edge"/>
          <c:x val="4.0854224698235894E-2"/>
          <c:y val="0.19774169307674724"/>
          <c:w val="0.88912500000000005"/>
          <c:h val="0.65198636477494032"/>
        </c:manualLayout>
      </c:layout>
      <c:barChart>
        <c:barDir val="col"/>
        <c:grouping val="clustered"/>
        <c:ser>
          <c:idx val="0"/>
          <c:order val="0"/>
          <c:tx>
            <c:strRef>
              <c:f>graf3_5!$A$3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numRef>
              <c:f>graf3_5!$B$2:$K$2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graf3_5!$B$3:$K$3</c:f>
              <c:numCache>
                <c:formatCode>#,##0</c:formatCode>
                <c:ptCount val="10"/>
                <c:pt idx="0">
                  <c:v>25</c:v>
                </c:pt>
                <c:pt idx="1">
                  <c:v>22</c:v>
                </c:pt>
                <c:pt idx="2">
                  <c:v>36</c:v>
                </c:pt>
                <c:pt idx="3">
                  <c:v>40</c:v>
                </c:pt>
                <c:pt idx="4">
                  <c:v>42</c:v>
                </c:pt>
                <c:pt idx="5">
                  <c:v>42</c:v>
                </c:pt>
                <c:pt idx="6">
                  <c:v>53</c:v>
                </c:pt>
                <c:pt idx="7">
                  <c:v>58</c:v>
                </c:pt>
                <c:pt idx="8">
                  <c:v>71</c:v>
                </c:pt>
                <c:pt idx="9" formatCode="General">
                  <c:v>73</c:v>
                </c:pt>
              </c:numCache>
            </c:numRef>
          </c:val>
        </c:ser>
        <c:ser>
          <c:idx val="1"/>
          <c:order val="1"/>
          <c:tx>
            <c:strRef>
              <c:f>graf3_5!$A$4</c:f>
              <c:strCache>
                <c:ptCount val="1"/>
                <c:pt idx="0">
                  <c:v>s novou licencí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dLbls>
            <c:showVal val="1"/>
          </c:dLbls>
          <c:cat>
            <c:numRef>
              <c:f>graf3_5!$B$2:$K$2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graf3_5!$B$4:$K$4</c:f>
              <c:numCache>
                <c:formatCode>#,##0</c:formatCode>
                <c:ptCount val="10"/>
                <c:pt idx="0">
                  <c:v>9</c:v>
                </c:pt>
                <c:pt idx="1">
                  <c:v>9</c:v>
                </c:pt>
                <c:pt idx="2">
                  <c:v>15</c:v>
                </c:pt>
                <c:pt idx="3">
                  <c:v>13</c:v>
                </c:pt>
                <c:pt idx="4">
                  <c:v>11</c:v>
                </c:pt>
                <c:pt idx="5">
                  <c:v>11</c:v>
                </c:pt>
                <c:pt idx="6">
                  <c:v>18</c:v>
                </c:pt>
                <c:pt idx="7">
                  <c:v>23</c:v>
                </c:pt>
                <c:pt idx="8">
                  <c:v>28</c:v>
                </c:pt>
                <c:pt idx="9" formatCode="General">
                  <c:v>30</c:v>
                </c:pt>
              </c:numCache>
            </c:numRef>
          </c:val>
        </c:ser>
        <c:gapWidth val="59"/>
        <c:axId val="73032448"/>
        <c:axId val="73033984"/>
      </c:barChart>
      <c:catAx>
        <c:axId val="73032448"/>
        <c:scaling>
          <c:orientation val="minMax"/>
        </c:scaling>
        <c:axPos val="b"/>
        <c:numFmt formatCode="General" sourceLinked="1"/>
        <c:tickLblPos val="nextTo"/>
        <c:crossAx val="73033984"/>
        <c:crosses val="autoZero"/>
        <c:auto val="1"/>
        <c:lblAlgn val="ctr"/>
        <c:lblOffset val="100"/>
      </c:catAx>
      <c:valAx>
        <c:axId val="73033984"/>
        <c:scaling>
          <c:orientation val="minMax"/>
        </c:scaling>
        <c:delete val="1"/>
        <c:axPos val="l"/>
        <c:numFmt formatCode="#,##0" sourceLinked="1"/>
        <c:tickLblPos val="none"/>
        <c:crossAx val="730324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7886812020837831"/>
          <c:y val="0.15776708480728735"/>
          <c:w val="0.45711929462856127"/>
          <c:h val="7.6026617004824867E-2"/>
        </c:manualLayout>
      </c:layout>
    </c:legend>
    <c:plotVisOnly val="1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900"/>
            </a:pPr>
            <a:r>
              <a:rPr lang="cs-CZ" sz="900"/>
              <a:t>Užitné vzory</a:t>
            </a:r>
          </a:p>
        </c:rich>
      </c:tx>
      <c:layout>
        <c:manualLayout>
          <c:xMode val="edge"/>
          <c:yMode val="edge"/>
          <c:x val="0.41227580594978974"/>
          <c:y val="5.0536884003582527E-2"/>
        </c:manualLayout>
      </c:layout>
    </c:title>
    <c:plotArea>
      <c:layout>
        <c:manualLayout>
          <c:layoutTarget val="inner"/>
          <c:xMode val="edge"/>
          <c:yMode val="edge"/>
          <c:x val="8.2651659138219452E-2"/>
          <c:y val="0.19774169307674724"/>
          <c:w val="0.87649429401262169"/>
          <c:h val="0.65198636477493987"/>
        </c:manualLayout>
      </c:layout>
      <c:barChart>
        <c:barDir val="col"/>
        <c:grouping val="clustered"/>
        <c:ser>
          <c:idx val="0"/>
          <c:order val="0"/>
          <c:tx>
            <c:strRef>
              <c:f>graf3_5!$A$16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numRef>
              <c:f>graf3_5!$B$15:$K$15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graf3_5!$B$16:$K$16</c:f>
              <c:numCache>
                <c:formatCode>#,##0</c:formatCode>
                <c:ptCount val="10"/>
                <c:pt idx="0">
                  <c:v>32</c:v>
                </c:pt>
                <c:pt idx="1">
                  <c:v>30</c:v>
                </c:pt>
                <c:pt idx="2">
                  <c:v>36</c:v>
                </c:pt>
                <c:pt idx="3">
                  <c:v>45</c:v>
                </c:pt>
                <c:pt idx="4">
                  <c:v>31</c:v>
                </c:pt>
                <c:pt idx="5">
                  <c:v>31</c:v>
                </c:pt>
                <c:pt idx="6">
                  <c:v>48</c:v>
                </c:pt>
                <c:pt idx="7">
                  <c:v>61</c:v>
                </c:pt>
                <c:pt idx="8">
                  <c:v>67</c:v>
                </c:pt>
                <c:pt idx="9" formatCode="General">
                  <c:v>75</c:v>
                </c:pt>
              </c:numCache>
            </c:numRef>
          </c:val>
        </c:ser>
        <c:ser>
          <c:idx val="1"/>
          <c:order val="1"/>
          <c:tx>
            <c:strRef>
              <c:f>graf3_5!$A$17</c:f>
              <c:strCache>
                <c:ptCount val="1"/>
                <c:pt idx="0">
                  <c:v>s novou licencí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dLbls>
            <c:showVal val="1"/>
          </c:dLbls>
          <c:cat>
            <c:numRef>
              <c:f>graf3_5!$B$15:$K$15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graf3_5!$B$17:$K$17</c:f>
              <c:numCache>
                <c:formatCode>#,##0</c:formatCode>
                <c:ptCount val="10"/>
                <c:pt idx="0">
                  <c:v>12</c:v>
                </c:pt>
                <c:pt idx="1">
                  <c:v>12</c:v>
                </c:pt>
                <c:pt idx="2">
                  <c:v>14</c:v>
                </c:pt>
                <c:pt idx="3">
                  <c:v>13</c:v>
                </c:pt>
                <c:pt idx="4">
                  <c:v>10</c:v>
                </c:pt>
                <c:pt idx="5">
                  <c:v>7</c:v>
                </c:pt>
                <c:pt idx="6">
                  <c:v>16</c:v>
                </c:pt>
                <c:pt idx="7">
                  <c:v>22</c:v>
                </c:pt>
                <c:pt idx="8">
                  <c:v>20</c:v>
                </c:pt>
                <c:pt idx="9" formatCode="General">
                  <c:v>25</c:v>
                </c:pt>
              </c:numCache>
            </c:numRef>
          </c:val>
        </c:ser>
        <c:gapWidth val="59"/>
        <c:axId val="80514432"/>
        <c:axId val="80549376"/>
      </c:barChart>
      <c:catAx>
        <c:axId val="80514432"/>
        <c:scaling>
          <c:orientation val="minMax"/>
        </c:scaling>
        <c:axPos val="b"/>
        <c:numFmt formatCode="General" sourceLinked="1"/>
        <c:tickLblPos val="nextTo"/>
        <c:crossAx val="80549376"/>
        <c:crosses val="autoZero"/>
        <c:auto val="1"/>
        <c:lblAlgn val="ctr"/>
        <c:lblOffset val="100"/>
      </c:catAx>
      <c:valAx>
        <c:axId val="80549376"/>
        <c:scaling>
          <c:orientation val="minMax"/>
        </c:scaling>
        <c:delete val="1"/>
        <c:axPos val="l"/>
        <c:numFmt formatCode="#,##0" sourceLinked="1"/>
        <c:tickLblPos val="none"/>
        <c:crossAx val="805144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7886812020837831"/>
          <c:y val="0.1577670848072876"/>
          <c:w val="0.45711929462856127"/>
          <c:h val="7.6026617004824923E-2"/>
        </c:manualLayout>
      </c:layout>
    </c:legend>
    <c:plotVisOnly val="1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900"/>
            </a:pPr>
            <a:r>
              <a:rPr lang="cs-CZ" sz="900"/>
              <a:t>Patenty</a:t>
            </a:r>
          </a:p>
        </c:rich>
      </c:tx>
      <c:layout>
        <c:manualLayout>
          <c:xMode val="edge"/>
          <c:yMode val="edge"/>
          <c:x val="0.41227580594978958"/>
          <c:y val="5.0536884003582527E-2"/>
        </c:manualLayout>
      </c:layout>
    </c:title>
    <c:plotArea>
      <c:layout>
        <c:manualLayout>
          <c:layoutTarget val="inner"/>
          <c:xMode val="edge"/>
          <c:yMode val="edge"/>
          <c:x val="4.0854224698235894E-2"/>
          <c:y val="0.19774169307674724"/>
          <c:w val="0.88912500000000005"/>
          <c:h val="0.6519863647749401"/>
        </c:manualLayout>
      </c:layout>
      <c:barChart>
        <c:barDir val="col"/>
        <c:grouping val="clustered"/>
        <c:ser>
          <c:idx val="0"/>
          <c:order val="0"/>
          <c:tx>
            <c:strRef>
              <c:f>graf3_5!$A$24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numRef>
              <c:f>graf3_5!$B$23:$K$23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graf3_5!$B$24:$K$24</c:f>
              <c:numCache>
                <c:formatCode>#,##0</c:formatCode>
                <c:ptCount val="10"/>
                <c:pt idx="0">
                  <c:v>81</c:v>
                </c:pt>
                <c:pt idx="1">
                  <c:v>99</c:v>
                </c:pt>
                <c:pt idx="2">
                  <c:v>147</c:v>
                </c:pt>
                <c:pt idx="3">
                  <c:v>155</c:v>
                </c:pt>
                <c:pt idx="4">
                  <c:v>253</c:v>
                </c:pt>
                <c:pt idx="5">
                  <c:v>267</c:v>
                </c:pt>
                <c:pt idx="6">
                  <c:v>301</c:v>
                </c:pt>
                <c:pt idx="7">
                  <c:v>346</c:v>
                </c:pt>
                <c:pt idx="8">
                  <c:v>416</c:v>
                </c:pt>
                <c:pt idx="9" formatCode="General">
                  <c:v>472</c:v>
                </c:pt>
              </c:numCache>
            </c:numRef>
          </c:val>
        </c:ser>
        <c:ser>
          <c:idx val="1"/>
          <c:order val="1"/>
          <c:tx>
            <c:strRef>
              <c:f>graf3_5!$A$25</c:f>
              <c:strCache>
                <c:ptCount val="1"/>
                <c:pt idx="0">
                  <c:v>nových licencí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dLbls>
            <c:showVal val="1"/>
          </c:dLbls>
          <c:cat>
            <c:numRef>
              <c:f>graf3_5!$B$23:$K$23</c:f>
              <c:numCache>
                <c:formatCode>General</c:formatCode>
                <c:ptCount val="1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</c:numCache>
            </c:numRef>
          </c:cat>
          <c:val>
            <c:numRef>
              <c:f>graf3_5!$B$25:$K$25</c:f>
              <c:numCache>
                <c:formatCode>#,##0</c:formatCode>
                <c:ptCount val="10"/>
                <c:pt idx="0">
                  <c:v>12</c:v>
                </c:pt>
                <c:pt idx="1">
                  <c:v>15</c:v>
                </c:pt>
                <c:pt idx="2">
                  <c:v>44</c:v>
                </c:pt>
                <c:pt idx="3">
                  <c:v>59</c:v>
                </c:pt>
                <c:pt idx="4">
                  <c:v>36</c:v>
                </c:pt>
                <c:pt idx="5">
                  <c:v>25</c:v>
                </c:pt>
                <c:pt idx="6">
                  <c:v>59</c:v>
                </c:pt>
                <c:pt idx="7">
                  <c:v>63</c:v>
                </c:pt>
                <c:pt idx="8">
                  <c:v>80</c:v>
                </c:pt>
                <c:pt idx="9" formatCode="General">
                  <c:v>79</c:v>
                </c:pt>
              </c:numCache>
            </c:numRef>
          </c:val>
        </c:ser>
        <c:gapWidth val="59"/>
        <c:axId val="80774272"/>
        <c:axId val="80794752"/>
      </c:barChart>
      <c:catAx>
        <c:axId val="80774272"/>
        <c:scaling>
          <c:orientation val="minMax"/>
        </c:scaling>
        <c:axPos val="b"/>
        <c:numFmt formatCode="General" sourceLinked="1"/>
        <c:tickLblPos val="nextTo"/>
        <c:crossAx val="80794752"/>
        <c:crosses val="autoZero"/>
        <c:auto val="1"/>
        <c:lblAlgn val="ctr"/>
        <c:lblOffset val="100"/>
      </c:catAx>
      <c:valAx>
        <c:axId val="80794752"/>
        <c:scaling>
          <c:orientation val="minMax"/>
        </c:scaling>
        <c:delete val="1"/>
        <c:axPos val="l"/>
        <c:numFmt formatCode="#,##0" sourceLinked="1"/>
        <c:tickLblPos val="none"/>
        <c:crossAx val="8077427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7886812020837831"/>
          <c:y val="0.15776708480728749"/>
          <c:w val="0.45711929462856127"/>
          <c:h val="7.6026617004824895E-2"/>
        </c:manualLayout>
      </c:layout>
    </c:legend>
    <c:plotVisOnly val="1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1227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peroutkova6027</dc:creator>
  <cp:lastModifiedBy>operator</cp:lastModifiedBy>
  <cp:revision>18</cp:revision>
  <dcterms:created xsi:type="dcterms:W3CDTF">2014-10-09T10:44:00Z</dcterms:created>
  <dcterms:modified xsi:type="dcterms:W3CDTF">2014-10-15T08:08:00Z</dcterms:modified>
</cp:coreProperties>
</file>