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BB" w:rsidRDefault="00803CBB" w:rsidP="00803CB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center"/>
        <w:rPr>
          <w:rFonts w:ascii="Arial" w:hAnsi="Arial"/>
          <w:b/>
          <w:color w:val="000000"/>
          <w:sz w:val="22"/>
          <w:szCs w:val="28"/>
        </w:rPr>
      </w:pPr>
      <w:r>
        <w:rPr>
          <w:rFonts w:ascii="Arial" w:hAnsi="Arial"/>
          <w:b/>
          <w:color w:val="000000"/>
          <w:sz w:val="22"/>
          <w:szCs w:val="28"/>
        </w:rPr>
        <w:t>ČÁST IV</w:t>
      </w:r>
    </w:p>
    <w:p w:rsidR="00803CBB" w:rsidRDefault="00803CBB" w:rsidP="00C325A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center"/>
        <w:rPr>
          <w:rFonts w:ascii="Arial" w:hAnsi="Arial"/>
          <w:b/>
          <w:color w:val="000000"/>
          <w:sz w:val="22"/>
          <w:szCs w:val="28"/>
        </w:rPr>
      </w:pPr>
    </w:p>
    <w:p w:rsidR="008778C7" w:rsidRPr="00C325A5" w:rsidRDefault="00990AD0" w:rsidP="00C325A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center"/>
        <w:rPr>
          <w:rFonts w:ascii="Arial" w:hAnsi="Arial"/>
          <w:b/>
          <w:color w:val="000000"/>
          <w:sz w:val="22"/>
          <w:szCs w:val="28"/>
        </w:rPr>
      </w:pPr>
      <w:r>
        <w:rPr>
          <w:rFonts w:ascii="Arial" w:hAnsi="Arial"/>
          <w:b/>
          <w:color w:val="000000"/>
          <w:sz w:val="22"/>
          <w:szCs w:val="28"/>
        </w:rPr>
        <w:t xml:space="preserve">VOLBY DO ZASTUPITELSTEV OBCÍ </w:t>
      </w:r>
      <w:r w:rsidR="008778C7">
        <w:rPr>
          <w:rFonts w:ascii="Arial" w:hAnsi="Arial"/>
          <w:b/>
          <w:color w:val="000000"/>
        </w:rPr>
        <w:t xml:space="preserve">  </w:t>
      </w:r>
    </w:p>
    <w:p w:rsidR="008778C7" w:rsidRDefault="008778C7" w:rsidP="008778C7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b/>
          <w:color w:val="000000"/>
        </w:rPr>
      </w:pPr>
    </w:p>
    <w:p w:rsidR="00A60B07" w:rsidRDefault="00803CBB" w:rsidP="00990AD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4.1. </w:t>
      </w:r>
      <w:r w:rsidR="00990AD0" w:rsidRPr="00803CBB">
        <w:rPr>
          <w:rFonts w:ascii="Arial" w:hAnsi="Arial"/>
          <w:b/>
          <w:color w:val="000000"/>
          <w:u w:val="single"/>
        </w:rPr>
        <w:t>Volební účast</w:t>
      </w:r>
    </w:p>
    <w:p w:rsidR="000E37ED" w:rsidRDefault="000E37ED" w:rsidP="000E37E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b/>
          <w:color w:val="000000"/>
        </w:rPr>
      </w:pPr>
    </w:p>
    <w:p w:rsidR="00F224C5" w:rsidRDefault="000E37ED" w:rsidP="004F113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ab/>
      </w:r>
      <w:r w:rsidR="00F224C5">
        <w:rPr>
          <w:rFonts w:ascii="Arial" w:hAnsi="Arial"/>
          <w:color w:val="000000"/>
        </w:rPr>
        <w:t>Nejvyšší volební účast ve volbách do obecních zastupitelstev byla na začátku analyzovaného období v roce 1994, kdy se voleb zúčastnilo více než 62 procent oprávněných voličů. V dalších řádných volbách v roce 1998 poklesla volební účast o 16 procentních bodů na necelých 47 %. Kolem této hodnoty volební účast osciluje prakticky doposud. Grafické znázornění vývoje volební účasti do obecních za</w:t>
      </w:r>
      <w:r w:rsidR="00F3380A">
        <w:rPr>
          <w:rFonts w:ascii="Arial" w:hAnsi="Arial"/>
          <w:color w:val="000000"/>
        </w:rPr>
        <w:t>stupitelstev prezentuje graf G 10</w:t>
      </w:r>
      <w:r w:rsidR="00F224C5">
        <w:rPr>
          <w:rFonts w:ascii="Arial" w:hAnsi="Arial"/>
          <w:color w:val="000000"/>
        </w:rPr>
        <w:t>.</w:t>
      </w:r>
    </w:p>
    <w:p w:rsidR="004F113B" w:rsidRDefault="004F113B" w:rsidP="004F113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</w:rPr>
      </w:pPr>
    </w:p>
    <w:p w:rsidR="004F113B" w:rsidRPr="00D659A8" w:rsidRDefault="00F3380A" w:rsidP="004F113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G 10</w:t>
      </w:r>
      <w:r w:rsidR="00D659A8" w:rsidRPr="00D659A8">
        <w:rPr>
          <w:rFonts w:ascii="Arial" w:hAnsi="Arial" w:cs="Arial"/>
          <w:b/>
          <w:color w:val="000000"/>
        </w:rPr>
        <w:t xml:space="preserve"> Volební účast ve volbách do zastupitelstev obcí</w:t>
      </w:r>
    </w:p>
    <w:p w:rsidR="00E7003C" w:rsidRDefault="001E7370" w:rsidP="00990AD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 w:rsidRPr="001E737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3.8pt;margin-top:11.85pt;width:360.75pt;height:256.5pt;z-index:1">
            <v:imagedata r:id="rId7" o:title=""/>
          </v:shape>
        </w:pict>
      </w:r>
      <w:r w:rsidR="004F113B">
        <w:rPr>
          <w:rFonts w:ascii="Arial" w:hAnsi="Arial" w:cs="Arial"/>
          <w:color w:val="000000"/>
        </w:rPr>
        <w:tab/>
      </w:r>
    </w:p>
    <w:p w:rsidR="00D659A8" w:rsidRDefault="00D659A8">
      <w:pPr>
        <w:spacing w:line="300" w:lineRule="exact"/>
        <w:jc w:val="both"/>
      </w:pPr>
    </w:p>
    <w:p w:rsidR="00D659A8" w:rsidRPr="00D659A8" w:rsidRDefault="00D659A8" w:rsidP="00D659A8"/>
    <w:p w:rsidR="00D659A8" w:rsidRPr="00D659A8" w:rsidRDefault="00D659A8" w:rsidP="00D659A8"/>
    <w:p w:rsidR="00D659A8" w:rsidRPr="00D659A8" w:rsidRDefault="00D659A8" w:rsidP="00D659A8"/>
    <w:p w:rsidR="00D659A8" w:rsidRPr="00D659A8" w:rsidRDefault="00D659A8" w:rsidP="00D659A8"/>
    <w:p w:rsidR="00D659A8" w:rsidRPr="00D659A8" w:rsidRDefault="00D659A8" w:rsidP="00D659A8"/>
    <w:p w:rsidR="00D659A8" w:rsidRPr="00D659A8" w:rsidRDefault="00D659A8" w:rsidP="00D659A8"/>
    <w:p w:rsidR="00D659A8" w:rsidRPr="00D659A8" w:rsidRDefault="00D659A8" w:rsidP="00D659A8"/>
    <w:p w:rsidR="00D659A8" w:rsidRPr="00D659A8" w:rsidRDefault="00D659A8" w:rsidP="00D659A8"/>
    <w:p w:rsidR="00D659A8" w:rsidRPr="00D659A8" w:rsidRDefault="00D659A8" w:rsidP="00D659A8"/>
    <w:p w:rsidR="00D659A8" w:rsidRPr="00D659A8" w:rsidRDefault="00D659A8" w:rsidP="00D659A8"/>
    <w:p w:rsidR="00D659A8" w:rsidRPr="00D659A8" w:rsidRDefault="00D659A8" w:rsidP="00D659A8"/>
    <w:p w:rsidR="00D659A8" w:rsidRPr="00D659A8" w:rsidRDefault="00D659A8" w:rsidP="00D659A8"/>
    <w:p w:rsidR="00D659A8" w:rsidRPr="00D659A8" w:rsidRDefault="00D659A8" w:rsidP="00D659A8"/>
    <w:p w:rsidR="00D659A8" w:rsidRPr="00D659A8" w:rsidRDefault="00D659A8" w:rsidP="00D659A8"/>
    <w:p w:rsidR="00D659A8" w:rsidRPr="00D659A8" w:rsidRDefault="00D659A8" w:rsidP="00D659A8"/>
    <w:p w:rsidR="00D659A8" w:rsidRPr="00D659A8" w:rsidRDefault="00D659A8" w:rsidP="00D659A8"/>
    <w:p w:rsidR="00D659A8" w:rsidRPr="00D659A8" w:rsidRDefault="00D659A8" w:rsidP="00D659A8"/>
    <w:p w:rsidR="00D659A8" w:rsidRPr="00D659A8" w:rsidRDefault="00D659A8" w:rsidP="00D659A8"/>
    <w:p w:rsidR="00D659A8" w:rsidRPr="00D659A8" w:rsidRDefault="00D659A8" w:rsidP="00D659A8"/>
    <w:p w:rsidR="00D659A8" w:rsidRDefault="00D659A8" w:rsidP="00D659A8"/>
    <w:p w:rsidR="00D659A8" w:rsidRDefault="00D659A8" w:rsidP="00D659A8"/>
    <w:p w:rsidR="00FC2D97" w:rsidRDefault="00D9663C" w:rsidP="00CE11F1">
      <w:pPr>
        <w:spacing w:line="300" w:lineRule="exact"/>
        <w:ind w:firstLine="709"/>
        <w:jc w:val="both"/>
      </w:pPr>
      <w:r>
        <w:t>Zájem voličů účastnit se voleb do zastupitelstev obcí však rozhodně není v českém prostoru homogenní.</w:t>
      </w:r>
      <w:r w:rsidR="00CE11F1">
        <w:t xml:space="preserve"> </w:t>
      </w:r>
      <w:r w:rsidR="00AE0D31">
        <w:t xml:space="preserve">Stabilně nízká volební účast je charakteristická pro severní Čechy (Ústecký kraj, Karlovarský kraj) a Moravskoslezský kraj. Malá ochota volit je rovněž typická pro obyvatele těch správních obvodů ORP, která mají na svém území statutární města. Příkladem může být výše volební účasti v SO ORP Plzeň, České Budějovice nebo Brno. </w:t>
      </w:r>
      <w:r w:rsidR="00544975">
        <w:t>Podprůměrná volební účast je také charakteristická pro volby do zastupitelstva hlavního města Prahy. Naopak nad</w:t>
      </w:r>
      <w:r w:rsidR="00FC2D97">
        <w:t xml:space="preserve"> průměrem ČR dlouhodobě ční hodnota</w:t>
      </w:r>
      <w:r w:rsidR="00544975">
        <w:t xml:space="preserve"> volební účasti ve vybraných správních obvodech ORP</w:t>
      </w:r>
      <w:r w:rsidR="00EE171C">
        <w:t xml:space="preserve"> východní části kraje Vysočina (Náměšť nad Oslavou, Nové Město na Moravě), Jihomoravského kraje (Šlapanice, Tišnov) či Plzeňského kraje (Nepomuk, Horažďovice). Společným znakem prakticky všec</w:t>
      </w:r>
      <w:r w:rsidR="00602F7B">
        <w:t>h správních obvodů ORP s nadprůměrnou</w:t>
      </w:r>
      <w:r w:rsidR="00EE171C">
        <w:t xml:space="preserve"> volební účastí je </w:t>
      </w:r>
      <w:r w:rsidR="00FC2D97">
        <w:t>nízký počet obyvatel, který je rozptýlen do více samostatných obcí. Obecně totiž platí, že čím má obec menší počet obyvatel, tím vyšší podíl občanů se účastní volebního hlasování.</w:t>
      </w:r>
    </w:p>
    <w:p w:rsidR="00CE11F1" w:rsidRDefault="00FC2D97" w:rsidP="00CE11F1">
      <w:pPr>
        <w:spacing w:line="300" w:lineRule="exact"/>
        <w:ind w:firstLine="709"/>
        <w:jc w:val="both"/>
      </w:pPr>
      <w:r>
        <w:t xml:space="preserve">  </w:t>
      </w:r>
      <w:r w:rsidR="00544975">
        <w:t xml:space="preserve"> </w:t>
      </w:r>
      <w:r w:rsidR="00AE0D31">
        <w:t xml:space="preserve">  </w:t>
      </w:r>
    </w:p>
    <w:p w:rsidR="00FC2D97" w:rsidRDefault="00CE11F1" w:rsidP="00FC2D97">
      <w:pPr>
        <w:spacing w:line="300" w:lineRule="exact"/>
        <w:ind w:firstLine="709"/>
        <w:jc w:val="both"/>
      </w:pPr>
      <w:r>
        <w:t>Dlouhodobě se rozdíl mezi maximální a minimální hodnotou volební účasti pohybuje v intervalu 36 až 42 procentních bodů. Statistickou zajímavostí je skutečnost, že ve všech volbách byl</w:t>
      </w:r>
      <w:r w:rsidR="005416C8">
        <w:t>i</w:t>
      </w:r>
      <w:r>
        <w:t xml:space="preserve"> </w:t>
      </w:r>
      <w:r>
        <w:lastRenderedPageBreak/>
        <w:t>nejvíce ochotní volit obyvatelé správního obvodu ORP Konice. Naproti tomu nejnižší volební účast byla třikrát zjištěna ve správním obvodu Orlová a dvakrát v</w:t>
      </w:r>
      <w:r w:rsidR="00DC574E">
        <w:t> SO ORP Karviná</w:t>
      </w:r>
      <w:r>
        <w:t>.</w:t>
      </w:r>
    </w:p>
    <w:p w:rsidR="00803CBB" w:rsidRDefault="00803CBB" w:rsidP="00FC2D97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b/>
          <w:color w:val="000000"/>
        </w:rPr>
      </w:pPr>
    </w:p>
    <w:p w:rsidR="00FC2D97" w:rsidRDefault="00803CBB" w:rsidP="00FC2D97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4.2. </w:t>
      </w:r>
      <w:r w:rsidR="00FC2D97" w:rsidRPr="00803CBB">
        <w:rPr>
          <w:rFonts w:ascii="Arial" w:hAnsi="Arial"/>
          <w:b/>
          <w:color w:val="000000"/>
          <w:u w:val="single"/>
        </w:rPr>
        <w:t>Výsledky hlasování</w:t>
      </w:r>
      <w:r w:rsidR="00FC2D97" w:rsidRPr="00803CBB">
        <w:rPr>
          <w:u w:val="single"/>
        </w:rPr>
        <w:t xml:space="preserve"> </w:t>
      </w:r>
      <w:r w:rsidR="00D9663C" w:rsidRPr="00803CBB">
        <w:rPr>
          <w:u w:val="single"/>
        </w:rPr>
        <w:t xml:space="preserve"> </w:t>
      </w:r>
    </w:p>
    <w:p w:rsidR="00FC2D97" w:rsidRDefault="00FC2D97" w:rsidP="00FC2D97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b/>
          <w:color w:val="000000"/>
        </w:rPr>
      </w:pPr>
    </w:p>
    <w:p w:rsidR="00602F7B" w:rsidRDefault="00F3380A" w:rsidP="00602F7B">
      <w:pPr>
        <w:spacing w:line="300" w:lineRule="exact"/>
        <w:ind w:firstLine="709"/>
        <w:jc w:val="both"/>
      </w:pPr>
      <w:r>
        <w:rPr>
          <w:color w:val="000000"/>
        </w:rPr>
        <w:t>Z grafu G 11</w:t>
      </w:r>
      <w:r w:rsidR="004E4B2B">
        <w:rPr>
          <w:color w:val="000000"/>
        </w:rPr>
        <w:t xml:space="preserve"> je zřejmý trend snižování počtu odevzdaných hlasů dlouhodobě úspěšným stranám. Nejkřiklavěji působí tato tendence na volební výsledky ODS. Strana získala </w:t>
      </w:r>
      <w:r w:rsidR="00493A20">
        <w:rPr>
          <w:color w:val="000000"/>
        </w:rPr>
        <w:t xml:space="preserve">absolutně nejvíce hlasů ve volbách do zastupitelstev obcí ve všech čtyřech řádných termínech mezi roky 1994-2006. Prudký pokles získaných hlasů nastal ve volbách v roce </w:t>
      </w:r>
      <w:r w:rsidR="00E952DD">
        <w:rPr>
          <w:color w:val="000000"/>
        </w:rPr>
        <w:t>2010, kdy ODS získala o 18 procentních bodů méně hlasů než v řádných volbách v roce 2006.</w:t>
      </w:r>
      <w:r w:rsidR="00493A20">
        <w:rPr>
          <w:color w:val="000000"/>
        </w:rPr>
        <w:t xml:space="preserve"> </w:t>
      </w:r>
      <w:r w:rsidR="00E952DD">
        <w:rPr>
          <w:color w:val="000000"/>
        </w:rPr>
        <w:t>Při posledních volbách v roce 2014 strana zaznamenala pokles o dalších 9 procentních bodů na necelých 9 % získaných hlasů. KSČM se mezi roky 1994-2002 těšila konstantní</w:t>
      </w:r>
      <w:r w:rsidR="00CE1A81">
        <w:rPr>
          <w:color w:val="000000"/>
        </w:rPr>
        <w:t xml:space="preserve"> volební podpoře, straně se dařilo získávat zhruba 15 % z celkového počtu platných hlasů. Od roku 2006 její procento získávaných hlasů mírně klesá.</w:t>
      </w:r>
      <w:r w:rsidR="00715151">
        <w:rPr>
          <w:color w:val="000000"/>
        </w:rPr>
        <w:t xml:space="preserve"> Vrchol volební podpory</w:t>
      </w:r>
      <w:r w:rsidR="00CE1A81">
        <w:rPr>
          <w:color w:val="000000"/>
        </w:rPr>
        <w:t xml:space="preserve"> </w:t>
      </w:r>
      <w:r w:rsidR="00715151">
        <w:rPr>
          <w:color w:val="000000"/>
        </w:rPr>
        <w:t>KDU-ČSL nastal v roce 1998, kdy se jejím navrhnutým kandidátům podařilo získat více</w:t>
      </w:r>
      <w:r w:rsidR="00C311E4">
        <w:rPr>
          <w:color w:val="000000"/>
        </w:rPr>
        <w:t xml:space="preserve"> než 11 % odevzdaných hlasů</w:t>
      </w:r>
      <w:r w:rsidR="00715151">
        <w:rPr>
          <w:color w:val="000000"/>
        </w:rPr>
        <w:t>. Od dalších řádných vo</w:t>
      </w:r>
      <w:r w:rsidR="00602F7B">
        <w:rPr>
          <w:color w:val="000000"/>
        </w:rPr>
        <w:t xml:space="preserve">leb do zastupitelstev obcí </w:t>
      </w:r>
      <w:r w:rsidR="00715151">
        <w:rPr>
          <w:color w:val="000000"/>
        </w:rPr>
        <w:t>obliba</w:t>
      </w:r>
      <w:r w:rsidR="00602F7B">
        <w:rPr>
          <w:color w:val="000000"/>
        </w:rPr>
        <w:t xml:space="preserve"> strany</w:t>
      </w:r>
      <w:r w:rsidR="00715151">
        <w:rPr>
          <w:color w:val="000000"/>
        </w:rPr>
        <w:t xml:space="preserve"> u volič</w:t>
      </w:r>
      <w:r w:rsidR="00AC2C0A">
        <w:rPr>
          <w:color w:val="000000"/>
        </w:rPr>
        <w:t xml:space="preserve">ů klesá. Výjimkou </w:t>
      </w:r>
      <w:proofErr w:type="gramStart"/>
      <w:r w:rsidR="00AC2C0A">
        <w:rPr>
          <w:color w:val="000000"/>
        </w:rPr>
        <w:t>byl</w:t>
      </w:r>
      <w:proofErr w:type="gramEnd"/>
      <w:r w:rsidR="00AC2C0A">
        <w:rPr>
          <w:color w:val="000000"/>
        </w:rPr>
        <w:t xml:space="preserve"> </w:t>
      </w:r>
      <w:r w:rsidR="00602F7B">
        <w:rPr>
          <w:color w:val="000000"/>
        </w:rPr>
        <w:t xml:space="preserve">pouze </w:t>
      </w:r>
      <w:r w:rsidR="00715151">
        <w:rPr>
          <w:color w:val="000000"/>
        </w:rPr>
        <w:t>mírný nárůst</w:t>
      </w:r>
      <w:r w:rsidR="001531D3">
        <w:rPr>
          <w:color w:val="000000"/>
        </w:rPr>
        <w:t xml:space="preserve"> voličské podpory</w:t>
      </w:r>
      <w:r w:rsidR="00715151">
        <w:rPr>
          <w:color w:val="000000"/>
        </w:rPr>
        <w:t xml:space="preserve"> při posledních </w:t>
      </w:r>
      <w:r w:rsidR="00C000D9">
        <w:rPr>
          <w:color w:val="000000"/>
        </w:rPr>
        <w:t xml:space="preserve">komunálních </w:t>
      </w:r>
      <w:r w:rsidR="00715151">
        <w:rPr>
          <w:color w:val="000000"/>
        </w:rPr>
        <w:t xml:space="preserve">volbách v roce </w:t>
      </w:r>
      <w:r w:rsidR="00C000D9">
        <w:rPr>
          <w:color w:val="000000"/>
        </w:rPr>
        <w:t xml:space="preserve">2014. </w:t>
      </w:r>
      <w:r w:rsidR="00AC2C0A">
        <w:rPr>
          <w:color w:val="000000"/>
        </w:rPr>
        <w:t xml:space="preserve">ČSSD </w:t>
      </w:r>
      <w:proofErr w:type="gramStart"/>
      <w:r w:rsidR="00AC2C0A">
        <w:rPr>
          <w:color w:val="000000"/>
        </w:rPr>
        <w:t>získala</w:t>
      </w:r>
      <w:proofErr w:type="gramEnd"/>
      <w:r w:rsidR="00AC2C0A">
        <w:rPr>
          <w:color w:val="000000"/>
        </w:rPr>
        <w:t xml:space="preserve"> </w:t>
      </w:r>
      <w:r w:rsidR="00C000D9">
        <w:rPr>
          <w:color w:val="000000"/>
        </w:rPr>
        <w:t>největší procento hlasů při volbách v roce 20</w:t>
      </w:r>
      <w:r w:rsidR="00AC2C0A">
        <w:rPr>
          <w:color w:val="000000"/>
        </w:rPr>
        <w:t xml:space="preserve">10, kdy </w:t>
      </w:r>
      <w:r w:rsidR="00C000D9">
        <w:rPr>
          <w:color w:val="000000"/>
        </w:rPr>
        <w:t xml:space="preserve">strana poprvé v komunálních </w:t>
      </w:r>
      <w:r w:rsidR="00AC2C0A">
        <w:rPr>
          <w:color w:val="000000"/>
        </w:rPr>
        <w:t>volbách získala nejvíc hlasů ze všech „tradičně“ úspěšných volebních stran.</w:t>
      </w:r>
      <w:r w:rsidR="001531D3">
        <w:rPr>
          <w:color w:val="000000"/>
        </w:rPr>
        <w:t xml:space="preserve"> </w:t>
      </w:r>
    </w:p>
    <w:p w:rsidR="00602F7B" w:rsidRPr="00602F7B" w:rsidRDefault="00602F7B" w:rsidP="00602F7B">
      <w:pPr>
        <w:spacing w:line="300" w:lineRule="exact"/>
        <w:ind w:firstLine="709"/>
        <w:jc w:val="both"/>
      </w:pPr>
      <w:r>
        <w:t xml:space="preserve">     </w:t>
      </w:r>
    </w:p>
    <w:p w:rsidR="00132205" w:rsidRDefault="00861F82" w:rsidP="00FC2D97">
      <w:pPr>
        <w:spacing w:line="300" w:lineRule="exact"/>
        <w:ind w:firstLine="709"/>
        <w:jc w:val="both"/>
        <w:rPr>
          <w:color w:val="000000"/>
        </w:rPr>
      </w:pPr>
      <w:r>
        <w:rPr>
          <w:color w:val="000000"/>
        </w:rPr>
        <w:t>Klesající počet hlasů pro „tradiční</w:t>
      </w:r>
      <w:r w:rsidR="001531D3">
        <w:rPr>
          <w:color w:val="000000"/>
        </w:rPr>
        <w:t xml:space="preserve">“ </w:t>
      </w:r>
      <w:r>
        <w:rPr>
          <w:color w:val="000000"/>
        </w:rPr>
        <w:t xml:space="preserve">navrhující </w:t>
      </w:r>
      <w:r w:rsidR="001531D3">
        <w:rPr>
          <w:color w:val="000000"/>
        </w:rPr>
        <w:t>stran</w:t>
      </w:r>
      <w:r>
        <w:rPr>
          <w:color w:val="000000"/>
        </w:rPr>
        <w:t>y</w:t>
      </w:r>
      <w:r w:rsidR="001531D3">
        <w:rPr>
          <w:color w:val="000000"/>
        </w:rPr>
        <w:t xml:space="preserve"> </w:t>
      </w:r>
      <w:r>
        <w:rPr>
          <w:color w:val="000000"/>
        </w:rPr>
        <w:t xml:space="preserve">je logicky </w:t>
      </w:r>
      <w:r w:rsidR="0063585D">
        <w:rPr>
          <w:color w:val="000000"/>
        </w:rPr>
        <w:t xml:space="preserve">úzce </w:t>
      </w:r>
      <w:r>
        <w:rPr>
          <w:color w:val="000000"/>
        </w:rPr>
        <w:t>provázán</w:t>
      </w:r>
      <w:r w:rsidR="001531D3">
        <w:rPr>
          <w:color w:val="000000"/>
        </w:rPr>
        <w:t xml:space="preserve"> </w:t>
      </w:r>
      <w:r>
        <w:rPr>
          <w:color w:val="000000"/>
        </w:rPr>
        <w:t>se zvyšující se volební podporou</w:t>
      </w:r>
      <w:r w:rsidR="001531D3">
        <w:rPr>
          <w:color w:val="000000"/>
        </w:rPr>
        <w:t xml:space="preserve"> </w:t>
      </w:r>
      <w:r w:rsidR="00F7360B">
        <w:rPr>
          <w:color w:val="000000"/>
        </w:rPr>
        <w:t>nových politických uskupení.</w:t>
      </w:r>
      <w:r>
        <w:rPr>
          <w:color w:val="000000"/>
        </w:rPr>
        <w:t xml:space="preserve"> </w:t>
      </w:r>
      <w:r w:rsidR="007024AE">
        <w:rPr>
          <w:color w:val="000000"/>
        </w:rPr>
        <w:t>Rostoucí volební zisk „ostatních“ navrhujících stran je zapříčiněn jednak úspěchem</w:t>
      </w:r>
      <w:r w:rsidR="00484F0D">
        <w:rPr>
          <w:color w:val="000000"/>
        </w:rPr>
        <w:t xml:space="preserve"> novějších politických uskupení (především stran ANO 2011 a TOP 09), jednak z</w:t>
      </w:r>
      <w:r w:rsidR="0063585D">
        <w:rPr>
          <w:color w:val="000000"/>
        </w:rPr>
        <w:t xml:space="preserve">vyšujícím se počtem lokálních politických stran a hnutí, kterým se daří oslovovat voliče z regionů, kde daná </w:t>
      </w:r>
      <w:r w:rsidR="002B12FA">
        <w:rPr>
          <w:color w:val="000000"/>
        </w:rPr>
        <w:t xml:space="preserve">navrhující </w:t>
      </w:r>
      <w:r w:rsidR="0063585D">
        <w:rPr>
          <w:color w:val="000000"/>
        </w:rPr>
        <w:t>strana působí.</w:t>
      </w:r>
      <w:r w:rsidR="00A03464">
        <w:rPr>
          <w:color w:val="000000"/>
        </w:rPr>
        <w:t xml:space="preserve"> Podíl získaných hlasů nezávislých kandidátů byl nejnižší v roce 1994 (cca 11,5 % z celkového počtu </w:t>
      </w:r>
      <w:r w:rsidR="00132205">
        <w:rPr>
          <w:color w:val="000000"/>
        </w:rPr>
        <w:t>platných hlasů), naopak nejvíce nezávislí kandidáti uspěli v posledních dvou řádných komunálních volbách, kdy zhruba každý pátý odevzdaný hlas byl určen pro nezávislého kandidáta.</w:t>
      </w:r>
    </w:p>
    <w:p w:rsidR="00132205" w:rsidRDefault="00132205" w:rsidP="00132205">
      <w:pPr>
        <w:spacing w:line="300" w:lineRule="exact"/>
        <w:jc w:val="both"/>
        <w:rPr>
          <w:color w:val="000000"/>
        </w:rPr>
      </w:pPr>
    </w:p>
    <w:p w:rsidR="00132205" w:rsidRDefault="00F3380A" w:rsidP="0013220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G 11</w:t>
      </w:r>
      <w:r w:rsidR="00132205" w:rsidRPr="00670E71">
        <w:rPr>
          <w:rFonts w:ascii="Arial" w:hAnsi="Arial"/>
          <w:b/>
          <w:color w:val="000000"/>
        </w:rPr>
        <w:t xml:space="preserve"> Zisk hlasů za vybrané </w:t>
      </w:r>
      <w:r w:rsidR="00132205">
        <w:rPr>
          <w:rFonts w:ascii="Arial" w:hAnsi="Arial"/>
          <w:b/>
          <w:color w:val="000000"/>
        </w:rPr>
        <w:t xml:space="preserve">navrhující </w:t>
      </w:r>
      <w:r w:rsidR="00132205" w:rsidRPr="00670E71">
        <w:rPr>
          <w:rFonts w:ascii="Arial" w:hAnsi="Arial"/>
          <w:b/>
          <w:color w:val="000000"/>
        </w:rPr>
        <w:t>strany a skupiny stran v %</w:t>
      </w:r>
    </w:p>
    <w:p w:rsidR="00C000D9" w:rsidRDefault="00ED66B8" w:rsidP="00132205">
      <w:pPr>
        <w:spacing w:line="300" w:lineRule="exact"/>
        <w:jc w:val="both"/>
        <w:rPr>
          <w:color w:val="000000"/>
        </w:rPr>
      </w:pPr>
      <w:r>
        <w:rPr>
          <w:noProof/>
        </w:rPr>
        <w:pict>
          <v:shape id="_x0000_s1030" type="#_x0000_t75" style="position:absolute;left:0;text-align:left;margin-left:-12.3pt;margin-top:9.55pt;width:453.75pt;height:273.75pt;z-index:2">
            <v:imagedata r:id="rId8" o:title=""/>
          </v:shape>
        </w:pict>
      </w:r>
      <w:r w:rsidR="00132205">
        <w:rPr>
          <w:color w:val="000000"/>
        </w:rPr>
        <w:t xml:space="preserve"> </w:t>
      </w:r>
      <w:r w:rsidR="00A03464">
        <w:rPr>
          <w:color w:val="000000"/>
        </w:rPr>
        <w:t xml:space="preserve"> </w:t>
      </w:r>
      <w:r w:rsidR="002B12FA">
        <w:rPr>
          <w:color w:val="000000"/>
        </w:rPr>
        <w:t xml:space="preserve"> </w:t>
      </w:r>
      <w:r w:rsidR="0063585D">
        <w:rPr>
          <w:color w:val="000000"/>
        </w:rPr>
        <w:t xml:space="preserve">  </w:t>
      </w:r>
      <w:r w:rsidR="00484F0D">
        <w:rPr>
          <w:color w:val="000000"/>
        </w:rPr>
        <w:t xml:space="preserve">  </w:t>
      </w:r>
      <w:r w:rsidR="00AC2C0A">
        <w:rPr>
          <w:color w:val="000000"/>
        </w:rPr>
        <w:t xml:space="preserve"> </w:t>
      </w:r>
      <w:r w:rsidR="00C000D9">
        <w:rPr>
          <w:color w:val="000000"/>
        </w:rPr>
        <w:t xml:space="preserve">   </w:t>
      </w:r>
    </w:p>
    <w:p w:rsidR="00C000D9" w:rsidRDefault="00C000D9" w:rsidP="00FC2D97">
      <w:pPr>
        <w:spacing w:line="300" w:lineRule="exact"/>
        <w:ind w:firstLine="709"/>
        <w:jc w:val="both"/>
        <w:rPr>
          <w:color w:val="000000"/>
        </w:rPr>
      </w:pPr>
    </w:p>
    <w:p w:rsidR="00C000D9" w:rsidRDefault="00C000D9" w:rsidP="00FC2D97">
      <w:pPr>
        <w:spacing w:line="300" w:lineRule="exact"/>
        <w:ind w:firstLine="709"/>
        <w:jc w:val="both"/>
        <w:rPr>
          <w:color w:val="000000"/>
        </w:rPr>
      </w:pPr>
    </w:p>
    <w:p w:rsidR="00C000D9" w:rsidRDefault="00C000D9" w:rsidP="00FC2D97">
      <w:pPr>
        <w:spacing w:line="300" w:lineRule="exact"/>
        <w:ind w:firstLine="709"/>
        <w:jc w:val="both"/>
        <w:rPr>
          <w:color w:val="000000"/>
        </w:rPr>
      </w:pPr>
    </w:p>
    <w:p w:rsidR="00C000D9" w:rsidRDefault="00715151" w:rsidP="00FC2D97">
      <w:pPr>
        <w:spacing w:line="300" w:lineRule="exact"/>
        <w:ind w:firstLine="709"/>
        <w:jc w:val="both"/>
      </w:pPr>
      <w:r>
        <w:rPr>
          <w:color w:val="000000"/>
        </w:rPr>
        <w:t xml:space="preserve">   </w:t>
      </w:r>
      <w:r w:rsidR="00CE1A81">
        <w:rPr>
          <w:color w:val="000000"/>
        </w:rPr>
        <w:t xml:space="preserve"> </w:t>
      </w:r>
      <w:r w:rsidR="00E952DD">
        <w:rPr>
          <w:color w:val="000000"/>
        </w:rPr>
        <w:t xml:space="preserve">  </w:t>
      </w:r>
      <w:r w:rsidR="00D9663C">
        <w:t xml:space="preserve"> </w:t>
      </w:r>
    </w:p>
    <w:p w:rsidR="00C000D9" w:rsidRPr="00C000D9" w:rsidRDefault="00C000D9" w:rsidP="00C000D9"/>
    <w:p w:rsidR="00C000D9" w:rsidRPr="00C000D9" w:rsidRDefault="00C000D9" w:rsidP="00C000D9"/>
    <w:p w:rsidR="00C000D9" w:rsidRDefault="00C000D9" w:rsidP="00C000D9"/>
    <w:p w:rsidR="00E7003C" w:rsidRDefault="00E7003C" w:rsidP="00C000D9"/>
    <w:p w:rsidR="00132205" w:rsidRDefault="00132205" w:rsidP="00C000D9"/>
    <w:p w:rsidR="00132205" w:rsidRDefault="00132205" w:rsidP="00C000D9"/>
    <w:p w:rsidR="00132205" w:rsidRDefault="00132205" w:rsidP="00C000D9"/>
    <w:p w:rsidR="00132205" w:rsidRDefault="00132205" w:rsidP="00C000D9"/>
    <w:p w:rsidR="00132205" w:rsidRDefault="00132205" w:rsidP="00C000D9"/>
    <w:p w:rsidR="00132205" w:rsidRDefault="00132205" w:rsidP="00C000D9"/>
    <w:p w:rsidR="00132205" w:rsidRDefault="00132205" w:rsidP="00C000D9"/>
    <w:p w:rsidR="00132205" w:rsidRDefault="00132205" w:rsidP="00C000D9"/>
    <w:p w:rsidR="00132205" w:rsidRDefault="00132205" w:rsidP="00C000D9"/>
    <w:p w:rsidR="00132205" w:rsidRDefault="00132205" w:rsidP="00C000D9"/>
    <w:p w:rsidR="00132205" w:rsidRDefault="00132205" w:rsidP="00C000D9"/>
    <w:p w:rsidR="00132205" w:rsidRDefault="00132205" w:rsidP="00C000D9"/>
    <w:p w:rsidR="00132205" w:rsidRDefault="00803CBB" w:rsidP="0013220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szCs w:val="26"/>
        </w:rPr>
        <w:lastRenderedPageBreak/>
        <w:t xml:space="preserve">4.3. </w:t>
      </w:r>
      <w:r w:rsidR="00132205" w:rsidRPr="00803CBB">
        <w:rPr>
          <w:rFonts w:ascii="Arial" w:hAnsi="Arial"/>
          <w:b/>
          <w:color w:val="000000"/>
          <w:u w:val="single"/>
        </w:rPr>
        <w:t>Mandáty</w:t>
      </w:r>
      <w:r w:rsidR="00132205">
        <w:rPr>
          <w:rFonts w:ascii="Arial" w:hAnsi="Arial"/>
          <w:b/>
          <w:color w:val="000000"/>
        </w:rPr>
        <w:t xml:space="preserve">  </w:t>
      </w:r>
    </w:p>
    <w:p w:rsidR="00132205" w:rsidRDefault="00132205" w:rsidP="0013220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b/>
          <w:color w:val="000000"/>
        </w:rPr>
      </w:pPr>
    </w:p>
    <w:p w:rsidR="009A0044" w:rsidRDefault="00132205" w:rsidP="00C01207">
      <w:pPr>
        <w:spacing w:line="300" w:lineRule="exact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Zaměříme-li se na úspěch jednotlivých stran z hlediska počtu zvolených zastupitelů</w:t>
      </w:r>
      <w:r w:rsidR="00C01207">
        <w:rPr>
          <w:color w:val="000000"/>
        </w:rPr>
        <w:t>, zjistíme,</w:t>
      </w:r>
      <w:r w:rsidR="00B31DD1">
        <w:rPr>
          <w:color w:val="000000"/>
        </w:rPr>
        <w:t xml:space="preserve"> že nejúspěšnější navrhující stranou ve všech doposud konaných komunálních volbách jsou nezávislí kandidáti. Nezávislým kandidátům vždy náležela nadpoloviční většina </w:t>
      </w:r>
      <w:r w:rsidR="00562D14">
        <w:rPr>
          <w:color w:val="000000"/>
        </w:rPr>
        <w:t>z počtu volených zastupitelů v ČR, přičemž tento podíl neustále v průběhu času roste. Jak si tento úspěch nezávislých kandidátů vysvětlit? Sdružení nezávislých kandidátů či jednotliví samostatně kandidující nezávislí kandidáti jsou úspěšní</w:t>
      </w:r>
      <w:r w:rsidR="00B31DD1">
        <w:rPr>
          <w:color w:val="000000"/>
        </w:rPr>
        <w:t xml:space="preserve"> </w:t>
      </w:r>
      <w:r w:rsidR="00DE632D">
        <w:rPr>
          <w:color w:val="000000"/>
        </w:rPr>
        <w:t xml:space="preserve">zejména v menších obcích, kde </w:t>
      </w:r>
      <w:r w:rsidR="00422853">
        <w:rPr>
          <w:color w:val="000000"/>
        </w:rPr>
        <w:t xml:space="preserve">často </w:t>
      </w:r>
      <w:r w:rsidR="00DE632D">
        <w:rPr>
          <w:color w:val="000000"/>
        </w:rPr>
        <w:t xml:space="preserve">žádný kandidát </w:t>
      </w:r>
      <w:r w:rsidR="00775131">
        <w:rPr>
          <w:color w:val="000000"/>
        </w:rPr>
        <w:t>nav</w:t>
      </w:r>
      <w:r w:rsidR="00F3380A">
        <w:rPr>
          <w:color w:val="000000"/>
        </w:rPr>
        <w:t>ržený</w:t>
      </w:r>
      <w:r w:rsidR="00775131">
        <w:rPr>
          <w:color w:val="000000"/>
        </w:rPr>
        <w:t xml:space="preserve"> </w:t>
      </w:r>
      <w:r w:rsidR="00DE632D">
        <w:rPr>
          <w:color w:val="000000"/>
        </w:rPr>
        <w:t>pol</w:t>
      </w:r>
      <w:r w:rsidR="00775131">
        <w:rPr>
          <w:color w:val="000000"/>
        </w:rPr>
        <w:t>itickou stranou</w:t>
      </w:r>
      <w:r w:rsidR="00DE632D">
        <w:rPr>
          <w:color w:val="000000"/>
        </w:rPr>
        <w:t xml:space="preserve"> nebo hnutí</w:t>
      </w:r>
      <w:r w:rsidR="00775131">
        <w:rPr>
          <w:color w:val="000000"/>
        </w:rPr>
        <w:t>m</w:t>
      </w:r>
      <w:r w:rsidR="00DE632D">
        <w:rPr>
          <w:color w:val="000000"/>
        </w:rPr>
        <w:t xml:space="preserve"> ani nekandiduje. Vzhledem k tomu, že v České republice existuje přes 6 200 obcí, přičemž mezi nimi převažují obce s menším počtem obyvatel, je logické, že právě obce s nižším počtem obyvatel mají rozhodující podíl na celkovém počtu a struktuře zvolených zastupitelů.</w:t>
      </w:r>
      <w:r w:rsidR="009A0044">
        <w:rPr>
          <w:color w:val="000000"/>
        </w:rPr>
        <w:t xml:space="preserve"> Nezávislí kandidáti jsou tak podle procent získaných mandátů na celostátní úrovni úspěšnější než </w:t>
      </w:r>
      <w:r w:rsidR="00CE03B7">
        <w:rPr>
          <w:color w:val="000000"/>
        </w:rPr>
        <w:t>jsou podle procenta získaných hlasů (viz předchozí graf</w:t>
      </w:r>
      <w:r w:rsidR="00F3380A">
        <w:rPr>
          <w:color w:val="000000"/>
        </w:rPr>
        <w:t xml:space="preserve"> G 11</w:t>
      </w:r>
      <w:r w:rsidR="00CE03B7">
        <w:rPr>
          <w:color w:val="000000"/>
        </w:rPr>
        <w:t xml:space="preserve">). Ostatně to je případ i KDU-ČSL, která ve většině komunálních voleb získala (kromě voleb z let 2006 a 2010) nejvíce mandátů ze všech „tradičních“ politických stran, přestože získala z těchto stran nejméně hlasů. </w:t>
      </w:r>
    </w:p>
    <w:p w:rsidR="00CE03B7" w:rsidRDefault="00CE03B7" w:rsidP="00C01207">
      <w:pPr>
        <w:spacing w:line="300" w:lineRule="exact"/>
        <w:jc w:val="both"/>
        <w:rPr>
          <w:color w:val="000000"/>
        </w:rPr>
      </w:pPr>
    </w:p>
    <w:p w:rsidR="00824749" w:rsidRDefault="00CE03B7" w:rsidP="00824749">
      <w:pPr>
        <w:spacing w:line="300" w:lineRule="exact"/>
        <w:jc w:val="both"/>
        <w:rPr>
          <w:color w:val="000000"/>
        </w:rPr>
      </w:pPr>
      <w:r>
        <w:rPr>
          <w:color w:val="000000"/>
        </w:rPr>
        <w:tab/>
        <w:t>Naopak navrhující strany, které jsou úspěšnější spíš</w:t>
      </w:r>
      <w:r w:rsidR="00AA1FBE">
        <w:rPr>
          <w:color w:val="000000"/>
        </w:rPr>
        <w:t xml:space="preserve">e ve větších městech, dosahují </w:t>
      </w:r>
      <w:r w:rsidR="00B606B8">
        <w:rPr>
          <w:color w:val="000000"/>
        </w:rPr>
        <w:t>sice</w:t>
      </w:r>
      <w:r w:rsidR="00AA1FBE">
        <w:rPr>
          <w:color w:val="000000"/>
        </w:rPr>
        <w:t xml:space="preserve"> na</w:t>
      </w:r>
      <w:r w:rsidR="00B606B8">
        <w:rPr>
          <w:color w:val="000000"/>
        </w:rPr>
        <w:t xml:space="preserve"> vysoké procento z celkového počtu platných hlasů, na druhou stranu </w:t>
      </w:r>
      <w:r w:rsidR="00AA1FBE">
        <w:rPr>
          <w:color w:val="000000"/>
        </w:rPr>
        <w:t>jim náleží</w:t>
      </w:r>
      <w:r w:rsidR="00B606B8">
        <w:rPr>
          <w:color w:val="000000"/>
        </w:rPr>
        <w:t xml:space="preserve"> nižší počet z celkového počtu </w:t>
      </w:r>
      <w:r w:rsidR="00824749">
        <w:rPr>
          <w:color w:val="000000"/>
        </w:rPr>
        <w:t xml:space="preserve">rozdělovaných </w:t>
      </w:r>
      <w:r w:rsidR="00B606B8">
        <w:rPr>
          <w:color w:val="000000"/>
        </w:rPr>
        <w:t>mandátů.</w:t>
      </w:r>
      <w:r w:rsidR="00AA1FBE">
        <w:rPr>
          <w:color w:val="000000"/>
        </w:rPr>
        <w:t xml:space="preserve"> Tuto disproporci způsobuje to, že volič disponuje v komunálních volbách různým počtem hlasů v závislosti na velikosti zastupitelstva, do kterého volí.</w:t>
      </w:r>
      <w:r w:rsidR="00B606B8">
        <w:rPr>
          <w:color w:val="000000"/>
        </w:rPr>
        <w:t xml:space="preserve"> Typickým příkladem navrhující strany, která na získání 1 </w:t>
      </w:r>
      <w:r w:rsidR="00AA1FBE">
        <w:rPr>
          <w:color w:val="000000"/>
        </w:rPr>
        <w:t xml:space="preserve">mandátu potřebuje větší </w:t>
      </w:r>
      <w:r w:rsidR="00B606B8">
        <w:rPr>
          <w:color w:val="000000"/>
        </w:rPr>
        <w:t>počet</w:t>
      </w:r>
      <w:r w:rsidR="00AA1FBE">
        <w:rPr>
          <w:color w:val="000000"/>
        </w:rPr>
        <w:t xml:space="preserve"> hlasů, je ODS. Tato sk</w:t>
      </w:r>
      <w:r w:rsidR="00F3380A">
        <w:rPr>
          <w:color w:val="000000"/>
        </w:rPr>
        <w:t>utečnost je patrna i z grafu G 12</w:t>
      </w:r>
      <w:r w:rsidR="00AA1FBE">
        <w:rPr>
          <w:color w:val="000000"/>
        </w:rPr>
        <w:t xml:space="preserve">, </w:t>
      </w:r>
      <w:r w:rsidR="00824749">
        <w:rPr>
          <w:color w:val="000000"/>
        </w:rPr>
        <w:t>kdy na základě</w:t>
      </w:r>
      <w:r w:rsidR="005830C2">
        <w:rPr>
          <w:color w:val="000000"/>
        </w:rPr>
        <w:t xml:space="preserve"> relativně</w:t>
      </w:r>
      <w:r w:rsidR="00824749">
        <w:rPr>
          <w:color w:val="000000"/>
        </w:rPr>
        <w:t xml:space="preserve"> vysoké voličské „příz</w:t>
      </w:r>
      <w:r w:rsidR="00B67CF8">
        <w:rPr>
          <w:color w:val="000000"/>
        </w:rPr>
        <w:t>ně“ získáva</w:t>
      </w:r>
      <w:r w:rsidR="00824749">
        <w:rPr>
          <w:color w:val="000000"/>
        </w:rPr>
        <w:t xml:space="preserve">la ODS v letech 1994-2006 jen 8 - 12 % mandátů v ČR. </w:t>
      </w:r>
      <w:r w:rsidR="00AA1FBE">
        <w:rPr>
          <w:color w:val="000000"/>
        </w:rPr>
        <w:t xml:space="preserve">    </w:t>
      </w:r>
    </w:p>
    <w:p w:rsidR="00824749" w:rsidRDefault="00824749" w:rsidP="00824749">
      <w:pPr>
        <w:spacing w:line="300" w:lineRule="exact"/>
        <w:jc w:val="both"/>
        <w:rPr>
          <w:color w:val="000000"/>
        </w:rPr>
      </w:pPr>
    </w:p>
    <w:p w:rsidR="00CE03B7" w:rsidRDefault="00824749" w:rsidP="00824749">
      <w:pPr>
        <w:spacing w:line="300" w:lineRule="exact"/>
        <w:jc w:val="both"/>
        <w:rPr>
          <w:color w:val="000000"/>
        </w:rPr>
      </w:pPr>
      <w:r>
        <w:rPr>
          <w:color w:val="000000"/>
        </w:rPr>
        <w:tab/>
        <w:t>Vývojový trend</w:t>
      </w:r>
      <w:r w:rsidR="005830C2">
        <w:rPr>
          <w:color w:val="000000"/>
        </w:rPr>
        <w:t xml:space="preserve"> postupně klesající volební podpory „tradičních“ politických stran ve prospěch zvyšování voličské „obliby“ nových politických stran a hnutí, resp. nezávislých kandidátů</w:t>
      </w:r>
      <w:r w:rsidR="005416C8">
        <w:rPr>
          <w:color w:val="000000"/>
        </w:rPr>
        <w:t xml:space="preserve"> se odráží i na vývo</w:t>
      </w:r>
      <w:r w:rsidR="00F3380A">
        <w:rPr>
          <w:color w:val="000000"/>
        </w:rPr>
        <w:t>ji rozdělení mandátů v grafu G 12</w:t>
      </w:r>
      <w:r w:rsidR="005416C8">
        <w:rPr>
          <w:color w:val="000000"/>
        </w:rPr>
        <w:t>.</w:t>
      </w:r>
      <w:r w:rsidR="005830C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B606B8">
        <w:rPr>
          <w:color w:val="000000"/>
        </w:rPr>
        <w:t xml:space="preserve">    </w:t>
      </w:r>
    </w:p>
    <w:p w:rsidR="009A0044" w:rsidRDefault="009A0044" w:rsidP="00C01207">
      <w:pPr>
        <w:spacing w:line="300" w:lineRule="exact"/>
        <w:jc w:val="both"/>
        <w:rPr>
          <w:color w:val="000000"/>
        </w:rPr>
      </w:pPr>
    </w:p>
    <w:p w:rsidR="005416C8" w:rsidRDefault="00803CBB" w:rsidP="005416C8">
      <w:pPr>
        <w:spacing w:line="300" w:lineRule="exact"/>
        <w:jc w:val="both"/>
        <w:rPr>
          <w:b/>
          <w:color w:val="000000"/>
        </w:rPr>
      </w:pPr>
      <w:r>
        <w:rPr>
          <w:b/>
          <w:color w:val="000000"/>
        </w:rPr>
        <w:t>G 12</w:t>
      </w:r>
      <w:r w:rsidR="005416C8" w:rsidRPr="00170F21">
        <w:rPr>
          <w:b/>
          <w:color w:val="000000"/>
        </w:rPr>
        <w:t xml:space="preserve"> Rozdělení mandátů mezi j</w:t>
      </w:r>
      <w:r w:rsidR="005416C8">
        <w:rPr>
          <w:b/>
          <w:color w:val="000000"/>
        </w:rPr>
        <w:t xml:space="preserve">ednotlivé </w:t>
      </w:r>
      <w:r w:rsidR="00596FB3">
        <w:rPr>
          <w:b/>
          <w:color w:val="000000"/>
        </w:rPr>
        <w:t xml:space="preserve">navrhující </w:t>
      </w:r>
      <w:r w:rsidR="005416C8">
        <w:rPr>
          <w:b/>
          <w:color w:val="000000"/>
        </w:rPr>
        <w:t>strany v %</w:t>
      </w:r>
    </w:p>
    <w:p w:rsidR="009A0044" w:rsidRDefault="009A0044" w:rsidP="00C01207">
      <w:pPr>
        <w:spacing w:line="300" w:lineRule="exact"/>
        <w:jc w:val="both"/>
        <w:rPr>
          <w:color w:val="000000"/>
        </w:rPr>
      </w:pPr>
    </w:p>
    <w:p w:rsidR="009A0044" w:rsidRDefault="00ED66B8" w:rsidP="00C01207">
      <w:pPr>
        <w:spacing w:line="300" w:lineRule="exact"/>
        <w:jc w:val="both"/>
        <w:rPr>
          <w:color w:val="000000"/>
        </w:rPr>
      </w:pPr>
      <w:r>
        <w:rPr>
          <w:noProof/>
        </w:rPr>
        <w:pict>
          <v:shape id="_x0000_s1031" type="#_x0000_t75" style="position:absolute;left:0;text-align:left;margin-left:-12.3pt;margin-top:1.3pt;width:453pt;height:258.75pt;z-index:3">
            <v:imagedata r:id="rId9" o:title=""/>
          </v:shape>
        </w:pict>
      </w:r>
    </w:p>
    <w:p w:rsidR="009A0044" w:rsidRDefault="009A0044" w:rsidP="00C01207">
      <w:pPr>
        <w:spacing w:line="300" w:lineRule="exact"/>
        <w:jc w:val="both"/>
        <w:rPr>
          <w:color w:val="000000"/>
        </w:rPr>
      </w:pPr>
    </w:p>
    <w:p w:rsidR="00132205" w:rsidRDefault="00422853" w:rsidP="00C01207">
      <w:pPr>
        <w:spacing w:line="300" w:lineRule="exact"/>
        <w:jc w:val="both"/>
        <w:rPr>
          <w:color w:val="000000"/>
        </w:rPr>
      </w:pPr>
      <w:r>
        <w:rPr>
          <w:color w:val="000000"/>
        </w:rPr>
        <w:t xml:space="preserve"> </w:t>
      </w:r>
      <w:r w:rsidR="00DE632D">
        <w:rPr>
          <w:color w:val="000000"/>
        </w:rPr>
        <w:t xml:space="preserve">  </w:t>
      </w:r>
      <w:r w:rsidR="00C01207">
        <w:rPr>
          <w:color w:val="000000"/>
        </w:rPr>
        <w:t xml:space="preserve"> </w:t>
      </w:r>
      <w:r w:rsidR="00132205">
        <w:rPr>
          <w:color w:val="000000"/>
        </w:rPr>
        <w:t xml:space="preserve"> </w:t>
      </w:r>
    </w:p>
    <w:p w:rsidR="005416C8" w:rsidRDefault="005416C8" w:rsidP="00C01207">
      <w:pPr>
        <w:spacing w:line="300" w:lineRule="exact"/>
        <w:jc w:val="both"/>
        <w:rPr>
          <w:color w:val="000000"/>
        </w:rPr>
      </w:pPr>
    </w:p>
    <w:p w:rsidR="005416C8" w:rsidRDefault="005416C8" w:rsidP="00C01207">
      <w:pPr>
        <w:spacing w:line="300" w:lineRule="exact"/>
        <w:jc w:val="both"/>
        <w:rPr>
          <w:color w:val="000000"/>
        </w:rPr>
      </w:pPr>
    </w:p>
    <w:p w:rsidR="005416C8" w:rsidRDefault="005416C8" w:rsidP="00C01207">
      <w:pPr>
        <w:spacing w:line="300" w:lineRule="exact"/>
        <w:jc w:val="both"/>
        <w:rPr>
          <w:color w:val="000000"/>
        </w:rPr>
      </w:pPr>
    </w:p>
    <w:p w:rsidR="005416C8" w:rsidRDefault="005416C8" w:rsidP="00C01207">
      <w:pPr>
        <w:spacing w:line="300" w:lineRule="exact"/>
        <w:jc w:val="both"/>
        <w:rPr>
          <w:color w:val="000000"/>
        </w:rPr>
      </w:pPr>
    </w:p>
    <w:p w:rsidR="005416C8" w:rsidRDefault="005416C8" w:rsidP="00C01207">
      <w:pPr>
        <w:spacing w:line="300" w:lineRule="exact"/>
        <w:jc w:val="both"/>
        <w:rPr>
          <w:color w:val="000000"/>
        </w:rPr>
      </w:pPr>
    </w:p>
    <w:p w:rsidR="005416C8" w:rsidRDefault="005416C8" w:rsidP="00C01207">
      <w:pPr>
        <w:spacing w:line="300" w:lineRule="exact"/>
        <w:jc w:val="both"/>
        <w:rPr>
          <w:color w:val="000000"/>
        </w:rPr>
      </w:pPr>
    </w:p>
    <w:p w:rsidR="005416C8" w:rsidRDefault="005416C8" w:rsidP="00C01207">
      <w:pPr>
        <w:spacing w:line="300" w:lineRule="exact"/>
        <w:jc w:val="both"/>
        <w:rPr>
          <w:color w:val="000000"/>
        </w:rPr>
      </w:pPr>
    </w:p>
    <w:p w:rsidR="005416C8" w:rsidRDefault="005416C8" w:rsidP="00C01207">
      <w:pPr>
        <w:spacing w:line="300" w:lineRule="exact"/>
        <w:jc w:val="both"/>
        <w:rPr>
          <w:color w:val="000000"/>
        </w:rPr>
      </w:pPr>
    </w:p>
    <w:p w:rsidR="005416C8" w:rsidRDefault="005416C8" w:rsidP="00C01207">
      <w:pPr>
        <w:spacing w:line="300" w:lineRule="exact"/>
        <w:jc w:val="both"/>
        <w:rPr>
          <w:color w:val="000000"/>
        </w:rPr>
      </w:pPr>
    </w:p>
    <w:p w:rsidR="005416C8" w:rsidRDefault="005416C8" w:rsidP="00C01207">
      <w:pPr>
        <w:spacing w:line="300" w:lineRule="exact"/>
        <w:jc w:val="both"/>
        <w:rPr>
          <w:color w:val="000000"/>
        </w:rPr>
      </w:pPr>
    </w:p>
    <w:p w:rsidR="005416C8" w:rsidRDefault="005416C8" w:rsidP="00C01207">
      <w:pPr>
        <w:spacing w:line="300" w:lineRule="exact"/>
        <w:jc w:val="both"/>
        <w:rPr>
          <w:color w:val="000000"/>
        </w:rPr>
      </w:pPr>
    </w:p>
    <w:p w:rsidR="005416C8" w:rsidRDefault="005416C8" w:rsidP="00C01207">
      <w:pPr>
        <w:spacing w:line="300" w:lineRule="exact"/>
        <w:jc w:val="both"/>
        <w:rPr>
          <w:color w:val="000000"/>
        </w:rPr>
      </w:pPr>
    </w:p>
    <w:p w:rsidR="005416C8" w:rsidRDefault="005416C8" w:rsidP="00C01207">
      <w:pPr>
        <w:spacing w:line="300" w:lineRule="exact"/>
        <w:jc w:val="both"/>
        <w:rPr>
          <w:color w:val="000000"/>
        </w:rPr>
      </w:pPr>
    </w:p>
    <w:p w:rsidR="00803CBB" w:rsidRDefault="00803CBB" w:rsidP="00803CB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szCs w:val="26"/>
        </w:rPr>
        <w:lastRenderedPageBreak/>
        <w:t xml:space="preserve">4.4. </w:t>
      </w:r>
      <w:r>
        <w:rPr>
          <w:rFonts w:ascii="Arial" w:hAnsi="Arial"/>
          <w:b/>
          <w:color w:val="000000"/>
          <w:u w:val="single"/>
        </w:rPr>
        <w:t>Územní diferenciace úspěšnosti vybraných navrhujících stran</w:t>
      </w:r>
      <w:r>
        <w:rPr>
          <w:rFonts w:ascii="Arial" w:hAnsi="Arial"/>
          <w:b/>
          <w:color w:val="000000"/>
        </w:rPr>
        <w:t xml:space="preserve">  </w:t>
      </w:r>
    </w:p>
    <w:p w:rsidR="00803CBB" w:rsidRDefault="00803CBB" w:rsidP="00C01207">
      <w:pPr>
        <w:spacing w:line="300" w:lineRule="exact"/>
        <w:jc w:val="both"/>
      </w:pPr>
    </w:p>
    <w:p w:rsidR="00936F69" w:rsidRDefault="00442E58" w:rsidP="00803CBB">
      <w:pPr>
        <w:spacing w:line="300" w:lineRule="exact"/>
        <w:ind w:firstLine="708"/>
        <w:jc w:val="both"/>
      </w:pPr>
      <w:r>
        <w:t xml:space="preserve">Samozřejmě, že </w:t>
      </w:r>
      <w:r w:rsidR="00936F69">
        <w:t xml:space="preserve">politické </w:t>
      </w:r>
      <w:r>
        <w:t>strany nedosahují v prostoru České republiky</w:t>
      </w:r>
      <w:r w:rsidR="00F84598">
        <w:t xml:space="preserve"> rovnocenných volebních úspěchů. </w:t>
      </w:r>
      <w:r w:rsidR="00936F69">
        <w:t>Územní diferenciaci volebních výsledků vybraných navrhujících stran nabídnou následující odstavce.</w:t>
      </w:r>
    </w:p>
    <w:p w:rsidR="00936F69" w:rsidRDefault="00936F69" w:rsidP="00C01207">
      <w:pPr>
        <w:spacing w:line="300" w:lineRule="exact"/>
        <w:jc w:val="both"/>
      </w:pPr>
    </w:p>
    <w:p w:rsidR="00FB481C" w:rsidRDefault="00936F69" w:rsidP="00936F69">
      <w:pPr>
        <w:spacing w:line="300" w:lineRule="exact"/>
        <w:ind w:firstLine="708"/>
        <w:jc w:val="both"/>
      </w:pPr>
      <w:r>
        <w:t xml:space="preserve">Zástupci ODS kandidovali ve sledovaném období ve všech správních obvodech ORP (vyjma SO ORP Náměšť nad Oslavou v roce 2002). Nejlepších výsledků strana dosahuje především v okolí Prahy (Kladno, Mladá Boleslav) a v částech jižních (Týn nad Vltavou, České Budějovice) a východních Čech (Nová Paka, Trutnov, Králíky). </w:t>
      </w:r>
      <w:r w:rsidR="00CF5A00">
        <w:t xml:space="preserve">Naopak v méně zalidněných pohraničních oblastech </w:t>
      </w:r>
      <w:r w:rsidR="00B67CF8">
        <w:t xml:space="preserve">severních a západních </w:t>
      </w:r>
      <w:r w:rsidR="00CF5A00">
        <w:t>Čech a Moravy dopadává ODS zpravidla hůře. Velkou roli v případě ODS hraje počet obyvatel správního obvodu ORP, strana získala během sledovaného období podstatné podíly mandátů v těch správních obvodech ORP, na</w:t>
      </w:r>
      <w:r w:rsidR="00356935">
        <w:t xml:space="preserve"> jejichž území jsou lokalizována</w:t>
      </w:r>
      <w:r w:rsidR="00CF5A00">
        <w:t xml:space="preserve"> statutární města</w:t>
      </w:r>
      <w:r w:rsidR="00356935">
        <w:t>, kde se ODS těšila významné podpoře nehledě na region. Přestože se lepší výsledky ODS koncentrují do Čech, tak se straně dařilo oslovovat významný počet voličů i na územích Jihomoravského a Moravskoslezského kraje (platí opět především pro populačně silné správní obvody ORP).</w:t>
      </w:r>
      <w:r w:rsidR="007379DE">
        <w:t xml:space="preserve"> </w:t>
      </w:r>
      <w:r w:rsidR="00844EF1">
        <w:t>Významný p</w:t>
      </w:r>
      <w:r w:rsidR="007379DE">
        <w:t>ropad volebních zisků ODS v posledních dvou komunálních volbách</w:t>
      </w:r>
      <w:r w:rsidR="009E7675">
        <w:t xml:space="preserve"> probíhal ve většině správních obvodů ORP. Absolutně ubylo ODS nejvíce mandátů v zastupitelstvu hlavního města Prahy. V roce 2014 patřilo straně jen 8 mandátů, přičemž ještě v roce 2006 ODS získala 42 mandátů. </w:t>
      </w:r>
      <w:r w:rsidR="00CF5A00">
        <w:t xml:space="preserve">  </w:t>
      </w:r>
    </w:p>
    <w:p w:rsidR="00FB481C" w:rsidRDefault="00FB481C" w:rsidP="00936F69">
      <w:pPr>
        <w:spacing w:line="300" w:lineRule="exact"/>
        <w:ind w:firstLine="708"/>
        <w:jc w:val="both"/>
      </w:pPr>
    </w:p>
    <w:p w:rsidR="00596FB3" w:rsidRDefault="00FB481C" w:rsidP="00936F69">
      <w:pPr>
        <w:spacing w:line="300" w:lineRule="exact"/>
        <w:ind w:firstLine="708"/>
        <w:jc w:val="both"/>
      </w:pPr>
      <w:r>
        <w:t xml:space="preserve">ČSSD při volbách do zastupitelstev obcí v roce 1994 nebyla </w:t>
      </w:r>
      <w:r w:rsidR="00E56878">
        <w:t>ještě plně etablovanou stranou nově se rodícího politického spektra České republiky, ostatně proto strana nedokázala vyslat v 11 SO ORP žádného uchazeče do komunálních voleb. Většina z</w:t>
      </w:r>
      <w:r w:rsidR="00596FB3">
        <w:t xml:space="preserve"> těchto</w:t>
      </w:r>
      <w:r w:rsidR="00E56878">
        <w:t xml:space="preserve"> 11 SO ORP byla lokalizována na Moravě, která se během následujícího vývoje stala územím, kde strana dosahuje </w:t>
      </w:r>
      <w:r w:rsidR="00596FB3">
        <w:t>nej</w:t>
      </w:r>
      <w:r w:rsidR="00E56878">
        <w:t>lepších volebních výsledků. To platí zejména o jižní Moravě (např. SO ORP Vyškov) a Moravskoslezském kraji (SO ORP Frýdek-Místek). V Čechách je strana tradičně nejúspěšnější na územích Ústeckého a Karlovarského kraje.</w:t>
      </w:r>
      <w:r w:rsidR="00596FB3">
        <w:t xml:space="preserve"> Méně úspěšná byla strana na území Prahy, podobně jako ve středních a jižních Čechách, které tradičně „patřily“ ODS nebo v posledních letech náleží „novějším“ politickým stranám jako je kupříkladu TOP 09.</w:t>
      </w:r>
    </w:p>
    <w:p w:rsidR="00596FB3" w:rsidRDefault="00596FB3" w:rsidP="00936F69">
      <w:pPr>
        <w:spacing w:line="300" w:lineRule="exact"/>
        <w:ind w:firstLine="708"/>
        <w:jc w:val="both"/>
      </w:pPr>
    </w:p>
    <w:p w:rsidR="008059D2" w:rsidRDefault="00596FB3" w:rsidP="008059D2">
      <w:pPr>
        <w:spacing w:line="300" w:lineRule="exact"/>
        <w:ind w:firstLine="708"/>
        <w:jc w:val="both"/>
      </w:pPr>
      <w:r>
        <w:t>KSČM je stranou s relativně rovnoměrně rozmístěnou základnou, jelikož strana navrhla</w:t>
      </w:r>
      <w:r w:rsidR="00675468">
        <w:t xml:space="preserve"> alespoň jednoho</w:t>
      </w:r>
      <w:r>
        <w:t xml:space="preserve"> kandidáta ve všech správních obvodech ORP a </w:t>
      </w:r>
      <w:r w:rsidR="00675468">
        <w:t>ve všech sledovaných volbách. Nejlepší výsledky KSČM najdeme v tradičních průmyslových regionech Ústeckého (Bílina) a Moravskoslezského kraje (Havířov, Karviná). Naopak v pásu území, táhnoucím se od Krkonoš až po Šumavu a zahrnujícím i Prahu</w:t>
      </w:r>
      <w:r w:rsidR="00193B78">
        <w:t>,</w:t>
      </w:r>
      <w:r w:rsidR="00675468">
        <w:t xml:space="preserve"> strana dosahuje na relativně nižší podíly získávaných mandátů. Méně úspěšná je KSČM rovněž v hustěji zalidněních správních obvodech ORP (vyjma severních Čech a Moravskoslezského kraje).  </w:t>
      </w:r>
      <w:r>
        <w:t xml:space="preserve">  </w:t>
      </w:r>
    </w:p>
    <w:p w:rsidR="008059D2" w:rsidRDefault="008059D2" w:rsidP="008059D2">
      <w:pPr>
        <w:spacing w:line="300" w:lineRule="exact"/>
        <w:ind w:firstLine="708"/>
        <w:jc w:val="both"/>
      </w:pPr>
    </w:p>
    <w:p w:rsidR="00EF1459" w:rsidRDefault="008059D2" w:rsidP="008059D2">
      <w:pPr>
        <w:spacing w:line="300" w:lineRule="exact"/>
        <w:ind w:firstLine="708"/>
        <w:jc w:val="both"/>
      </w:pPr>
      <w:r>
        <w:t xml:space="preserve">KDU-ČSL je v komunálních volbách, stejně jako v ostatních volbách s poměrným volebním systémem, především moravskou stranou. Prostorový vzor úspěšnosti volebních výsledků by se dal při určité míře zjednodušení shrnout těmito slovy: strana </w:t>
      </w:r>
      <w:r w:rsidR="00902B85">
        <w:t xml:space="preserve">navrhuje nižší počet kandidátů do voleb ve středních, západních (Plzeňský a Karlovarský kraj) a severních Čechách (Ústecký a Liberecký kraj), přičemž v těchto oblastech ČR zpravidla KDU-ČSL příliš neuspěje. Kupříkladu ve správním obvodě ORP Bílina </w:t>
      </w:r>
      <w:r w:rsidR="00821028">
        <w:t>strana do komunálních voleb doposud nenavrhla jediného kandidáta.</w:t>
      </w:r>
      <w:r w:rsidR="00CB6096">
        <w:t xml:space="preserve"> Naopak v moravských SO ORP strana dosahuje největšího podílu</w:t>
      </w:r>
      <w:r w:rsidR="00775131">
        <w:t xml:space="preserve"> získávaných mandátů. Nejlepší výsledky strany se koncentrují do správních obvodů ORP Jihomoravského a Zlínského kraje. Silné zastoupení </w:t>
      </w:r>
      <w:r w:rsidR="00775131">
        <w:lastRenderedPageBreak/>
        <w:t xml:space="preserve">v zastupitelstvech obcí měla KDU-ČSL i na obou stranách česko-moravského pomezí a v jižních Čechách. Obecně lze také říci, že </w:t>
      </w:r>
      <w:r w:rsidR="00EF1459">
        <w:t>procentuálně</w:t>
      </w:r>
      <w:r w:rsidR="00775131">
        <w:t xml:space="preserve"> ví</w:t>
      </w:r>
      <w:r w:rsidR="00EF1459">
        <w:t>ce mandátů získává KDU-ČSL v rurálních správních obvodech ORP, kdežto v urbánních SO ORP je strana úspěšná méně.</w:t>
      </w:r>
    </w:p>
    <w:p w:rsidR="00EF1459" w:rsidRDefault="00EF1459" w:rsidP="008059D2">
      <w:pPr>
        <w:spacing w:line="300" w:lineRule="exact"/>
        <w:ind w:firstLine="708"/>
        <w:jc w:val="both"/>
      </w:pPr>
    </w:p>
    <w:p w:rsidR="005416C8" w:rsidRPr="00C000D9" w:rsidRDefault="00EF1459" w:rsidP="008059D2">
      <w:pPr>
        <w:spacing w:line="300" w:lineRule="exact"/>
        <w:ind w:firstLine="708"/>
        <w:jc w:val="both"/>
      </w:pPr>
      <w:r>
        <w:t>Zastoupení nezávislých kandidátů, pokud jde o mandáty v zastupitelstvech, je do značné míry inverzní k zastoupení „dlouhodobě úspěšných“ parlamentních stran. Ve správních obvodech ORP, kde se o post zastupitele uchází relativně menší počet kandidátů, které do voleb navrhuje politická strana nebo hnutí, dosahují logicky většího podílu získávaných mandátů právě nezávislí kandidáti. Takovými SO ORP jsou typicky periferní a méně zalidně</w:t>
      </w:r>
      <w:r w:rsidR="009845FD">
        <w:t>ná území ČR. Příkladem mohou být například SO ORP Horažďovice a Trutnov, kde v posledních komunálních volbách v roce 2014 získali nezávislí kandidáti přes 90 % rozdělovaných mandátů. Zajímavou</w:t>
      </w:r>
      <w:r w:rsidR="0037546B">
        <w:t xml:space="preserve"> informací</w:t>
      </w:r>
      <w:r w:rsidR="009845FD">
        <w:t xml:space="preserve"> je skutečnost, že i ve volebních ziscích nezávislých kandidátů existuje rozdíl mez Čechy a Moravou, kde bývají nezávislí kandidáti zpravidla méně úspěšní.   </w:t>
      </w:r>
      <w:r>
        <w:t xml:space="preserve">   </w:t>
      </w:r>
      <w:r w:rsidR="00775131">
        <w:t xml:space="preserve">   </w:t>
      </w:r>
      <w:r w:rsidR="00821028">
        <w:t xml:space="preserve"> </w:t>
      </w:r>
    </w:p>
    <w:sectPr w:rsidR="005416C8" w:rsidRPr="00C000D9" w:rsidSect="001E7370">
      <w:footerReference w:type="even" r:id="rId10"/>
      <w:footerReference w:type="default" r:id="rId11"/>
      <w:pgSz w:w="11905" w:h="16837" w:code="9"/>
      <w:pgMar w:top="1416" w:right="1416" w:bottom="1416" w:left="1416" w:header="708" w:footer="708" w:gutter="0"/>
      <w:pgNumType w:start="5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FFC" w:rsidRDefault="00C87FFC">
      <w:r>
        <w:separator/>
      </w:r>
    </w:p>
  </w:endnote>
  <w:endnote w:type="continuationSeparator" w:id="0">
    <w:p w:rsidR="00C87FFC" w:rsidRDefault="00C87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3C" w:rsidRDefault="001E73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7003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003C" w:rsidRDefault="00E7003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3C" w:rsidRDefault="00E7003C">
    <w:pPr>
      <w:pStyle w:val="Zpat"/>
      <w:framePr w:wrap="around" w:vAnchor="text" w:hAnchor="margin" w:xAlign="center" w:y="1"/>
      <w:rPr>
        <w:rStyle w:val="slostrnky"/>
      </w:rPr>
    </w:pPr>
  </w:p>
  <w:p w:rsidR="00E7003C" w:rsidRDefault="00E7003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FFC" w:rsidRDefault="00C87FFC">
      <w:r>
        <w:separator/>
      </w:r>
    </w:p>
  </w:footnote>
  <w:footnote w:type="continuationSeparator" w:id="0">
    <w:p w:rsidR="00C87FFC" w:rsidRDefault="00C87F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C71"/>
    <w:multiLevelType w:val="hybridMultilevel"/>
    <w:tmpl w:val="F7E6D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C6158"/>
    <w:multiLevelType w:val="hybridMultilevel"/>
    <w:tmpl w:val="FDEE21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73978"/>
    <w:multiLevelType w:val="hybridMultilevel"/>
    <w:tmpl w:val="D0782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92BDD"/>
    <w:multiLevelType w:val="hybridMultilevel"/>
    <w:tmpl w:val="F8487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D4B00"/>
    <w:multiLevelType w:val="hybridMultilevel"/>
    <w:tmpl w:val="1430E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E0FAB"/>
    <w:multiLevelType w:val="hybridMultilevel"/>
    <w:tmpl w:val="91445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13C98"/>
    <w:multiLevelType w:val="hybridMultilevel"/>
    <w:tmpl w:val="0D34FB12"/>
    <w:lvl w:ilvl="0" w:tplc="644AFE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A8D0313"/>
    <w:multiLevelType w:val="hybridMultilevel"/>
    <w:tmpl w:val="3BB63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F389A"/>
    <w:multiLevelType w:val="hybridMultilevel"/>
    <w:tmpl w:val="74542FC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B75DF1"/>
    <w:multiLevelType w:val="hybridMultilevel"/>
    <w:tmpl w:val="7BB657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6956CF"/>
    <w:multiLevelType w:val="hybridMultilevel"/>
    <w:tmpl w:val="2670E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83720"/>
    <w:multiLevelType w:val="hybridMultilevel"/>
    <w:tmpl w:val="020E1D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426D50"/>
    <w:multiLevelType w:val="hybridMultilevel"/>
    <w:tmpl w:val="B26A286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08F"/>
    <w:rsid w:val="00015DE4"/>
    <w:rsid w:val="00032905"/>
    <w:rsid w:val="00070386"/>
    <w:rsid w:val="00073D58"/>
    <w:rsid w:val="00075DE4"/>
    <w:rsid w:val="00094F8F"/>
    <w:rsid w:val="000974CE"/>
    <w:rsid w:val="000B44F5"/>
    <w:rsid w:val="000B5239"/>
    <w:rsid w:val="000E37ED"/>
    <w:rsid w:val="00132205"/>
    <w:rsid w:val="001531D3"/>
    <w:rsid w:val="00193B78"/>
    <w:rsid w:val="001A003C"/>
    <w:rsid w:val="001E7370"/>
    <w:rsid w:val="001E78D2"/>
    <w:rsid w:val="001F65B4"/>
    <w:rsid w:val="00204554"/>
    <w:rsid w:val="002151E0"/>
    <w:rsid w:val="0026607F"/>
    <w:rsid w:val="0028220E"/>
    <w:rsid w:val="002B12FA"/>
    <w:rsid w:val="002C4544"/>
    <w:rsid w:val="002C6230"/>
    <w:rsid w:val="002D3288"/>
    <w:rsid w:val="002F4927"/>
    <w:rsid w:val="003145D3"/>
    <w:rsid w:val="00317840"/>
    <w:rsid w:val="0031795C"/>
    <w:rsid w:val="00321344"/>
    <w:rsid w:val="00351349"/>
    <w:rsid w:val="00356935"/>
    <w:rsid w:val="00363BC3"/>
    <w:rsid w:val="0037546B"/>
    <w:rsid w:val="003759EF"/>
    <w:rsid w:val="00381AF1"/>
    <w:rsid w:val="00383D14"/>
    <w:rsid w:val="003979CD"/>
    <w:rsid w:val="003D070F"/>
    <w:rsid w:val="003D76DE"/>
    <w:rsid w:val="003E7487"/>
    <w:rsid w:val="00405599"/>
    <w:rsid w:val="0041425A"/>
    <w:rsid w:val="00422853"/>
    <w:rsid w:val="00432EB6"/>
    <w:rsid w:val="00442E58"/>
    <w:rsid w:val="00451232"/>
    <w:rsid w:val="00484F0D"/>
    <w:rsid w:val="00493A20"/>
    <w:rsid w:val="004A7455"/>
    <w:rsid w:val="004C4C1A"/>
    <w:rsid w:val="004E4B2B"/>
    <w:rsid w:val="004E4B2D"/>
    <w:rsid w:val="004F113B"/>
    <w:rsid w:val="004F7D96"/>
    <w:rsid w:val="00524955"/>
    <w:rsid w:val="005332B2"/>
    <w:rsid w:val="0053652A"/>
    <w:rsid w:val="005416C8"/>
    <w:rsid w:val="00544975"/>
    <w:rsid w:val="005623EB"/>
    <w:rsid w:val="00562D14"/>
    <w:rsid w:val="005830C2"/>
    <w:rsid w:val="00592B15"/>
    <w:rsid w:val="00596FB3"/>
    <w:rsid w:val="005B308F"/>
    <w:rsid w:val="005E26B0"/>
    <w:rsid w:val="00602F7B"/>
    <w:rsid w:val="0060368C"/>
    <w:rsid w:val="0063585D"/>
    <w:rsid w:val="00645210"/>
    <w:rsid w:val="00647B74"/>
    <w:rsid w:val="006644EC"/>
    <w:rsid w:val="00675468"/>
    <w:rsid w:val="00693B4B"/>
    <w:rsid w:val="006A5F12"/>
    <w:rsid w:val="006B59F8"/>
    <w:rsid w:val="006B7FCD"/>
    <w:rsid w:val="006C2391"/>
    <w:rsid w:val="006F1817"/>
    <w:rsid w:val="007024AE"/>
    <w:rsid w:val="00715151"/>
    <w:rsid w:val="007379DE"/>
    <w:rsid w:val="00775131"/>
    <w:rsid w:val="00781D2C"/>
    <w:rsid w:val="00783AE0"/>
    <w:rsid w:val="007919DC"/>
    <w:rsid w:val="007B0561"/>
    <w:rsid w:val="00803CBB"/>
    <w:rsid w:val="008059D2"/>
    <w:rsid w:val="00821028"/>
    <w:rsid w:val="00824749"/>
    <w:rsid w:val="00844EF1"/>
    <w:rsid w:val="00861F82"/>
    <w:rsid w:val="0086246E"/>
    <w:rsid w:val="00870B47"/>
    <w:rsid w:val="008778C7"/>
    <w:rsid w:val="00895E14"/>
    <w:rsid w:val="008C27FB"/>
    <w:rsid w:val="008F51AF"/>
    <w:rsid w:val="00902B85"/>
    <w:rsid w:val="00914E7D"/>
    <w:rsid w:val="00921518"/>
    <w:rsid w:val="00923BCB"/>
    <w:rsid w:val="009338BD"/>
    <w:rsid w:val="00936F69"/>
    <w:rsid w:val="009533D9"/>
    <w:rsid w:val="009845FD"/>
    <w:rsid w:val="00990AD0"/>
    <w:rsid w:val="009A0044"/>
    <w:rsid w:val="009B7D5B"/>
    <w:rsid w:val="009D2FA8"/>
    <w:rsid w:val="009E7675"/>
    <w:rsid w:val="009F1173"/>
    <w:rsid w:val="00A03464"/>
    <w:rsid w:val="00A1586E"/>
    <w:rsid w:val="00A426EE"/>
    <w:rsid w:val="00A56AF3"/>
    <w:rsid w:val="00A576A1"/>
    <w:rsid w:val="00A6023C"/>
    <w:rsid w:val="00A60B07"/>
    <w:rsid w:val="00A6177C"/>
    <w:rsid w:val="00A85C35"/>
    <w:rsid w:val="00A95DE2"/>
    <w:rsid w:val="00AA1FBE"/>
    <w:rsid w:val="00AA26E4"/>
    <w:rsid w:val="00AA77AE"/>
    <w:rsid w:val="00AB4181"/>
    <w:rsid w:val="00AC18B5"/>
    <w:rsid w:val="00AC2C0A"/>
    <w:rsid w:val="00AE0D31"/>
    <w:rsid w:val="00AE7132"/>
    <w:rsid w:val="00AF0FEF"/>
    <w:rsid w:val="00B03060"/>
    <w:rsid w:val="00B15B31"/>
    <w:rsid w:val="00B31DD1"/>
    <w:rsid w:val="00B36F5A"/>
    <w:rsid w:val="00B606B8"/>
    <w:rsid w:val="00B67CF8"/>
    <w:rsid w:val="00B80E5F"/>
    <w:rsid w:val="00BA0C6A"/>
    <w:rsid w:val="00BA138D"/>
    <w:rsid w:val="00BC4A15"/>
    <w:rsid w:val="00BE69F2"/>
    <w:rsid w:val="00C000D9"/>
    <w:rsid w:val="00C01207"/>
    <w:rsid w:val="00C311E4"/>
    <w:rsid w:val="00C325A5"/>
    <w:rsid w:val="00C331DC"/>
    <w:rsid w:val="00C41251"/>
    <w:rsid w:val="00C50E8C"/>
    <w:rsid w:val="00C56584"/>
    <w:rsid w:val="00C608DC"/>
    <w:rsid w:val="00C810D2"/>
    <w:rsid w:val="00C87FFC"/>
    <w:rsid w:val="00CA4BEE"/>
    <w:rsid w:val="00CA782D"/>
    <w:rsid w:val="00CA7C47"/>
    <w:rsid w:val="00CB6096"/>
    <w:rsid w:val="00CC1B67"/>
    <w:rsid w:val="00CC603F"/>
    <w:rsid w:val="00CC7D6E"/>
    <w:rsid w:val="00CE03B7"/>
    <w:rsid w:val="00CE11F1"/>
    <w:rsid w:val="00CE1A81"/>
    <w:rsid w:val="00CF5A00"/>
    <w:rsid w:val="00D02E46"/>
    <w:rsid w:val="00D25BC8"/>
    <w:rsid w:val="00D522CB"/>
    <w:rsid w:val="00D60413"/>
    <w:rsid w:val="00D659A8"/>
    <w:rsid w:val="00D71987"/>
    <w:rsid w:val="00D747E9"/>
    <w:rsid w:val="00D8256E"/>
    <w:rsid w:val="00D9663C"/>
    <w:rsid w:val="00DA699E"/>
    <w:rsid w:val="00DC02C9"/>
    <w:rsid w:val="00DC574E"/>
    <w:rsid w:val="00DC7B68"/>
    <w:rsid w:val="00DD20F5"/>
    <w:rsid w:val="00DD2E51"/>
    <w:rsid w:val="00DE2524"/>
    <w:rsid w:val="00DE632D"/>
    <w:rsid w:val="00DF4888"/>
    <w:rsid w:val="00E20E2A"/>
    <w:rsid w:val="00E23472"/>
    <w:rsid w:val="00E27668"/>
    <w:rsid w:val="00E56878"/>
    <w:rsid w:val="00E7003C"/>
    <w:rsid w:val="00E86AFB"/>
    <w:rsid w:val="00E930DE"/>
    <w:rsid w:val="00E952DD"/>
    <w:rsid w:val="00EA185D"/>
    <w:rsid w:val="00EB09D7"/>
    <w:rsid w:val="00EC65BF"/>
    <w:rsid w:val="00ED403D"/>
    <w:rsid w:val="00ED66B8"/>
    <w:rsid w:val="00EE113D"/>
    <w:rsid w:val="00EE171C"/>
    <w:rsid w:val="00EF1459"/>
    <w:rsid w:val="00F05380"/>
    <w:rsid w:val="00F2051A"/>
    <w:rsid w:val="00F224C5"/>
    <w:rsid w:val="00F3380A"/>
    <w:rsid w:val="00F52050"/>
    <w:rsid w:val="00F53496"/>
    <w:rsid w:val="00F613E7"/>
    <w:rsid w:val="00F7360B"/>
    <w:rsid w:val="00F84598"/>
    <w:rsid w:val="00FB2D23"/>
    <w:rsid w:val="00FB4690"/>
    <w:rsid w:val="00FB481C"/>
    <w:rsid w:val="00FB7C82"/>
    <w:rsid w:val="00FC2D97"/>
    <w:rsid w:val="00FC46BE"/>
    <w:rsid w:val="00FE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370"/>
    <w:rPr>
      <w:rFonts w:ascii="Arial" w:hAnsi="Arial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rsid w:val="001E7370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styleId="Zpat">
    <w:name w:val="footer"/>
    <w:basedOn w:val="Normln"/>
    <w:semiHidden/>
    <w:rsid w:val="001E737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E7370"/>
  </w:style>
  <w:style w:type="paragraph" w:styleId="Zhlav">
    <w:name w:val="header"/>
    <w:basedOn w:val="Normln"/>
    <w:semiHidden/>
    <w:rsid w:val="001E737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A426EE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20E2A"/>
    <w:pPr>
      <w:jc w:val="both"/>
    </w:pPr>
    <w:rPr>
      <w:rFonts w:cs="Arial"/>
      <w:b/>
      <w:bCs/>
      <w:i/>
      <w:iCs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20E2A"/>
    <w:rPr>
      <w:rFonts w:ascii="Arial" w:hAnsi="Arial" w:cs="Arial"/>
      <w:b/>
      <w:bCs/>
      <w:i/>
      <w:i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1583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kuklik</dc:creator>
  <cp:lastModifiedBy>prochazka6465</cp:lastModifiedBy>
  <cp:revision>3</cp:revision>
  <cp:lastPrinted>2016-03-08T10:07:00Z</cp:lastPrinted>
  <dcterms:created xsi:type="dcterms:W3CDTF">2016-03-09T07:24:00Z</dcterms:created>
  <dcterms:modified xsi:type="dcterms:W3CDTF">2016-03-10T09:46:00Z</dcterms:modified>
</cp:coreProperties>
</file>