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3E" w:rsidRDefault="00576A3E" w:rsidP="00771A28">
      <w:pPr>
        <w:pStyle w:val="Nadpis1"/>
        <w:numPr>
          <w:ilvl w:val="0"/>
          <w:numId w:val="6"/>
        </w:numPr>
        <w:jc w:val="both"/>
      </w:pPr>
      <w:bookmarkStart w:id="0" w:name="_Toc437874301"/>
      <w:r>
        <w:t>Státní rozpočet</w:t>
      </w:r>
      <w:bookmarkEnd w:id="0"/>
    </w:p>
    <w:tbl>
      <w:tblPr>
        <w:tblW w:w="5063" w:type="pct"/>
        <w:tblCellMar>
          <w:left w:w="28" w:type="dxa"/>
          <w:right w:w="28" w:type="dxa"/>
        </w:tblCellMar>
        <w:tblLook w:val="04A0"/>
      </w:tblPr>
      <w:tblGrid>
        <w:gridCol w:w="594"/>
        <w:gridCol w:w="1449"/>
        <w:gridCol w:w="275"/>
        <w:gridCol w:w="2633"/>
        <w:gridCol w:w="705"/>
        <w:gridCol w:w="4038"/>
        <w:gridCol w:w="122"/>
      </w:tblGrid>
      <w:tr w:rsidR="000F5673" w:rsidRPr="003A21DC" w:rsidTr="000F5673">
        <w:trPr>
          <w:gridAfter w:val="1"/>
          <w:wAfter w:w="62" w:type="pct"/>
        </w:trPr>
        <w:tc>
          <w:tcPr>
            <w:tcW w:w="1041" w:type="pct"/>
            <w:gridSpan w:val="2"/>
          </w:tcPr>
          <w:p w:rsidR="000F5673" w:rsidRPr="00750404" w:rsidRDefault="000F5673" w:rsidP="000311C5">
            <w:pPr>
              <w:spacing w:line="240" w:lineRule="auto"/>
              <w:rPr>
                <w:color w:val="0D0D0D" w:themeColor="text1" w:themeTint="F2"/>
                <w:spacing w:val="-2"/>
                <w:szCs w:val="20"/>
              </w:rPr>
            </w:pPr>
            <w:r w:rsidRPr="00750404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Redukce deficitu státního rozpočtu pokračovala již čtvrtý rok v řadě</w:t>
            </w:r>
          </w:p>
        </w:tc>
        <w:tc>
          <w:tcPr>
            <w:tcW w:w="140" w:type="pct"/>
          </w:tcPr>
          <w:p w:rsidR="000F5673" w:rsidRPr="009720D9" w:rsidRDefault="000F5673" w:rsidP="000311C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757" w:type="pct"/>
            <w:gridSpan w:val="3"/>
          </w:tcPr>
          <w:p w:rsidR="000F5673" w:rsidRPr="00E43BFF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 w:rsidRPr="00E43BFF">
              <w:rPr>
                <w:rFonts w:cs="Arial"/>
                <w:color w:val="0D0D0D" w:themeColor="text1" w:themeTint="F2"/>
                <w:spacing w:val="-4"/>
              </w:rPr>
              <w:t>Státní rozpočet (SR) docílil (dle pokladního plnění) za prvních devět měsíců roku 2015 deficitu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2,8 mld. korun.</w:t>
            </w:r>
            <w:r w:rsidRPr="00E43BFF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t>L</w:t>
            </w:r>
            <w:r w:rsidRPr="00E43BFF">
              <w:rPr>
                <w:rFonts w:cs="Arial"/>
                <w:color w:val="0D0D0D" w:themeColor="text1" w:themeTint="F2"/>
                <w:spacing w:val="-4"/>
              </w:rPr>
              <w:t>epších výsledků dosáhl jen v konjunkturním období 2005-2008. Příznivější výsledky byly ovlivněny sílícím hospodářským růstem, postupným odklonem od dřívějších restriktivních opatření, jakož i nebývalé intenzivním čerpáním prostředků z rozpočtu EU. Saldo v poměru k</w:t>
            </w:r>
            <w:r w:rsidRPr="00E43BFF">
              <w:rPr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HDP</w:t>
            </w:r>
            <w:r w:rsidRPr="00E43BFF">
              <w:rPr>
                <w:rFonts w:cs="Arial"/>
                <w:color w:val="0D0D0D" w:themeColor="text1" w:themeTint="F2"/>
                <w:spacing w:val="-4"/>
              </w:rPr>
              <w:t xml:space="preserve"> činilo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-0,1 % (o rok dříve </w:t>
            </w:r>
            <w:r w:rsidRPr="00E43BFF">
              <w:rPr>
                <w:rFonts w:cs="Arial"/>
                <w:color w:val="0D0D0D" w:themeColor="text1" w:themeTint="F2"/>
                <w:spacing w:val="-4"/>
              </w:rPr>
              <w:t>-1,1 %).</w:t>
            </w:r>
          </w:p>
          <w:p w:rsidR="000F5673" w:rsidRPr="008361F6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2"/>
                <w:szCs w:val="12"/>
              </w:rPr>
            </w:pPr>
          </w:p>
        </w:tc>
      </w:tr>
      <w:tr w:rsidR="000F5673" w:rsidTr="000F5673">
        <w:trPr>
          <w:gridAfter w:val="1"/>
          <w:wAfter w:w="62" w:type="pct"/>
        </w:trPr>
        <w:tc>
          <w:tcPr>
            <w:tcW w:w="1041" w:type="pct"/>
            <w:gridSpan w:val="2"/>
          </w:tcPr>
          <w:p w:rsidR="000F5673" w:rsidRPr="00750404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 w:rsidRPr="00750404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Celkové příjmy SR vzrostly meziročně o desetinu - nejvíce po roce 2007, především díky akceleraci čerpání prostředků z fondů EU na konci programovacího období</w:t>
            </w:r>
          </w:p>
          <w:p w:rsidR="000F5673" w:rsidRPr="009720D9" w:rsidRDefault="000F5673" w:rsidP="000311C5">
            <w:pPr>
              <w:spacing w:line="240" w:lineRule="auto"/>
              <w:rPr>
                <w:color w:val="0D0D0D" w:themeColor="text1" w:themeTint="F2"/>
                <w:spacing w:val="-2"/>
                <w:szCs w:val="20"/>
              </w:rPr>
            </w:pPr>
            <w:r>
              <w:rPr>
                <w:color w:val="0D0D0D" w:themeColor="text1" w:themeTint="F2"/>
                <w:spacing w:val="-2"/>
                <w:szCs w:val="20"/>
              </w:rPr>
              <w:t xml:space="preserve"> </w:t>
            </w:r>
          </w:p>
        </w:tc>
        <w:tc>
          <w:tcPr>
            <w:tcW w:w="140" w:type="pct"/>
          </w:tcPr>
          <w:p w:rsidR="000F5673" w:rsidRPr="009720D9" w:rsidRDefault="000F5673" w:rsidP="000311C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757" w:type="pct"/>
            <w:gridSpan w:val="3"/>
          </w:tcPr>
          <w:p w:rsidR="000F5673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</w:rPr>
            </w:pPr>
            <w:r>
              <w:rPr>
                <w:rFonts w:cs="Arial"/>
                <w:color w:val="0D0D0D" w:themeColor="text1" w:themeTint="F2"/>
                <w:spacing w:val="-2"/>
              </w:rPr>
              <w:t>O vyšší celkové příjmy (meziročně +9,9 %) se ze dvou třetin zasloužily transfery z EU, zbytek téměř rovným dílem připadal na daňové příjmy (+3,6 %) i dynamicky rostoucí výběr pojistného na sociální zabezpečení (+5,6 %). Výše příjmů od EU překonala již během června úroveň očekávanou za celý rok 2015, za tři čtvrtletí pak získal SR téměř 140 mld</w:t>
            </w:r>
            <w:r w:rsidR="000311C5">
              <w:rPr>
                <w:rFonts w:cs="Arial"/>
                <w:color w:val="0D0D0D" w:themeColor="text1" w:themeTint="F2"/>
                <w:spacing w:val="-2"/>
              </w:rPr>
              <w:t>.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 korun, meziročně o 62,5 % více (při výrazné akceleraci příjmů zejména ze strukturálních fondů). </w:t>
            </w:r>
          </w:p>
          <w:p w:rsidR="000F5673" w:rsidRPr="008361F6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2"/>
                <w:szCs w:val="12"/>
              </w:rPr>
            </w:pPr>
          </w:p>
        </w:tc>
      </w:tr>
      <w:tr w:rsidR="000F5673" w:rsidTr="000F5673">
        <w:trPr>
          <w:gridAfter w:val="1"/>
          <w:wAfter w:w="62" w:type="pct"/>
        </w:trPr>
        <w:tc>
          <w:tcPr>
            <w:tcW w:w="1041" w:type="pct"/>
            <w:gridSpan w:val="2"/>
          </w:tcPr>
          <w:p w:rsidR="000F5673" w:rsidRPr="009720D9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Cs w:val="20"/>
              </w:rPr>
            </w:pPr>
            <w:r w:rsidRPr="005B72BD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Do dynamiky DPH se vedle růstu soukromé spotřeby stále silně promítají legislativně administrativní vlivy</w:t>
            </w:r>
          </w:p>
        </w:tc>
        <w:tc>
          <w:tcPr>
            <w:tcW w:w="140" w:type="pct"/>
          </w:tcPr>
          <w:p w:rsidR="000F5673" w:rsidRPr="009720D9" w:rsidRDefault="000F5673" w:rsidP="000311C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757" w:type="pct"/>
            <w:gridSpan w:val="3"/>
          </w:tcPr>
          <w:p w:rsidR="000F5673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</w:rPr>
            </w:pPr>
            <w:r>
              <w:rPr>
                <w:rFonts w:cs="Arial"/>
                <w:color w:val="0D0D0D" w:themeColor="text1" w:themeTint="F2"/>
                <w:spacing w:val="-2"/>
              </w:rPr>
              <w:t xml:space="preserve">Na inkasu daňových příjmů se v průběhu roku stále zřetelněji projevoval svižný růst ekonomiky, a to i u nepřímých daní, jejichž meziroční dynamika byla v počátku roku rozostřena nestandardně vysokou </w:t>
            </w:r>
            <w:r w:rsidRPr="004F5AC1">
              <w:rPr>
                <w:rFonts w:cs="Arial"/>
                <w:color w:val="0D0D0D" w:themeColor="text1" w:themeTint="F2"/>
                <w:spacing w:val="-2"/>
              </w:rPr>
              <w:t>loňskou základnou</w:t>
            </w:r>
            <w:r w:rsidRPr="004F5AC1">
              <w:rPr>
                <w:rStyle w:val="Znakapoznpodarou"/>
                <w:rFonts w:cs="Arial"/>
                <w:color w:val="0D0D0D" w:themeColor="text1" w:themeTint="F2"/>
                <w:spacing w:val="-2"/>
              </w:rPr>
              <w:footnoteReference w:id="1"/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. Výběr váhově </w:t>
            </w:r>
            <w:r w:rsidRPr="00E54ABF">
              <w:rPr>
                <w:rFonts w:cs="Arial"/>
                <w:color w:val="0D0D0D" w:themeColor="text1" w:themeTint="F2"/>
                <w:spacing w:val="-2"/>
              </w:rPr>
              <w:t>dominantní DPH za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 tři čtvrtletí meziročně stagnoval (na konci listopadu 2015 již rostl o 1,7 %). Efekt silného růstu </w:t>
            </w:r>
            <w:r w:rsidRPr="00B2666C">
              <w:rPr>
                <w:rFonts w:cs="Arial"/>
                <w:color w:val="0D0D0D" w:themeColor="text1" w:themeTint="F2"/>
                <w:spacing w:val="-2"/>
              </w:rPr>
              <w:t>výdajů na konečnou spotřebu v ekonomice (3,4 % nominálně)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 byl významně tlumen </w:t>
            </w:r>
            <w:r w:rsidRPr="0027242E">
              <w:rPr>
                <w:rFonts w:cs="Arial"/>
                <w:color w:val="0D0D0D" w:themeColor="text1" w:themeTint="F2"/>
                <w:spacing w:val="-2"/>
              </w:rPr>
              <w:t>zavedení</w:t>
            </w:r>
            <w:r>
              <w:rPr>
                <w:rFonts w:cs="Arial"/>
                <w:color w:val="0D0D0D" w:themeColor="text1" w:themeTint="F2"/>
                <w:spacing w:val="-2"/>
              </w:rPr>
              <w:t>m</w:t>
            </w:r>
            <w:r w:rsidRPr="0027242E">
              <w:rPr>
                <w:rFonts w:cs="Arial"/>
                <w:color w:val="0D0D0D" w:themeColor="text1" w:themeTint="F2"/>
                <w:spacing w:val="-2"/>
              </w:rPr>
              <w:t xml:space="preserve"> druhé snížené sazby DPH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, </w:t>
            </w:r>
            <w:r w:rsidRPr="0027242E">
              <w:rPr>
                <w:rFonts w:cs="Arial"/>
                <w:color w:val="0D0D0D" w:themeColor="text1" w:themeTint="F2"/>
                <w:spacing w:val="-2"/>
              </w:rPr>
              <w:t>k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lesajícími cenami PHM a také </w:t>
            </w:r>
            <w:r w:rsidR="00C30828">
              <w:rPr>
                <w:rFonts w:cs="Arial"/>
                <w:color w:val="0D0D0D" w:themeColor="text1" w:themeTint="F2"/>
                <w:spacing w:val="-2"/>
              </w:rPr>
              <w:t xml:space="preserve">postupným </w:t>
            </w:r>
            <w:r>
              <w:rPr>
                <w:rFonts w:cs="Arial"/>
                <w:color w:val="0D0D0D" w:themeColor="text1" w:themeTint="F2"/>
                <w:spacing w:val="-2"/>
              </w:rPr>
              <w:t>vyplacením dočasně zadržených nadměrných odpočtů DPH.</w:t>
            </w:r>
          </w:p>
          <w:p w:rsidR="000F5673" w:rsidRPr="008361F6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2"/>
                <w:szCs w:val="12"/>
              </w:rPr>
            </w:pPr>
          </w:p>
        </w:tc>
      </w:tr>
      <w:tr w:rsidR="000F5673" w:rsidTr="000F5673">
        <w:trPr>
          <w:gridAfter w:val="1"/>
          <w:wAfter w:w="62" w:type="pct"/>
        </w:trPr>
        <w:tc>
          <w:tcPr>
            <w:tcW w:w="1041" w:type="pct"/>
            <w:gridSpan w:val="2"/>
          </w:tcPr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Za tři čtvrtletí roku 2015: n</w:t>
            </w:r>
            <w:r w:rsidRPr="002145FE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ejvyšší dynamika růstu inkasa spotřebních daní za posledních čtyři roky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…</w:t>
            </w: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…především vlivem rostoucích sazeb daně </w:t>
            </w:r>
          </w:p>
          <w:p w:rsidR="000F5673" w:rsidRPr="009720D9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Cs w:val="20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u tabákových výrobků</w:t>
            </w:r>
          </w:p>
        </w:tc>
        <w:tc>
          <w:tcPr>
            <w:tcW w:w="140" w:type="pct"/>
          </w:tcPr>
          <w:p w:rsidR="000F5673" w:rsidRPr="009720D9" w:rsidRDefault="000F5673" w:rsidP="000311C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757" w:type="pct"/>
            <w:gridSpan w:val="3"/>
          </w:tcPr>
          <w:p w:rsidR="000F5673" w:rsidRPr="008361F6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 w:rsidRPr="008361F6">
              <w:rPr>
                <w:rFonts w:cs="Arial"/>
                <w:color w:val="0D0D0D" w:themeColor="text1" w:themeTint="F2"/>
                <w:spacing w:val="-4"/>
              </w:rPr>
              <w:t>Na všech spotřebních daních získal SR za tři čtvrtletí meziročně o 4,5 % více, šlo o nejvyšší dynamiku v tomto období za posledních čtyři roky. Nejvíce k tomu přispěly daně z tabákových výrobků, ve kterých se plně projevoval efekt vyšších sazeb (inkaso za tři čtvrtletí vzrostlo o 7,2 %, za 11 měsíců 2015 o 14,2 %). Výběr váhově dominantní daně z minerálních olejů za tři čtvrtletí posílil o 3,6 %, rostla spotřeba zejména motorové nafty. Příznivé ceny PHM stimulovaly poptávku (vč. tranzitní dopravy), k rozvoji osobní i nákladní dopravy přispěla i sílící e</w:t>
            </w:r>
            <w:r>
              <w:rPr>
                <w:rFonts w:cs="Arial"/>
                <w:color w:val="0D0D0D" w:themeColor="text1" w:themeTint="F2"/>
                <w:spacing w:val="-4"/>
              </w:rPr>
              <w:t>konomika, mírně negativně</w:t>
            </w:r>
            <w:r w:rsidRPr="008361F6">
              <w:rPr>
                <w:rFonts w:cs="Arial"/>
                <w:color w:val="0D0D0D" w:themeColor="text1" w:themeTint="F2"/>
                <w:spacing w:val="-4"/>
              </w:rPr>
              <w:t xml:space="preserve"> působilo opětovné zavedení daňových úlev (</w:t>
            </w:r>
            <w:r w:rsidRPr="008361F6">
              <w:rPr>
                <w:spacing w:val="-4"/>
              </w:rPr>
              <w:t>tzv. zelené nafty)</w:t>
            </w:r>
            <w:r w:rsidRPr="008361F6">
              <w:rPr>
                <w:rFonts w:cs="Arial"/>
                <w:color w:val="0D0D0D" w:themeColor="text1" w:themeTint="F2"/>
                <w:spacing w:val="-4"/>
              </w:rPr>
              <w:t>. Z ostatních produktů rostlo inkaso spotřebních daní významněji jen u lihu (o 4 %), u piva podobně jako u všech energetických (zejména solárních) daní meziročně stagnovalo.</w:t>
            </w:r>
          </w:p>
          <w:p w:rsidR="000F5673" w:rsidRPr="008361F6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2"/>
                <w:szCs w:val="12"/>
              </w:rPr>
            </w:pPr>
          </w:p>
        </w:tc>
      </w:tr>
      <w:tr w:rsidR="000F5673" w:rsidTr="000F5673">
        <w:trPr>
          <w:gridAfter w:val="1"/>
          <w:wAfter w:w="62" w:type="pct"/>
        </w:trPr>
        <w:tc>
          <w:tcPr>
            <w:tcW w:w="1041" w:type="pct"/>
            <w:gridSpan w:val="2"/>
          </w:tcPr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Korporátní daně rostly v úhrnu za tři čtvrtletí (meziročně 11 %) nejvíce od konjunkturního roku 2008</w:t>
            </w: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0F5673" w:rsidRPr="006C2AED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Vyššímu výběru daní z příjmů od zaměstnanců bránilo rozšíření daňových slev</w:t>
            </w:r>
          </w:p>
        </w:tc>
        <w:tc>
          <w:tcPr>
            <w:tcW w:w="140" w:type="pct"/>
          </w:tcPr>
          <w:p w:rsidR="000F5673" w:rsidRPr="009720D9" w:rsidRDefault="000F5673" w:rsidP="000311C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757" w:type="pct"/>
            <w:gridSpan w:val="3"/>
          </w:tcPr>
          <w:p w:rsidR="000F5673" w:rsidRPr="008361F6" w:rsidRDefault="000F5673" w:rsidP="000311C5">
            <w:pPr>
              <w:pStyle w:val="Textpoznpodarou"/>
              <w:jc w:val="both"/>
              <w:rPr>
                <w:spacing w:val="-4"/>
              </w:rPr>
            </w:pPr>
            <w:r w:rsidRPr="008361F6">
              <w:rPr>
                <w:rFonts w:cs="Arial"/>
                <w:color w:val="0D0D0D" w:themeColor="text1" w:themeTint="F2"/>
                <w:spacing w:val="-4"/>
              </w:rPr>
              <w:t xml:space="preserve">Příznivá finanční situace podniků se stále více odráží i v </w:t>
            </w:r>
            <w:r w:rsidRPr="008361F6">
              <w:rPr>
                <w:spacing w:val="-4"/>
              </w:rPr>
              <w:t>celostátním výběru korporátních daní, jehož silná meziroční růstová dynamika pokračovala již šest čtvrtletí v řadě. Naopak pod úrovní rozpočtových očekávání probíhal výběr daně z příjmů fyzických osob (DPFO) ze závislé činnosti, když za tři čtvrtletí vzrostl o mírných 2,6 % (za 11 měsíců o 3,4 %). Dopad vyšší zaměstnanosti i postupného zrychlování růstu mezd zčásti tlumila legislativní opatření (zvýšení slevy na druhé a další dítě, „školkovné“, uplatnění základní slevy u pracujících důchodců). Celostátní výběr korporátních daní byl letos proti svému vrcholu (1.</w:t>
            </w:r>
            <w:r w:rsidR="00713EEB">
              <w:rPr>
                <w:spacing w:val="-4"/>
              </w:rPr>
              <w:t xml:space="preserve"> – </w:t>
            </w:r>
            <w:r w:rsidRPr="008361F6">
              <w:rPr>
                <w:spacing w:val="-4"/>
              </w:rPr>
              <w:t>3.</w:t>
            </w:r>
            <w:r w:rsidR="00713EEB">
              <w:rPr>
                <w:spacing w:val="-4"/>
              </w:rPr>
              <w:t xml:space="preserve"> </w:t>
            </w:r>
            <w:r w:rsidRPr="008361F6">
              <w:rPr>
                <w:spacing w:val="-4"/>
              </w:rPr>
              <w:t xml:space="preserve">q 2008) stále o pětinu nižší, inkaso daní od zaměstnanců ale proti stejnému období narostlo o 17 %. </w:t>
            </w:r>
          </w:p>
          <w:p w:rsidR="000F5673" w:rsidRPr="008361F6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2"/>
                <w:szCs w:val="12"/>
              </w:rPr>
            </w:pPr>
          </w:p>
        </w:tc>
      </w:tr>
      <w:tr w:rsidR="000F5673" w:rsidTr="000F5673">
        <w:trPr>
          <w:gridAfter w:val="1"/>
          <w:wAfter w:w="62" w:type="pct"/>
        </w:trPr>
        <w:tc>
          <w:tcPr>
            <w:tcW w:w="1041" w:type="pct"/>
            <w:gridSpan w:val="2"/>
          </w:tcPr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76251D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Dyna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mika růstu výdajů SR zrychlila na nejvyšší tempo po roce 2008</w:t>
            </w: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Na investice směřovala Více než desetina výdajů státního rozpočtu</w:t>
            </w:r>
          </w:p>
          <w:p w:rsidR="000F5673" w:rsidRPr="009720D9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Cs w:val="20"/>
              </w:rPr>
            </w:pPr>
          </w:p>
        </w:tc>
        <w:tc>
          <w:tcPr>
            <w:tcW w:w="140" w:type="pct"/>
          </w:tcPr>
          <w:p w:rsidR="000F5673" w:rsidRPr="009720D9" w:rsidRDefault="000F5673" w:rsidP="000311C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757" w:type="pct"/>
            <w:gridSpan w:val="3"/>
          </w:tcPr>
          <w:p w:rsidR="000F5673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</w:rPr>
            </w:pPr>
            <w:r w:rsidRPr="004935A4">
              <w:rPr>
                <w:rFonts w:cs="Arial"/>
                <w:color w:val="0D0D0D" w:themeColor="text1" w:themeTint="F2"/>
                <w:spacing w:val="-4"/>
              </w:rPr>
              <w:t>Celkové výdaje SR</w:t>
            </w:r>
            <w:r w:rsidRPr="000F57D3">
              <w:rPr>
                <w:rFonts w:cs="Arial"/>
                <w:color w:val="0D0D0D" w:themeColor="text1" w:themeTint="F2"/>
                <w:spacing w:val="-4"/>
              </w:rPr>
              <w:t xml:space="preserve">, po </w:t>
            </w:r>
            <w:r>
              <w:rPr>
                <w:rFonts w:cs="Arial"/>
                <w:color w:val="0D0D0D" w:themeColor="text1" w:themeTint="F2"/>
                <w:spacing w:val="-4"/>
              </w:rPr>
              <w:t>mírných růstech</w:t>
            </w:r>
            <w:r w:rsidRPr="000F57D3">
              <w:rPr>
                <w:rFonts w:cs="Arial"/>
                <w:color w:val="0D0D0D" w:themeColor="text1" w:themeTint="F2"/>
                <w:spacing w:val="-4"/>
              </w:rPr>
              <w:t xml:space="preserve"> v předchozích </w:t>
            </w:r>
            <w:r>
              <w:rPr>
                <w:rFonts w:cs="Arial"/>
                <w:color w:val="0D0D0D" w:themeColor="text1" w:themeTint="F2"/>
                <w:spacing w:val="-4"/>
              </w:rPr>
              <w:t>dvou letech (shodně o 1,9 %), vzrostly v úhrnu za tři čtvrt</w:t>
            </w:r>
            <w:r w:rsidRPr="000F57D3">
              <w:rPr>
                <w:rFonts w:cs="Arial"/>
                <w:color w:val="0D0D0D" w:themeColor="text1" w:themeTint="F2"/>
                <w:spacing w:val="-4"/>
              </w:rPr>
              <w:t>letí o</w:t>
            </w:r>
            <w:r w:rsidRPr="000F57D3">
              <w:rPr>
                <w:rFonts w:cs="Arial"/>
                <w:color w:val="0D0D0D" w:themeColor="text1" w:themeTint="F2"/>
                <w:spacing w:val="-2"/>
              </w:rPr>
              <w:t> </w:t>
            </w:r>
            <w:r w:rsidRPr="000F57D3">
              <w:rPr>
                <w:rFonts w:cs="Arial"/>
                <w:color w:val="0D0D0D" w:themeColor="text1" w:themeTint="F2"/>
                <w:spacing w:val="-4"/>
              </w:rPr>
              <w:t>5</w:t>
            </w:r>
            <w:r>
              <w:rPr>
                <w:rFonts w:cs="Arial"/>
                <w:color w:val="0D0D0D" w:themeColor="text1" w:themeTint="F2"/>
                <w:spacing w:val="-4"/>
              </w:rPr>
              <w:t>,9 %</w:t>
            </w:r>
            <w:r w:rsidRPr="000F57D3">
              <w:rPr>
                <w:rFonts w:cs="Arial"/>
                <w:color w:val="0D0D0D" w:themeColor="text1" w:themeTint="F2"/>
                <w:spacing w:val="-4"/>
              </w:rPr>
              <w:t>.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Přispěly k tomu hlavně investiční výdaje, které meziročně posílily o polovinu. Na spolufinancování společných programů ČR a EU směřovalo 86 % kapitálových výdajů SR </w:t>
            </w:r>
            <w:r w:rsidRPr="00BA1E35">
              <w:rPr>
                <w:rFonts w:cs="Arial"/>
                <w:color w:val="0D0D0D" w:themeColor="text1" w:themeTint="F2"/>
                <w:spacing w:val="-2"/>
              </w:rPr>
              <w:t>(především do podnikání a inovací</w:t>
            </w:r>
            <w:r>
              <w:rPr>
                <w:rFonts w:cs="Arial"/>
                <w:color w:val="0D0D0D" w:themeColor="text1" w:themeTint="F2"/>
                <w:spacing w:val="-2"/>
              </w:rPr>
              <w:t>,</w:t>
            </w:r>
            <w:r w:rsidRPr="00BA1E35">
              <w:rPr>
                <w:rFonts w:cs="Arial"/>
                <w:color w:val="0D0D0D" w:themeColor="text1" w:themeTint="F2"/>
                <w:spacing w:val="-2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2"/>
              </w:rPr>
              <w:t>dopravní infrastruktury, ŽP</w:t>
            </w:r>
            <w:r w:rsidRPr="00BA1E35">
              <w:rPr>
                <w:rFonts w:cs="Arial"/>
                <w:color w:val="0D0D0D" w:themeColor="text1" w:themeTint="F2"/>
                <w:spacing w:val="-2"/>
              </w:rPr>
              <w:t xml:space="preserve"> a také v rámci ROP).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 V 1. až 3. čtvrtletí 2015 tvořily celkové investice téměř 11 % všech výdajů SR a přiblížily v tomto období dosud rekordní výši i podílu z roku 2010.</w:t>
            </w:r>
          </w:p>
          <w:p w:rsidR="000F5673" w:rsidRPr="008361F6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2"/>
                <w:szCs w:val="12"/>
              </w:rPr>
            </w:pPr>
          </w:p>
        </w:tc>
      </w:tr>
      <w:tr w:rsidR="000F5673" w:rsidTr="000F5673">
        <w:trPr>
          <w:gridAfter w:val="1"/>
          <w:wAfter w:w="62" w:type="pct"/>
        </w:trPr>
        <w:tc>
          <w:tcPr>
            <w:tcW w:w="1041" w:type="pct"/>
            <w:gridSpan w:val="2"/>
          </w:tcPr>
          <w:p w:rsidR="000F5673" w:rsidRPr="00845909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 w:rsidRPr="00845909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Deficit důchodového účtu klesl zásluhou dynamického výběru pojistného na nejnižší úroveň za posledních šest let</w:t>
            </w: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 w:rsidRPr="007329F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Dávky státní sociální podpory a pěstounské péče v úhrnu meziročně stagnovaly, podobně jako dávky sociální péče</w:t>
            </w: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0F5673" w:rsidRPr="004C3C2C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0F2FB9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Dynamicky rostoucí výdaje na aktivní politiku zaměstna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nosti</w:t>
            </w:r>
            <w:r w:rsidRPr="000F2FB9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převýšily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výdaje na podpory v</w:t>
            </w:r>
            <w:r w:rsidR="00294238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 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nezaměstnanosti</w:t>
            </w: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4"/>
                <w:szCs w:val="14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4"/>
                <w:szCs w:val="14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4"/>
                <w:szCs w:val="14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4"/>
                <w:szCs w:val="14"/>
              </w:rPr>
            </w:pPr>
          </w:p>
          <w:p w:rsidR="000F5673" w:rsidRPr="00E43BFF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4"/>
                <w:szCs w:val="14"/>
              </w:rPr>
            </w:pPr>
          </w:p>
          <w:p w:rsidR="000F5673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Cs w:val="20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Pokračoval</w:t>
            </w:r>
            <w:r w:rsidRPr="002D0D06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trend klesajících výdajů na státní dluh, jehož výše je již dva roky stabilizovaná</w:t>
            </w:r>
          </w:p>
          <w:p w:rsidR="000F5673" w:rsidRPr="000F2FB9" w:rsidRDefault="000F5673" w:rsidP="000311C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Cs w:val="20"/>
              </w:rPr>
            </w:pPr>
          </w:p>
        </w:tc>
        <w:tc>
          <w:tcPr>
            <w:tcW w:w="140" w:type="pct"/>
          </w:tcPr>
          <w:p w:rsidR="000F5673" w:rsidRPr="009720D9" w:rsidRDefault="000F5673" w:rsidP="000311C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757" w:type="pct"/>
            <w:gridSpan w:val="3"/>
          </w:tcPr>
          <w:p w:rsidR="000F5673" w:rsidRPr="00E43BFF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 w:rsidRPr="00E43BFF">
              <w:rPr>
                <w:rFonts w:cs="Arial"/>
                <w:color w:val="0D0D0D" w:themeColor="text1" w:themeTint="F2"/>
                <w:spacing w:val="-4"/>
              </w:rPr>
              <w:t xml:space="preserve">Na vyšších běžných výdajích (o 2,7 %) se téměř z poloviny podílely rostoucí sociální dávky (o 9,1 mld. korun). Většina sociální výdajů směřuje tradičně na důchody, jejichž výše byla ovlivněná ovlivněné opětovným přechodem na dřívější valorizační schéma, zčásti i mezigenerační obměnou důchodců (jejich počty poslední tři roky stagnují). Ačkoliv růst výdajů na důchody (meziročně o 2,7 %) byl letos nejvyšší za poslední čtyři roky, deficit salda důchodového účtu (rozdíl mezi příjmy a výdaji na důchody ze SR) </w:t>
            </w:r>
            <w:r w:rsidRPr="00E43BFF">
              <w:rPr>
                <w:rFonts w:cs="Arial"/>
                <w:color w:val="0D0D0D" w:themeColor="text1" w:themeTint="F2"/>
                <w:spacing w:val="-4"/>
              </w:rPr>
              <w:lastRenderedPageBreak/>
              <w:t>se díky dynamickému růstu výběru pojistného (v rámci 1. až 3. pololetí nejvyššího po roce 2008) nadále snižoval (na necelých 21 mld. korun).  Z ostatních sociálních dávek se zvyšovaly především výdaje na nemocenské pojištění (+9,5 %), a to vlivem legislativních opatření (opětovného vyplácení nemocenské již od 15. dne) a také růstu pracovní neschopnosti. Dávky sociální péče stagnovaly, když vyšší výdaje na péči dle zákona o sociálních službách byly kompenzovány poklesem výdajů na dávky v hmotné nouzi. Z dávek státní sociální podpory rostly jen dávky pěstounům, porodné a příspěvek na bydlení. Na podporu nezaměstnaným vydal stát o osminu méně, tuto částku (6,5 mld. korun) tak po dlouhé době převýšily výdaje na aktivní politiku zaměstnanosti, které byly meziročně o polovinu vyšší (zá</w:t>
            </w:r>
            <w:r w:rsidR="00C05715">
              <w:rPr>
                <w:rFonts w:cs="Arial"/>
                <w:color w:val="0D0D0D" w:themeColor="text1" w:themeTint="F2"/>
                <w:spacing w:val="-4"/>
              </w:rPr>
              <w:t>sluhou prostředků z EU). Za nárů</w:t>
            </w:r>
            <w:r w:rsidRPr="00E43BFF">
              <w:rPr>
                <w:rFonts w:cs="Arial"/>
                <w:color w:val="0D0D0D" w:themeColor="text1" w:themeTint="F2"/>
                <w:spacing w:val="-4"/>
              </w:rPr>
              <w:t xml:space="preserve">stem běžných výdajů SR stál také ústup od dřívějších restriktivních opatření. Ten se projevil také vyššími neinvestičními transfery územním rozpočtům (např. na platy učitelů či příspěvek na výkon státní správy v obcích), růstem výdajů na platy státních zaměstnanců (o 9,3 %, zčásti i vlivem přípravy na nový služební zákon) či vyššími neinvestičními nákupy (+2,8 %). Podobně jako loni SR ušetřil na odvodech do rozpočtu EU i na výdajích na státní dluh (-1,7 mld. korun), když se státu koncem léta podařilo poprvé v historii prodat své střednědobé dluhopisy na primárním trhu se zápornými úrokovými sazbami. Pokračovala stabilizace státního dluhu, jehož výše již </w:t>
            </w:r>
            <w:r>
              <w:rPr>
                <w:rFonts w:cs="Arial"/>
                <w:color w:val="0D0D0D" w:themeColor="text1" w:themeTint="F2"/>
                <w:spacing w:val="-4"/>
              </w:rPr>
              <w:t>dva roky</w:t>
            </w:r>
            <w:r w:rsidRPr="00E43BFF">
              <w:rPr>
                <w:rFonts w:cs="Arial"/>
                <w:color w:val="0D0D0D" w:themeColor="text1" w:themeTint="F2"/>
                <w:spacing w:val="-4"/>
              </w:rPr>
              <w:t xml:space="preserve"> stagnuje. </w:t>
            </w:r>
            <w:r w:rsidRPr="00E43BFF">
              <w:rPr>
                <w:rFonts w:cs="Arial"/>
                <w:color w:val="000000" w:themeColor="text1"/>
                <w:spacing w:val="-4"/>
              </w:rPr>
              <w:t>Na konci 3. čtvrtletí 2015 dosahoval 1 663 mld. korun. Meziročně se celkový dluh snížil</w:t>
            </w:r>
            <w:r w:rsidR="000B4F41">
              <w:rPr>
                <w:rFonts w:cs="Arial"/>
                <w:color w:val="000000" w:themeColor="text1"/>
                <w:spacing w:val="-4"/>
              </w:rPr>
              <w:t xml:space="preserve"> o 20 mld. korun, p</w:t>
            </w:r>
            <w:r w:rsidRPr="00E43BFF">
              <w:rPr>
                <w:rFonts w:cs="Arial"/>
                <w:color w:val="000000" w:themeColor="text1"/>
                <w:spacing w:val="-4"/>
              </w:rPr>
              <w:t>řispěla k tomu významná redukc</w:t>
            </w:r>
            <w:r w:rsidR="000B4F41">
              <w:rPr>
                <w:rFonts w:cs="Arial"/>
                <w:color w:val="000000" w:themeColor="text1"/>
                <w:spacing w:val="-4"/>
              </w:rPr>
              <w:t>e vnějšího dluhu (-13,8 %). S</w:t>
            </w:r>
            <w:r w:rsidRPr="00E43BFF">
              <w:rPr>
                <w:rFonts w:cs="Arial"/>
                <w:color w:val="000000" w:themeColor="text1"/>
                <w:spacing w:val="-4"/>
              </w:rPr>
              <w:t>tát svoje nové výpůjčky realizoval prioritně na domácím trhu.</w:t>
            </w:r>
          </w:p>
          <w:p w:rsidR="000F5673" w:rsidRPr="008361F6" w:rsidRDefault="000F5673" w:rsidP="000311C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2"/>
                <w:szCs w:val="12"/>
              </w:rPr>
            </w:pPr>
          </w:p>
        </w:tc>
      </w:tr>
      <w:tr w:rsidR="000F5673" w:rsidTr="000F5673">
        <w:tc>
          <w:tcPr>
            <w:tcW w:w="303" w:type="pct"/>
          </w:tcPr>
          <w:p w:rsidR="000F5673" w:rsidRDefault="000F5673" w:rsidP="000311C5">
            <w:pPr>
              <w:spacing w:line="240" w:lineRule="auto"/>
            </w:pPr>
            <w:r>
              <w:lastRenderedPageBreak/>
              <w:t>Graf č. 19</w:t>
            </w:r>
          </w:p>
        </w:tc>
        <w:tc>
          <w:tcPr>
            <w:tcW w:w="2219" w:type="pct"/>
            <w:gridSpan w:val="3"/>
          </w:tcPr>
          <w:p w:rsidR="000F5673" w:rsidRPr="00E43BFF" w:rsidRDefault="000F5673" w:rsidP="000311C5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Celostátní inkasa daňových příjmů </w:t>
            </w:r>
            <w:r w:rsidRPr="008A3A85">
              <w:rPr>
                <w:rFonts w:cs="Arial"/>
                <w:bCs/>
              </w:rPr>
              <w:t>(y/y, v %)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 saldo státního rozpočtu</w:t>
            </w:r>
            <w:r>
              <w:t xml:space="preserve"> </w:t>
            </w:r>
            <w:r>
              <w:rPr>
                <w:rFonts w:cs="Arial"/>
                <w:bCs/>
              </w:rPr>
              <w:t>(v mld. korun)</w:t>
            </w:r>
          </w:p>
        </w:tc>
        <w:tc>
          <w:tcPr>
            <w:tcW w:w="359" w:type="pct"/>
          </w:tcPr>
          <w:p w:rsidR="000F5673" w:rsidRDefault="000F5673" w:rsidP="000311C5">
            <w:pPr>
              <w:spacing w:line="240" w:lineRule="auto"/>
            </w:pPr>
            <w:r>
              <w:t>Graf č. 20</w:t>
            </w:r>
          </w:p>
        </w:tc>
        <w:tc>
          <w:tcPr>
            <w:tcW w:w="2119" w:type="pct"/>
            <w:gridSpan w:val="2"/>
          </w:tcPr>
          <w:p w:rsidR="000F5673" w:rsidRDefault="000F5673" w:rsidP="000311C5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Vybrané výdaje státního rozpočtu</w:t>
            </w:r>
          </w:p>
          <w:p w:rsidR="000F5673" w:rsidRPr="006F2BEE" w:rsidRDefault="000F5673" w:rsidP="000311C5">
            <w:pPr>
              <w:spacing w:line="240" w:lineRule="auto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Cs/>
              </w:rPr>
              <w:t>(</w:t>
            </w:r>
            <w:r w:rsidRPr="00DB06E9">
              <w:rPr>
                <w:rFonts w:cs="Arial"/>
                <w:bCs/>
              </w:rPr>
              <w:t>v mld. korun</w:t>
            </w:r>
            <w:r>
              <w:rPr>
                <w:rFonts w:cs="Arial"/>
                <w:bCs/>
              </w:rPr>
              <w:t>, kumulace za 1.</w:t>
            </w:r>
            <w:r w:rsidR="00294238">
              <w:rPr>
                <w:rFonts w:cs="Arial"/>
                <w:bCs/>
              </w:rPr>
              <w:t xml:space="preserve"> </w:t>
            </w:r>
            <w:r w:rsidR="006716A5">
              <w:rPr>
                <w:spacing w:val="-4"/>
              </w:rPr>
              <w:t>–</w:t>
            </w:r>
            <w:r w:rsidR="00294238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3.</w:t>
            </w:r>
            <w:r w:rsidR="00294238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čtvrtletí</w:t>
            </w:r>
            <w:r w:rsidRPr="00DB06E9">
              <w:rPr>
                <w:rFonts w:cs="Arial"/>
                <w:bCs/>
              </w:rPr>
              <w:t>)</w:t>
            </w:r>
          </w:p>
        </w:tc>
      </w:tr>
      <w:tr w:rsidR="000F5673" w:rsidTr="000F5673">
        <w:tc>
          <w:tcPr>
            <w:tcW w:w="2522" w:type="pct"/>
            <w:gridSpan w:val="4"/>
          </w:tcPr>
          <w:p w:rsidR="000F5673" w:rsidRDefault="0072670A" w:rsidP="000311C5">
            <w:pPr>
              <w:pStyle w:val="Textpoznpodarou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44.5pt;height:174.75pt">
                  <v:imagedata r:id="rId8" o:title=""/>
                </v:shape>
              </w:pict>
            </w:r>
          </w:p>
        </w:tc>
        <w:tc>
          <w:tcPr>
            <w:tcW w:w="2478" w:type="pct"/>
            <w:gridSpan w:val="3"/>
          </w:tcPr>
          <w:p w:rsidR="000F5673" w:rsidRDefault="0072670A" w:rsidP="000311C5">
            <w:pPr>
              <w:pStyle w:val="Textpoznpodarou"/>
              <w:jc w:val="both"/>
            </w:pPr>
            <w:r>
              <w:pict>
                <v:shape id="_x0000_i1044" type="#_x0000_t75" style="width:239.25pt;height:175.5pt">
                  <v:imagedata r:id="rId9" o:title=""/>
                </v:shape>
              </w:pict>
            </w:r>
          </w:p>
        </w:tc>
      </w:tr>
      <w:tr w:rsidR="000F5673" w:rsidTr="000F5673">
        <w:tc>
          <w:tcPr>
            <w:tcW w:w="5000" w:type="pct"/>
            <w:gridSpan w:val="7"/>
          </w:tcPr>
          <w:p w:rsidR="000F5673" w:rsidRPr="009E6613" w:rsidRDefault="000F5673" w:rsidP="000311C5">
            <w:pPr>
              <w:pStyle w:val="Textpoznpodarou"/>
              <w:rPr>
                <w:sz w:val="18"/>
                <w:szCs w:val="18"/>
              </w:rPr>
            </w:pPr>
            <w:r w:rsidRPr="004C5813">
              <w:rPr>
                <w:sz w:val="18"/>
                <w:szCs w:val="18"/>
              </w:rPr>
              <w:t>*vč. dávek pěstounské péče</w:t>
            </w:r>
            <w:r>
              <w:rPr>
                <w:sz w:val="18"/>
                <w:szCs w:val="18"/>
              </w:rPr>
              <w:t xml:space="preserve">         </w:t>
            </w:r>
            <w:r w:rsidRPr="004C5813">
              <w:rPr>
                <w:sz w:val="18"/>
                <w:szCs w:val="18"/>
              </w:rPr>
              <w:t>**dávky pomoci</w:t>
            </w:r>
            <w:r>
              <w:rPr>
                <w:sz w:val="18"/>
                <w:szCs w:val="18"/>
              </w:rPr>
              <w:t xml:space="preserve"> v hmot.</w:t>
            </w:r>
            <w:r w:rsidRPr="004C5813">
              <w:rPr>
                <w:sz w:val="18"/>
                <w:szCs w:val="18"/>
              </w:rPr>
              <w:t xml:space="preserve"> n</w:t>
            </w:r>
            <w:r>
              <w:rPr>
                <w:sz w:val="18"/>
                <w:szCs w:val="18"/>
              </w:rPr>
              <w:t>ouzi, dávky osobám se zdravot.</w:t>
            </w:r>
            <w:r w:rsidRPr="004C58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postižením, příspěvek na péči </w:t>
            </w:r>
            <w:r w:rsidRPr="004C5813">
              <w:rPr>
                <w:sz w:val="18"/>
                <w:szCs w:val="18"/>
              </w:rPr>
              <w:t>dle zákona o sociálních službách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18"/>
                <w:szCs w:val="18"/>
              </w:rPr>
              <w:t>Zdroj: MF ČR</w:t>
            </w:r>
          </w:p>
        </w:tc>
      </w:tr>
    </w:tbl>
    <w:p w:rsidR="00886A8F" w:rsidRPr="00E21CAB" w:rsidRDefault="00886A8F" w:rsidP="00B55BA8">
      <w:pPr>
        <w:pStyle w:val="Bezmezer"/>
        <w:rPr>
          <w:sz w:val="16"/>
          <w:szCs w:val="16"/>
          <w:lang w:eastAsia="ar-SA"/>
        </w:rPr>
      </w:pPr>
    </w:p>
    <w:tbl>
      <w:tblPr>
        <w:tblW w:w="5079" w:type="pct"/>
        <w:tblCellMar>
          <w:left w:w="28" w:type="dxa"/>
          <w:right w:w="28" w:type="dxa"/>
        </w:tblCellMar>
        <w:tblLook w:val="04A0"/>
      </w:tblPr>
      <w:tblGrid>
        <w:gridCol w:w="755"/>
        <w:gridCol w:w="4192"/>
        <w:gridCol w:w="713"/>
        <w:gridCol w:w="4191"/>
      </w:tblGrid>
      <w:tr w:rsidR="000F5673" w:rsidTr="000311C5">
        <w:tc>
          <w:tcPr>
            <w:tcW w:w="383" w:type="pct"/>
          </w:tcPr>
          <w:p w:rsidR="000F5673" w:rsidRDefault="000F5673" w:rsidP="000311C5">
            <w:pPr>
              <w:spacing w:line="240" w:lineRule="auto"/>
            </w:pPr>
            <w:r>
              <w:t>Graf č. 19</w:t>
            </w:r>
          </w:p>
        </w:tc>
        <w:tc>
          <w:tcPr>
            <w:tcW w:w="2128" w:type="pct"/>
          </w:tcPr>
          <w:p w:rsidR="000F5673" w:rsidRDefault="000F5673" w:rsidP="000311C5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Příjmy a výdaje státního rozpočtu ČR </w:t>
            </w:r>
          </w:p>
          <w:p w:rsidR="000F5673" w:rsidRPr="00267A09" w:rsidRDefault="000F5673" w:rsidP="000311C5">
            <w:pPr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ve vztahu k EU </w:t>
            </w:r>
            <w:r>
              <w:rPr>
                <w:rFonts w:cs="Arial"/>
                <w:bCs/>
              </w:rPr>
              <w:t>(</w:t>
            </w:r>
            <w:r w:rsidRPr="00DB06E9">
              <w:rPr>
                <w:rFonts w:cs="Arial"/>
                <w:bCs/>
              </w:rPr>
              <w:t>v mld. korun</w:t>
            </w:r>
            <w:r w:rsidR="00294238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>1.</w:t>
            </w:r>
            <w:r w:rsidR="00294238">
              <w:rPr>
                <w:rFonts w:cs="Arial"/>
                <w:bCs/>
              </w:rPr>
              <w:t xml:space="preserve"> </w:t>
            </w:r>
            <w:r w:rsidR="006716A5">
              <w:rPr>
                <w:spacing w:val="-4"/>
              </w:rPr>
              <w:t>–</w:t>
            </w:r>
            <w:r w:rsidR="00294238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3.</w:t>
            </w:r>
            <w:r w:rsidR="00294238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čtvrtletí</w:t>
            </w:r>
            <w:r w:rsidRPr="00DB06E9">
              <w:rPr>
                <w:rFonts w:cs="Arial"/>
                <w:bCs/>
              </w:rPr>
              <w:t>)</w:t>
            </w:r>
          </w:p>
        </w:tc>
        <w:tc>
          <w:tcPr>
            <w:tcW w:w="362" w:type="pct"/>
          </w:tcPr>
          <w:p w:rsidR="000F5673" w:rsidRDefault="000F5673" w:rsidP="000311C5">
            <w:pPr>
              <w:spacing w:line="240" w:lineRule="auto"/>
            </w:pPr>
            <w:r>
              <w:t>Graf č. 20</w:t>
            </w:r>
          </w:p>
        </w:tc>
        <w:tc>
          <w:tcPr>
            <w:tcW w:w="2127" w:type="pct"/>
          </w:tcPr>
          <w:p w:rsidR="000F5673" w:rsidRDefault="000F5673" w:rsidP="000311C5">
            <w:pPr>
              <w:spacing w:line="240" w:lineRule="auto"/>
              <w:rPr>
                <w:rFonts w:cs="Arial"/>
                <w:bCs/>
                <w:spacing w:val="-2"/>
              </w:rPr>
            </w:pPr>
            <w:r>
              <w:rPr>
                <w:rFonts w:cs="Arial"/>
                <w:b/>
                <w:bCs/>
                <w:spacing w:val="-2"/>
              </w:rPr>
              <w:t xml:space="preserve">Příjmy </w:t>
            </w:r>
            <w:r w:rsidRPr="006F2BEE">
              <w:rPr>
                <w:rFonts w:cs="Arial"/>
                <w:b/>
                <w:bCs/>
                <w:spacing w:val="-2"/>
              </w:rPr>
              <w:t>a výdaje</w:t>
            </w:r>
            <w:r>
              <w:rPr>
                <w:rFonts w:cs="Arial"/>
                <w:b/>
                <w:bCs/>
                <w:spacing w:val="-2"/>
              </w:rPr>
              <w:t xml:space="preserve"> na důchody ze SR</w:t>
            </w:r>
            <w:r w:rsidRPr="006F2BEE">
              <w:rPr>
                <w:rFonts w:cs="Arial"/>
                <w:b/>
                <w:bCs/>
                <w:spacing w:val="-2"/>
              </w:rPr>
              <w:t xml:space="preserve"> </w:t>
            </w:r>
            <w:r w:rsidRPr="006F2BEE">
              <w:rPr>
                <w:rFonts w:cs="Arial"/>
                <w:bCs/>
                <w:spacing w:val="-2"/>
              </w:rPr>
              <w:t xml:space="preserve">(y/y, v %) </w:t>
            </w:r>
          </w:p>
          <w:p w:rsidR="000F5673" w:rsidRPr="006F2BEE" w:rsidRDefault="000F5673" w:rsidP="000311C5">
            <w:pPr>
              <w:spacing w:line="240" w:lineRule="auto"/>
              <w:rPr>
                <w:rFonts w:cs="Arial"/>
                <w:b/>
                <w:bCs/>
                <w:spacing w:val="-2"/>
              </w:rPr>
            </w:pPr>
            <w:r w:rsidRPr="006F2BEE">
              <w:rPr>
                <w:rFonts w:cs="Arial"/>
                <w:b/>
                <w:bCs/>
                <w:spacing w:val="-2"/>
              </w:rPr>
              <w:t xml:space="preserve">a bilance </w:t>
            </w:r>
            <w:r>
              <w:rPr>
                <w:rFonts w:cs="Arial"/>
                <w:b/>
                <w:bCs/>
                <w:spacing w:val="-2"/>
              </w:rPr>
              <w:t>důchodového</w:t>
            </w:r>
            <w:r w:rsidRPr="006F2BEE">
              <w:rPr>
                <w:rFonts w:cs="Arial"/>
                <w:b/>
                <w:bCs/>
                <w:spacing w:val="-2"/>
              </w:rPr>
              <w:t xml:space="preserve"> účtu </w:t>
            </w:r>
            <w:r w:rsidRPr="006F2BEE">
              <w:rPr>
                <w:rFonts w:cs="Arial"/>
                <w:bCs/>
                <w:spacing w:val="-2"/>
              </w:rPr>
              <w:t>(v mld. korun)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0F5673" w:rsidTr="000311C5">
        <w:tc>
          <w:tcPr>
            <w:tcW w:w="2511" w:type="pct"/>
            <w:gridSpan w:val="2"/>
          </w:tcPr>
          <w:p w:rsidR="000F5673" w:rsidRDefault="0072670A" w:rsidP="000311C5">
            <w:pPr>
              <w:pStyle w:val="Textpoznpodarou"/>
              <w:jc w:val="both"/>
            </w:pPr>
            <w:r>
              <w:pict>
                <v:shape id="_x0000_i1045" type="#_x0000_t75" style="width:244.5pt;height:162pt">
                  <v:imagedata r:id="rId10" o:title=""/>
                </v:shape>
              </w:pict>
            </w:r>
          </w:p>
        </w:tc>
        <w:tc>
          <w:tcPr>
            <w:tcW w:w="2489" w:type="pct"/>
            <w:gridSpan w:val="2"/>
          </w:tcPr>
          <w:p w:rsidR="000F5673" w:rsidRDefault="0072670A" w:rsidP="000311C5">
            <w:pPr>
              <w:pStyle w:val="Textpoznpodarou"/>
              <w:jc w:val="both"/>
            </w:pPr>
            <w:r>
              <w:pict>
                <v:shape id="_x0000_i1046" type="#_x0000_t75" style="width:242.25pt;height:162pt">
                  <v:imagedata r:id="rId11" o:title=""/>
                </v:shape>
              </w:pict>
            </w:r>
          </w:p>
        </w:tc>
      </w:tr>
      <w:tr w:rsidR="000F5673" w:rsidTr="000311C5">
        <w:tc>
          <w:tcPr>
            <w:tcW w:w="5000" w:type="pct"/>
            <w:gridSpan w:val="4"/>
          </w:tcPr>
          <w:p w:rsidR="000F5673" w:rsidRPr="004C5813" w:rsidRDefault="000F5673" w:rsidP="000311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pacing w:val="-2"/>
                <w:sz w:val="18"/>
                <w:szCs w:val="18"/>
              </w:rPr>
            </w:pPr>
            <w:r w:rsidRPr="004C5813">
              <w:rPr>
                <w:sz w:val="18"/>
                <w:szCs w:val="18"/>
                <w:lang w:eastAsia="ar-SA"/>
              </w:rPr>
              <w:t>*</w:t>
            </w:r>
            <w:r w:rsidRPr="004C5813"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 xml:space="preserve"> </w:t>
            </w:r>
            <w:r w:rsidRPr="004C5813"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>Příjmy finančních prostředků z rozpočtu EU na společné programy ČR a EU, včetně prostředků určených na</w:t>
            </w:r>
            <w:r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C5813"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>krytí výdajů Společné zemědělské politiky a Finančních mechanismů.</w:t>
            </w:r>
            <w:r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cs="Arial"/>
                <w:sz w:val="18"/>
                <w:szCs w:val="18"/>
              </w:rPr>
              <w:t>Zdroj: MF ČR, ČSSZ</w:t>
            </w:r>
          </w:p>
        </w:tc>
      </w:tr>
    </w:tbl>
    <w:p w:rsidR="000F5673" w:rsidRPr="000F5673" w:rsidRDefault="000F5673" w:rsidP="00C2463B">
      <w:pPr>
        <w:pStyle w:val="Textpoznpodarou"/>
        <w:jc w:val="both"/>
        <w:rPr>
          <w:rFonts w:cs="Arial"/>
          <w:color w:val="000000" w:themeColor="text1"/>
          <w:spacing w:val="-2"/>
          <w:sz w:val="12"/>
          <w:szCs w:val="12"/>
        </w:rPr>
      </w:pPr>
    </w:p>
    <w:sectPr w:rsidR="000F5673" w:rsidRPr="000F5673" w:rsidSect="00771A28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1134" w:bottom="1418" w:left="1134" w:header="680" w:footer="680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4B" w:rsidRDefault="00463B4B" w:rsidP="00E71A58">
      <w:r>
        <w:separator/>
      </w:r>
    </w:p>
  </w:endnote>
  <w:endnote w:type="continuationSeparator" w:id="0">
    <w:p w:rsidR="00463B4B" w:rsidRDefault="00463B4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Default="0072670A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7728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463B4B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771A28">
      <w:rPr>
        <w:rFonts w:ascii="Arial" w:hAnsi="Arial" w:cs="Arial"/>
        <w:noProof/>
        <w:sz w:val="16"/>
        <w:szCs w:val="16"/>
      </w:rPr>
      <w:t>22</w:t>
    </w:r>
    <w:r w:rsidRPr="005A21E0">
      <w:rPr>
        <w:rFonts w:ascii="Arial" w:hAnsi="Arial" w:cs="Arial"/>
        <w:sz w:val="16"/>
        <w:szCs w:val="16"/>
      </w:rPr>
      <w:fldChar w:fldCharType="end"/>
    </w:r>
    <w:r w:rsidR="00463B4B">
      <w:rPr>
        <w:rFonts w:ascii="Arial" w:hAnsi="Arial" w:cs="Arial"/>
        <w:sz w:val="16"/>
        <w:szCs w:val="16"/>
      </w:rPr>
      <w:tab/>
      <w:t>2015</w:t>
    </w:r>
    <w:r w:rsidR="00463B4B">
      <w:tab/>
    </w:r>
    <w:r w:rsidR="00463B4B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Default="0072670A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51658752;visibility:visible">
          <v:imagedata r:id="rId1" o:title=""/>
        </v:shape>
      </w:pict>
    </w:r>
    <w:r w:rsidR="00463B4B">
      <w:tab/>
    </w:r>
    <w:r w:rsidR="00463B4B">
      <w:tab/>
    </w:r>
    <w:r w:rsidR="00463B4B" w:rsidRPr="00DC5B3B">
      <w:t xml:space="preserve">                              </w:t>
    </w:r>
  </w:p>
  <w:p w:rsidR="00463B4B" w:rsidRPr="00223E00" w:rsidRDefault="00463B4B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rPr>
        <w:rFonts w:ascii="Arial" w:hAnsi="Arial" w:cs="Arial"/>
        <w:sz w:val="16"/>
        <w:szCs w:val="16"/>
      </w:rPr>
      <w:tab/>
    </w:r>
    <w:r w:rsidR="0072670A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72670A" w:rsidRPr="00223E00">
      <w:rPr>
        <w:rFonts w:ascii="Arial" w:hAnsi="Arial" w:cs="Arial"/>
        <w:sz w:val="16"/>
        <w:szCs w:val="16"/>
      </w:rPr>
      <w:fldChar w:fldCharType="separate"/>
    </w:r>
    <w:r w:rsidR="00771A28">
      <w:rPr>
        <w:rFonts w:ascii="Arial" w:hAnsi="Arial" w:cs="Arial"/>
        <w:noProof/>
        <w:sz w:val="16"/>
        <w:szCs w:val="16"/>
      </w:rPr>
      <w:t>21</w:t>
    </w:r>
    <w:r w:rsidR="0072670A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4B" w:rsidRDefault="00463B4B" w:rsidP="00E71A58">
      <w:r>
        <w:separator/>
      </w:r>
    </w:p>
  </w:footnote>
  <w:footnote w:type="continuationSeparator" w:id="0">
    <w:p w:rsidR="00463B4B" w:rsidRDefault="00463B4B" w:rsidP="00E71A58">
      <w:r>
        <w:continuationSeparator/>
      </w:r>
    </w:p>
  </w:footnote>
  <w:footnote w:id="1">
    <w:p w:rsidR="00463B4B" w:rsidRPr="00053274" w:rsidRDefault="00463B4B" w:rsidP="000F5673">
      <w:pPr>
        <w:autoSpaceDE w:val="0"/>
        <w:autoSpaceDN w:val="0"/>
        <w:adjustRightInd w:val="0"/>
        <w:spacing w:line="240" w:lineRule="auto"/>
        <w:jc w:val="both"/>
        <w:rPr>
          <w:spacing w:val="-2"/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pacing w:val="-2"/>
          <w:sz w:val="16"/>
        </w:rPr>
        <w:t>U</w:t>
      </w:r>
      <w:r w:rsidRPr="00007498">
        <w:rPr>
          <w:spacing w:val="-2"/>
          <w:sz w:val="16"/>
        </w:rPr>
        <w:t xml:space="preserve"> </w:t>
      </w:r>
      <w:r>
        <w:rPr>
          <w:iCs/>
          <w:spacing w:val="-2"/>
          <w:sz w:val="16"/>
        </w:rPr>
        <w:t>spotřební daně</w:t>
      </w:r>
      <w:r w:rsidRPr="00007498">
        <w:rPr>
          <w:iCs/>
          <w:spacing w:val="-2"/>
          <w:sz w:val="16"/>
        </w:rPr>
        <w:t xml:space="preserve"> z tabákových výrobků</w:t>
      </w:r>
      <w:r>
        <w:rPr>
          <w:iCs/>
          <w:spacing w:val="-2"/>
          <w:sz w:val="16"/>
        </w:rPr>
        <w:t xml:space="preserve"> souviselo vyšší loňské inkaso s intenzivním </w:t>
      </w:r>
      <w:r w:rsidRPr="0032109A">
        <w:rPr>
          <w:spacing w:val="-2"/>
          <w:sz w:val="16"/>
        </w:rPr>
        <w:t>předzásobením obchodníků na konci roku</w:t>
      </w:r>
      <w:r>
        <w:rPr>
          <w:spacing w:val="-2"/>
          <w:sz w:val="16"/>
        </w:rPr>
        <w:t xml:space="preserve"> 2013 z</w:t>
      </w:r>
      <w:r w:rsidRPr="00092208">
        <w:rPr>
          <w:spacing w:val="-2"/>
          <w:sz w:val="16"/>
        </w:rPr>
        <w:t> </w:t>
      </w:r>
      <w:r>
        <w:rPr>
          <w:spacing w:val="-2"/>
          <w:sz w:val="16"/>
        </w:rPr>
        <w:t>důvodu následného zvýšení sazeb. K 1. 12. 2014 došlo k dalšímu navýšení sazeb spotřební daně u tabákových výrobků, doplněné ale navíc i regulací předzásobení. Vyšší základna u DPH souvisela s dočasným zadržením výplaty části nadměrných odpočtů na počátku roku 2014 (ve výši 8,7</w:t>
      </w:r>
      <w:r w:rsidRPr="00092208">
        <w:rPr>
          <w:spacing w:val="-2"/>
          <w:sz w:val="16"/>
        </w:rPr>
        <w:t> </w:t>
      </w:r>
      <w:r>
        <w:rPr>
          <w:spacing w:val="-2"/>
          <w:sz w:val="16"/>
        </w:rPr>
        <w:t xml:space="preserve">mld. korun) u neusazených plátců DPH, Na konci září 2014 byla zadržována ještě částka ve výši </w:t>
      </w:r>
      <w:r w:rsidRPr="00053274">
        <w:rPr>
          <w:spacing w:val="-2"/>
          <w:sz w:val="16"/>
        </w:rPr>
        <w:t>3,7 mld. Kč</w:t>
      </w:r>
      <w:r>
        <w:rPr>
          <w:spacing w:val="-2"/>
          <w:sz w:val="16"/>
        </w:rPr>
        <w:t>, což stále zvyšovalo</w:t>
      </w:r>
      <w:r w:rsidRPr="00053274">
        <w:rPr>
          <w:spacing w:val="-2"/>
          <w:sz w:val="16"/>
        </w:rPr>
        <w:t xml:space="preserve"> srovnávací základnu za prvních devět měsíců roku 2014.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Pr="00D766EF" w:rsidRDefault="00463B4B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Pr="00D766EF" w:rsidRDefault="00463B4B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645FC"/>
    <w:multiLevelType w:val="hybridMultilevel"/>
    <w:tmpl w:val="47F858E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FA7"/>
    <w:rsid w:val="00003687"/>
    <w:rsid w:val="00003C43"/>
    <w:rsid w:val="00007498"/>
    <w:rsid w:val="0000767A"/>
    <w:rsid w:val="000101F5"/>
    <w:rsid w:val="000104B9"/>
    <w:rsid w:val="00010702"/>
    <w:rsid w:val="00011191"/>
    <w:rsid w:val="0001159B"/>
    <w:rsid w:val="00012986"/>
    <w:rsid w:val="00015195"/>
    <w:rsid w:val="0001572B"/>
    <w:rsid w:val="0001573E"/>
    <w:rsid w:val="000162DB"/>
    <w:rsid w:val="00017F05"/>
    <w:rsid w:val="000202C6"/>
    <w:rsid w:val="00020946"/>
    <w:rsid w:val="00024887"/>
    <w:rsid w:val="00024CBA"/>
    <w:rsid w:val="00025501"/>
    <w:rsid w:val="00026998"/>
    <w:rsid w:val="000304C4"/>
    <w:rsid w:val="0003066A"/>
    <w:rsid w:val="00030F14"/>
    <w:rsid w:val="000311C5"/>
    <w:rsid w:val="00032838"/>
    <w:rsid w:val="00032C12"/>
    <w:rsid w:val="00035CCF"/>
    <w:rsid w:val="00035FC6"/>
    <w:rsid w:val="00037667"/>
    <w:rsid w:val="000411E1"/>
    <w:rsid w:val="00043E05"/>
    <w:rsid w:val="0004694F"/>
    <w:rsid w:val="000500DC"/>
    <w:rsid w:val="00052172"/>
    <w:rsid w:val="00055059"/>
    <w:rsid w:val="000553E4"/>
    <w:rsid w:val="00060F26"/>
    <w:rsid w:val="00062D43"/>
    <w:rsid w:val="00062EC5"/>
    <w:rsid w:val="00064256"/>
    <w:rsid w:val="000706A4"/>
    <w:rsid w:val="00072118"/>
    <w:rsid w:val="00073173"/>
    <w:rsid w:val="000779AC"/>
    <w:rsid w:val="00083803"/>
    <w:rsid w:val="0008716A"/>
    <w:rsid w:val="00087634"/>
    <w:rsid w:val="00091237"/>
    <w:rsid w:val="0009191B"/>
    <w:rsid w:val="000920EC"/>
    <w:rsid w:val="00092208"/>
    <w:rsid w:val="00092505"/>
    <w:rsid w:val="00097D02"/>
    <w:rsid w:val="000A1183"/>
    <w:rsid w:val="000A2121"/>
    <w:rsid w:val="000A2484"/>
    <w:rsid w:val="000A66C2"/>
    <w:rsid w:val="000B1CFE"/>
    <w:rsid w:val="000B210A"/>
    <w:rsid w:val="000B249B"/>
    <w:rsid w:val="000B3DB9"/>
    <w:rsid w:val="000B3F02"/>
    <w:rsid w:val="000B48E7"/>
    <w:rsid w:val="000B4F41"/>
    <w:rsid w:val="000B7663"/>
    <w:rsid w:val="000C11D3"/>
    <w:rsid w:val="000C12F5"/>
    <w:rsid w:val="000C3408"/>
    <w:rsid w:val="000C6498"/>
    <w:rsid w:val="000D0D51"/>
    <w:rsid w:val="000D14B3"/>
    <w:rsid w:val="000D208B"/>
    <w:rsid w:val="000D2B8D"/>
    <w:rsid w:val="000D2E41"/>
    <w:rsid w:val="000D342A"/>
    <w:rsid w:val="000D5E7A"/>
    <w:rsid w:val="000D5FAA"/>
    <w:rsid w:val="000D65A4"/>
    <w:rsid w:val="000D6AEF"/>
    <w:rsid w:val="000E025B"/>
    <w:rsid w:val="000E153A"/>
    <w:rsid w:val="000E19A8"/>
    <w:rsid w:val="000E4A42"/>
    <w:rsid w:val="000E6476"/>
    <w:rsid w:val="000E78D2"/>
    <w:rsid w:val="000F3332"/>
    <w:rsid w:val="000F33EE"/>
    <w:rsid w:val="000F401E"/>
    <w:rsid w:val="000F5445"/>
    <w:rsid w:val="000F5673"/>
    <w:rsid w:val="000F67B2"/>
    <w:rsid w:val="000F790F"/>
    <w:rsid w:val="000F7E1B"/>
    <w:rsid w:val="00100014"/>
    <w:rsid w:val="0010039A"/>
    <w:rsid w:val="00101FB2"/>
    <w:rsid w:val="00102F02"/>
    <w:rsid w:val="0010385D"/>
    <w:rsid w:val="001041B6"/>
    <w:rsid w:val="001070EA"/>
    <w:rsid w:val="0011002A"/>
    <w:rsid w:val="001107CE"/>
    <w:rsid w:val="0011110A"/>
    <w:rsid w:val="001118AF"/>
    <w:rsid w:val="0011256E"/>
    <w:rsid w:val="0011352E"/>
    <w:rsid w:val="00116DB9"/>
    <w:rsid w:val="00116F28"/>
    <w:rsid w:val="00121C39"/>
    <w:rsid w:val="00123255"/>
    <w:rsid w:val="00124D2D"/>
    <w:rsid w:val="00125326"/>
    <w:rsid w:val="001307BE"/>
    <w:rsid w:val="00130C8F"/>
    <w:rsid w:val="001314F2"/>
    <w:rsid w:val="001317DA"/>
    <w:rsid w:val="001323BA"/>
    <w:rsid w:val="0013254D"/>
    <w:rsid w:val="00133AAC"/>
    <w:rsid w:val="00136561"/>
    <w:rsid w:val="001400E1"/>
    <w:rsid w:val="001405FA"/>
    <w:rsid w:val="001413B3"/>
    <w:rsid w:val="001425C3"/>
    <w:rsid w:val="00142F16"/>
    <w:rsid w:val="00143E03"/>
    <w:rsid w:val="00143E93"/>
    <w:rsid w:val="00151AC0"/>
    <w:rsid w:val="00151B27"/>
    <w:rsid w:val="00152046"/>
    <w:rsid w:val="00154147"/>
    <w:rsid w:val="00155746"/>
    <w:rsid w:val="00156318"/>
    <w:rsid w:val="0015639A"/>
    <w:rsid w:val="0016081D"/>
    <w:rsid w:val="00160CF3"/>
    <w:rsid w:val="001620FA"/>
    <w:rsid w:val="00162853"/>
    <w:rsid w:val="00163793"/>
    <w:rsid w:val="001707DE"/>
    <w:rsid w:val="00170B04"/>
    <w:rsid w:val="00170F47"/>
    <w:rsid w:val="001714F2"/>
    <w:rsid w:val="00173642"/>
    <w:rsid w:val="00173CB0"/>
    <w:rsid w:val="00174CE8"/>
    <w:rsid w:val="00175351"/>
    <w:rsid w:val="00176050"/>
    <w:rsid w:val="001764D8"/>
    <w:rsid w:val="00176A8F"/>
    <w:rsid w:val="00180D58"/>
    <w:rsid w:val="00182981"/>
    <w:rsid w:val="00184CF9"/>
    <w:rsid w:val="00185010"/>
    <w:rsid w:val="001852EC"/>
    <w:rsid w:val="00186447"/>
    <w:rsid w:val="001874CF"/>
    <w:rsid w:val="00190D9B"/>
    <w:rsid w:val="00191BAE"/>
    <w:rsid w:val="00193432"/>
    <w:rsid w:val="0019346C"/>
    <w:rsid w:val="00195444"/>
    <w:rsid w:val="001A2BDB"/>
    <w:rsid w:val="001A30F4"/>
    <w:rsid w:val="001A552F"/>
    <w:rsid w:val="001A56F3"/>
    <w:rsid w:val="001A750C"/>
    <w:rsid w:val="001B1D89"/>
    <w:rsid w:val="001B3110"/>
    <w:rsid w:val="001B4198"/>
    <w:rsid w:val="001B44BC"/>
    <w:rsid w:val="001B6545"/>
    <w:rsid w:val="001B681B"/>
    <w:rsid w:val="001B6A49"/>
    <w:rsid w:val="001B74FB"/>
    <w:rsid w:val="001B77A1"/>
    <w:rsid w:val="001C0422"/>
    <w:rsid w:val="001C0E0E"/>
    <w:rsid w:val="001C1219"/>
    <w:rsid w:val="001C357A"/>
    <w:rsid w:val="001C3A37"/>
    <w:rsid w:val="001C4384"/>
    <w:rsid w:val="001C65FF"/>
    <w:rsid w:val="001D47E5"/>
    <w:rsid w:val="001D584C"/>
    <w:rsid w:val="001D66C1"/>
    <w:rsid w:val="001E0024"/>
    <w:rsid w:val="001E0C65"/>
    <w:rsid w:val="001E23E3"/>
    <w:rsid w:val="001E387A"/>
    <w:rsid w:val="001E3DA4"/>
    <w:rsid w:val="001E5830"/>
    <w:rsid w:val="001E684C"/>
    <w:rsid w:val="001E701C"/>
    <w:rsid w:val="001E7C03"/>
    <w:rsid w:val="001F02AF"/>
    <w:rsid w:val="001F0649"/>
    <w:rsid w:val="001F28F4"/>
    <w:rsid w:val="001F378E"/>
    <w:rsid w:val="001F3C79"/>
    <w:rsid w:val="001F3E68"/>
    <w:rsid w:val="001F4597"/>
    <w:rsid w:val="001F56A9"/>
    <w:rsid w:val="00200D15"/>
    <w:rsid w:val="00203074"/>
    <w:rsid w:val="00203B46"/>
    <w:rsid w:val="002048E1"/>
    <w:rsid w:val="00207DB6"/>
    <w:rsid w:val="00210278"/>
    <w:rsid w:val="00210CC2"/>
    <w:rsid w:val="00210F5B"/>
    <w:rsid w:val="00211262"/>
    <w:rsid w:val="00211AC9"/>
    <w:rsid w:val="0021355B"/>
    <w:rsid w:val="002205F2"/>
    <w:rsid w:val="0022080E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30DAD"/>
    <w:rsid w:val="0023229C"/>
    <w:rsid w:val="00234280"/>
    <w:rsid w:val="00235000"/>
    <w:rsid w:val="002350E3"/>
    <w:rsid w:val="00235330"/>
    <w:rsid w:val="00236443"/>
    <w:rsid w:val="00240773"/>
    <w:rsid w:val="00240A5B"/>
    <w:rsid w:val="002436BA"/>
    <w:rsid w:val="002444ED"/>
    <w:rsid w:val="00244A15"/>
    <w:rsid w:val="00244D40"/>
    <w:rsid w:val="00246AE9"/>
    <w:rsid w:val="0024799E"/>
    <w:rsid w:val="00250C59"/>
    <w:rsid w:val="00251D59"/>
    <w:rsid w:val="00252602"/>
    <w:rsid w:val="00252FDC"/>
    <w:rsid w:val="00257613"/>
    <w:rsid w:val="00261E5B"/>
    <w:rsid w:val="00263470"/>
    <w:rsid w:val="00263733"/>
    <w:rsid w:val="00264676"/>
    <w:rsid w:val="00265536"/>
    <w:rsid w:val="00265E54"/>
    <w:rsid w:val="00266F3E"/>
    <w:rsid w:val="00272464"/>
    <w:rsid w:val="00273DCD"/>
    <w:rsid w:val="00274291"/>
    <w:rsid w:val="00276CFE"/>
    <w:rsid w:val="00277071"/>
    <w:rsid w:val="0027786C"/>
    <w:rsid w:val="00277BF7"/>
    <w:rsid w:val="00281416"/>
    <w:rsid w:val="00285CD3"/>
    <w:rsid w:val="0028686A"/>
    <w:rsid w:val="00286E66"/>
    <w:rsid w:val="002919B5"/>
    <w:rsid w:val="00293441"/>
    <w:rsid w:val="00294238"/>
    <w:rsid w:val="0029493E"/>
    <w:rsid w:val="00296C2E"/>
    <w:rsid w:val="002A1B05"/>
    <w:rsid w:val="002A3354"/>
    <w:rsid w:val="002A35EA"/>
    <w:rsid w:val="002A37B6"/>
    <w:rsid w:val="002A3BD5"/>
    <w:rsid w:val="002A43A2"/>
    <w:rsid w:val="002A4612"/>
    <w:rsid w:val="002A5263"/>
    <w:rsid w:val="002A6821"/>
    <w:rsid w:val="002A74D2"/>
    <w:rsid w:val="002A7CDA"/>
    <w:rsid w:val="002B1544"/>
    <w:rsid w:val="002B36C8"/>
    <w:rsid w:val="002B7240"/>
    <w:rsid w:val="002C2668"/>
    <w:rsid w:val="002C43BD"/>
    <w:rsid w:val="002C5261"/>
    <w:rsid w:val="002C6091"/>
    <w:rsid w:val="002D0562"/>
    <w:rsid w:val="002D1B5A"/>
    <w:rsid w:val="002D3F00"/>
    <w:rsid w:val="002D4D59"/>
    <w:rsid w:val="002D54BF"/>
    <w:rsid w:val="002D5E94"/>
    <w:rsid w:val="002D632D"/>
    <w:rsid w:val="002E02A1"/>
    <w:rsid w:val="002E0982"/>
    <w:rsid w:val="002E0DB9"/>
    <w:rsid w:val="002E2CE4"/>
    <w:rsid w:val="002E73F2"/>
    <w:rsid w:val="002F33FB"/>
    <w:rsid w:val="002F7594"/>
    <w:rsid w:val="00301357"/>
    <w:rsid w:val="00301D04"/>
    <w:rsid w:val="00303DCB"/>
    <w:rsid w:val="00304771"/>
    <w:rsid w:val="00305736"/>
    <w:rsid w:val="00306C5B"/>
    <w:rsid w:val="00306E3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513D"/>
    <w:rsid w:val="00326251"/>
    <w:rsid w:val="0032739C"/>
    <w:rsid w:val="00327DEE"/>
    <w:rsid w:val="003329F3"/>
    <w:rsid w:val="0033352E"/>
    <w:rsid w:val="00333690"/>
    <w:rsid w:val="00333D20"/>
    <w:rsid w:val="003340EF"/>
    <w:rsid w:val="00334A49"/>
    <w:rsid w:val="0033536F"/>
    <w:rsid w:val="00335BB0"/>
    <w:rsid w:val="0033627B"/>
    <w:rsid w:val="003406BD"/>
    <w:rsid w:val="00343F84"/>
    <w:rsid w:val="00344135"/>
    <w:rsid w:val="00351B63"/>
    <w:rsid w:val="00352E57"/>
    <w:rsid w:val="003541B0"/>
    <w:rsid w:val="00355885"/>
    <w:rsid w:val="0035605E"/>
    <w:rsid w:val="00357449"/>
    <w:rsid w:val="0036238B"/>
    <w:rsid w:val="00365680"/>
    <w:rsid w:val="003657F3"/>
    <w:rsid w:val="00367038"/>
    <w:rsid w:val="0037144E"/>
    <w:rsid w:val="003736B5"/>
    <w:rsid w:val="00374F1E"/>
    <w:rsid w:val="00376DEC"/>
    <w:rsid w:val="00380E04"/>
    <w:rsid w:val="00383227"/>
    <w:rsid w:val="00384D8F"/>
    <w:rsid w:val="00385D98"/>
    <w:rsid w:val="00385EC5"/>
    <w:rsid w:val="0039066E"/>
    <w:rsid w:val="00391C95"/>
    <w:rsid w:val="00394D49"/>
    <w:rsid w:val="00396DAC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E63"/>
    <w:rsid w:val="003B3189"/>
    <w:rsid w:val="003B3A9D"/>
    <w:rsid w:val="003B5031"/>
    <w:rsid w:val="003B5A32"/>
    <w:rsid w:val="003B6105"/>
    <w:rsid w:val="003C04C4"/>
    <w:rsid w:val="003C26F4"/>
    <w:rsid w:val="003C3686"/>
    <w:rsid w:val="003C4852"/>
    <w:rsid w:val="003C601E"/>
    <w:rsid w:val="003D2C4E"/>
    <w:rsid w:val="003D3600"/>
    <w:rsid w:val="003D3825"/>
    <w:rsid w:val="003D3EC4"/>
    <w:rsid w:val="003D4760"/>
    <w:rsid w:val="003D49DC"/>
    <w:rsid w:val="003D5D7A"/>
    <w:rsid w:val="003E0663"/>
    <w:rsid w:val="003E133F"/>
    <w:rsid w:val="003E699C"/>
    <w:rsid w:val="003E69F3"/>
    <w:rsid w:val="003E782E"/>
    <w:rsid w:val="003E7A0B"/>
    <w:rsid w:val="003E7B2B"/>
    <w:rsid w:val="003F1A48"/>
    <w:rsid w:val="003F2B0A"/>
    <w:rsid w:val="003F313C"/>
    <w:rsid w:val="003F37FC"/>
    <w:rsid w:val="003F49A6"/>
    <w:rsid w:val="003F5098"/>
    <w:rsid w:val="003F5568"/>
    <w:rsid w:val="003F5A95"/>
    <w:rsid w:val="003F6D19"/>
    <w:rsid w:val="004000D5"/>
    <w:rsid w:val="004005C1"/>
    <w:rsid w:val="00401716"/>
    <w:rsid w:val="0040273A"/>
    <w:rsid w:val="00402C25"/>
    <w:rsid w:val="004050D7"/>
    <w:rsid w:val="004078BD"/>
    <w:rsid w:val="00410132"/>
    <w:rsid w:val="00410BCD"/>
    <w:rsid w:val="0041175D"/>
    <w:rsid w:val="004123BE"/>
    <w:rsid w:val="00414CE5"/>
    <w:rsid w:val="00416673"/>
    <w:rsid w:val="0042160D"/>
    <w:rsid w:val="00423A3C"/>
    <w:rsid w:val="0042681B"/>
    <w:rsid w:val="0043068A"/>
    <w:rsid w:val="004306E0"/>
    <w:rsid w:val="00431D54"/>
    <w:rsid w:val="004329BE"/>
    <w:rsid w:val="00432C38"/>
    <w:rsid w:val="00437C76"/>
    <w:rsid w:val="0044105C"/>
    <w:rsid w:val="004441A0"/>
    <w:rsid w:val="00444268"/>
    <w:rsid w:val="004443BF"/>
    <w:rsid w:val="00444C19"/>
    <w:rsid w:val="00446892"/>
    <w:rsid w:val="00450C30"/>
    <w:rsid w:val="004540FF"/>
    <w:rsid w:val="004541F1"/>
    <w:rsid w:val="00455ECA"/>
    <w:rsid w:val="00460164"/>
    <w:rsid w:val="0046039A"/>
    <w:rsid w:val="00460A6B"/>
    <w:rsid w:val="00461977"/>
    <w:rsid w:val="004629FD"/>
    <w:rsid w:val="00463B4B"/>
    <w:rsid w:val="00463F4D"/>
    <w:rsid w:val="0046471F"/>
    <w:rsid w:val="00464BE8"/>
    <w:rsid w:val="00465019"/>
    <w:rsid w:val="0046613F"/>
    <w:rsid w:val="0046655D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EAF"/>
    <w:rsid w:val="00477EE0"/>
    <w:rsid w:val="0048139F"/>
    <w:rsid w:val="00483053"/>
    <w:rsid w:val="00485230"/>
    <w:rsid w:val="004879E9"/>
    <w:rsid w:val="00487F81"/>
    <w:rsid w:val="00490247"/>
    <w:rsid w:val="0049104F"/>
    <w:rsid w:val="00491218"/>
    <w:rsid w:val="00491CFD"/>
    <w:rsid w:val="00493362"/>
    <w:rsid w:val="00496C2F"/>
    <w:rsid w:val="0049740D"/>
    <w:rsid w:val="004978D3"/>
    <w:rsid w:val="004A11F8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10A8"/>
    <w:rsid w:val="004B22DA"/>
    <w:rsid w:val="004B3CB7"/>
    <w:rsid w:val="004B3D55"/>
    <w:rsid w:val="004B55B7"/>
    <w:rsid w:val="004C00A6"/>
    <w:rsid w:val="004C0BBB"/>
    <w:rsid w:val="004C1AD6"/>
    <w:rsid w:val="004C1B86"/>
    <w:rsid w:val="004C3382"/>
    <w:rsid w:val="004C3867"/>
    <w:rsid w:val="004C4AB7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504B"/>
    <w:rsid w:val="004D536E"/>
    <w:rsid w:val="004E1839"/>
    <w:rsid w:val="004E4A75"/>
    <w:rsid w:val="004E541A"/>
    <w:rsid w:val="004E5A5C"/>
    <w:rsid w:val="004E76D6"/>
    <w:rsid w:val="004F06F5"/>
    <w:rsid w:val="004F191F"/>
    <w:rsid w:val="004F2A73"/>
    <w:rsid w:val="004F33A0"/>
    <w:rsid w:val="004F4353"/>
    <w:rsid w:val="004F447D"/>
    <w:rsid w:val="004F4C28"/>
    <w:rsid w:val="004F5CC5"/>
    <w:rsid w:val="0050692E"/>
    <w:rsid w:val="00507040"/>
    <w:rsid w:val="005079F8"/>
    <w:rsid w:val="00510189"/>
    <w:rsid w:val="005108C0"/>
    <w:rsid w:val="00511873"/>
    <w:rsid w:val="00513B7E"/>
    <w:rsid w:val="00514474"/>
    <w:rsid w:val="005215EF"/>
    <w:rsid w:val="00524637"/>
    <w:rsid w:val="00525137"/>
    <w:rsid w:val="005251DD"/>
    <w:rsid w:val="0053017A"/>
    <w:rsid w:val="00530492"/>
    <w:rsid w:val="00532854"/>
    <w:rsid w:val="005350F2"/>
    <w:rsid w:val="00535152"/>
    <w:rsid w:val="00535359"/>
    <w:rsid w:val="005357A2"/>
    <w:rsid w:val="00535D87"/>
    <w:rsid w:val="00535EF0"/>
    <w:rsid w:val="0053734B"/>
    <w:rsid w:val="005375B1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5CDC"/>
    <w:rsid w:val="005765D5"/>
    <w:rsid w:val="00576A3E"/>
    <w:rsid w:val="0057703D"/>
    <w:rsid w:val="00583D5B"/>
    <w:rsid w:val="00583FFD"/>
    <w:rsid w:val="00587CCD"/>
    <w:rsid w:val="005908AE"/>
    <w:rsid w:val="0059176E"/>
    <w:rsid w:val="00593152"/>
    <w:rsid w:val="00593CA3"/>
    <w:rsid w:val="00594161"/>
    <w:rsid w:val="00594969"/>
    <w:rsid w:val="00596C5E"/>
    <w:rsid w:val="005A2194"/>
    <w:rsid w:val="005A21E0"/>
    <w:rsid w:val="005A33A1"/>
    <w:rsid w:val="005A54EE"/>
    <w:rsid w:val="005A7500"/>
    <w:rsid w:val="005B1BDB"/>
    <w:rsid w:val="005B2BAA"/>
    <w:rsid w:val="005B2D53"/>
    <w:rsid w:val="005B3247"/>
    <w:rsid w:val="005B3409"/>
    <w:rsid w:val="005B7B12"/>
    <w:rsid w:val="005C16CB"/>
    <w:rsid w:val="005C21D6"/>
    <w:rsid w:val="005C3F9F"/>
    <w:rsid w:val="005C4A23"/>
    <w:rsid w:val="005C562C"/>
    <w:rsid w:val="005C5812"/>
    <w:rsid w:val="005C6400"/>
    <w:rsid w:val="005C7F1E"/>
    <w:rsid w:val="005D374F"/>
    <w:rsid w:val="005D5802"/>
    <w:rsid w:val="005D6CFC"/>
    <w:rsid w:val="005D73E2"/>
    <w:rsid w:val="005D757A"/>
    <w:rsid w:val="005E1E4B"/>
    <w:rsid w:val="005E362D"/>
    <w:rsid w:val="005E492C"/>
    <w:rsid w:val="005E4BAA"/>
    <w:rsid w:val="005E52EF"/>
    <w:rsid w:val="005E5B56"/>
    <w:rsid w:val="005E6088"/>
    <w:rsid w:val="005E61DF"/>
    <w:rsid w:val="005E6B78"/>
    <w:rsid w:val="005F4057"/>
    <w:rsid w:val="005F4088"/>
    <w:rsid w:val="005F601D"/>
    <w:rsid w:val="005F6119"/>
    <w:rsid w:val="0060107A"/>
    <w:rsid w:val="00601AFF"/>
    <w:rsid w:val="00602D1D"/>
    <w:rsid w:val="00604307"/>
    <w:rsid w:val="0060487F"/>
    <w:rsid w:val="00605814"/>
    <w:rsid w:val="00606B93"/>
    <w:rsid w:val="00607727"/>
    <w:rsid w:val="006118AA"/>
    <w:rsid w:val="006139C7"/>
    <w:rsid w:val="006153E3"/>
    <w:rsid w:val="006167AB"/>
    <w:rsid w:val="00617D2D"/>
    <w:rsid w:val="00617D83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E79"/>
    <w:rsid w:val="00636E5E"/>
    <w:rsid w:val="006404A7"/>
    <w:rsid w:val="006407F3"/>
    <w:rsid w:val="00644DFC"/>
    <w:rsid w:val="006451E4"/>
    <w:rsid w:val="006460B8"/>
    <w:rsid w:val="006504A0"/>
    <w:rsid w:val="006520C7"/>
    <w:rsid w:val="00652CBB"/>
    <w:rsid w:val="006530B8"/>
    <w:rsid w:val="006535D6"/>
    <w:rsid w:val="006572ED"/>
    <w:rsid w:val="00657E87"/>
    <w:rsid w:val="00660457"/>
    <w:rsid w:val="00660E1E"/>
    <w:rsid w:val="006637B1"/>
    <w:rsid w:val="00664B64"/>
    <w:rsid w:val="00665D67"/>
    <w:rsid w:val="00665D77"/>
    <w:rsid w:val="006660CD"/>
    <w:rsid w:val="00666EC8"/>
    <w:rsid w:val="00666F4B"/>
    <w:rsid w:val="006676D0"/>
    <w:rsid w:val="00670FAC"/>
    <w:rsid w:val="006710C9"/>
    <w:rsid w:val="006716A5"/>
    <w:rsid w:val="00675E37"/>
    <w:rsid w:val="00676F11"/>
    <w:rsid w:val="00680079"/>
    <w:rsid w:val="00680F68"/>
    <w:rsid w:val="0068260E"/>
    <w:rsid w:val="0068373D"/>
    <w:rsid w:val="00683BFE"/>
    <w:rsid w:val="006857DF"/>
    <w:rsid w:val="00685E66"/>
    <w:rsid w:val="00686B72"/>
    <w:rsid w:val="00686BF1"/>
    <w:rsid w:val="00690A09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2EE8"/>
    <w:rsid w:val="006A3CF3"/>
    <w:rsid w:val="006A568F"/>
    <w:rsid w:val="006A672B"/>
    <w:rsid w:val="006B3F8A"/>
    <w:rsid w:val="006B5CA3"/>
    <w:rsid w:val="006B6B3B"/>
    <w:rsid w:val="006B7714"/>
    <w:rsid w:val="006B78D8"/>
    <w:rsid w:val="006C090F"/>
    <w:rsid w:val="006C113F"/>
    <w:rsid w:val="006C2AED"/>
    <w:rsid w:val="006C38DD"/>
    <w:rsid w:val="006C5577"/>
    <w:rsid w:val="006C559A"/>
    <w:rsid w:val="006C58FA"/>
    <w:rsid w:val="006D042D"/>
    <w:rsid w:val="006D06EF"/>
    <w:rsid w:val="006D142E"/>
    <w:rsid w:val="006D4497"/>
    <w:rsid w:val="006D4E6F"/>
    <w:rsid w:val="006D61F6"/>
    <w:rsid w:val="006E1F4C"/>
    <w:rsid w:val="006E279A"/>
    <w:rsid w:val="006E2F3F"/>
    <w:rsid w:val="006E313B"/>
    <w:rsid w:val="006E442A"/>
    <w:rsid w:val="006E4434"/>
    <w:rsid w:val="006E5CFD"/>
    <w:rsid w:val="006F1326"/>
    <w:rsid w:val="006F2BEE"/>
    <w:rsid w:val="006F3708"/>
    <w:rsid w:val="006F3E6B"/>
    <w:rsid w:val="006F4619"/>
    <w:rsid w:val="006F4A59"/>
    <w:rsid w:val="007014C7"/>
    <w:rsid w:val="00702D6F"/>
    <w:rsid w:val="00703B6C"/>
    <w:rsid w:val="007047D5"/>
    <w:rsid w:val="00705D98"/>
    <w:rsid w:val="00707891"/>
    <w:rsid w:val="00707D43"/>
    <w:rsid w:val="00711EF1"/>
    <w:rsid w:val="0071229A"/>
    <w:rsid w:val="00712572"/>
    <w:rsid w:val="00713495"/>
    <w:rsid w:val="00713EEB"/>
    <w:rsid w:val="00720FA2"/>
    <w:rsid w:val="007211F5"/>
    <w:rsid w:val="00724666"/>
    <w:rsid w:val="00726043"/>
    <w:rsid w:val="0072670A"/>
    <w:rsid w:val="0072704A"/>
    <w:rsid w:val="00730AE8"/>
    <w:rsid w:val="00731963"/>
    <w:rsid w:val="00734321"/>
    <w:rsid w:val="00740310"/>
    <w:rsid w:val="00740652"/>
    <w:rsid w:val="00740F02"/>
    <w:rsid w:val="00740FEC"/>
    <w:rsid w:val="0074132E"/>
    <w:rsid w:val="00741493"/>
    <w:rsid w:val="007426B3"/>
    <w:rsid w:val="007426FD"/>
    <w:rsid w:val="0074329D"/>
    <w:rsid w:val="00744376"/>
    <w:rsid w:val="007449EA"/>
    <w:rsid w:val="00746DD9"/>
    <w:rsid w:val="0075057A"/>
    <w:rsid w:val="00751771"/>
    <w:rsid w:val="00751C1C"/>
    <w:rsid w:val="00752180"/>
    <w:rsid w:val="007521A1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F2"/>
    <w:rsid w:val="00762EBA"/>
    <w:rsid w:val="0076359D"/>
    <w:rsid w:val="0077058D"/>
    <w:rsid w:val="00771A28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9F2"/>
    <w:rsid w:val="00791CF8"/>
    <w:rsid w:val="00792262"/>
    <w:rsid w:val="00793387"/>
    <w:rsid w:val="00793BAE"/>
    <w:rsid w:val="00794E0A"/>
    <w:rsid w:val="00796642"/>
    <w:rsid w:val="007A11D9"/>
    <w:rsid w:val="007A327B"/>
    <w:rsid w:val="007A4606"/>
    <w:rsid w:val="007B1966"/>
    <w:rsid w:val="007B3DCC"/>
    <w:rsid w:val="007B4518"/>
    <w:rsid w:val="007B5031"/>
    <w:rsid w:val="007B573F"/>
    <w:rsid w:val="007C605B"/>
    <w:rsid w:val="007D2A5A"/>
    <w:rsid w:val="007D2AD8"/>
    <w:rsid w:val="007D2C47"/>
    <w:rsid w:val="007D3167"/>
    <w:rsid w:val="007D4281"/>
    <w:rsid w:val="007D42F5"/>
    <w:rsid w:val="007D44C3"/>
    <w:rsid w:val="007D5947"/>
    <w:rsid w:val="007D65C1"/>
    <w:rsid w:val="007E030F"/>
    <w:rsid w:val="007E0E59"/>
    <w:rsid w:val="007E0F4B"/>
    <w:rsid w:val="007E7E61"/>
    <w:rsid w:val="007F0845"/>
    <w:rsid w:val="007F16F9"/>
    <w:rsid w:val="007F3E3E"/>
    <w:rsid w:val="007F500D"/>
    <w:rsid w:val="007F5F14"/>
    <w:rsid w:val="007F7B54"/>
    <w:rsid w:val="008005D7"/>
    <w:rsid w:val="00801FDD"/>
    <w:rsid w:val="008020C2"/>
    <w:rsid w:val="0080255C"/>
    <w:rsid w:val="0081187C"/>
    <w:rsid w:val="00811E24"/>
    <w:rsid w:val="00812E2B"/>
    <w:rsid w:val="00813A70"/>
    <w:rsid w:val="00813FE6"/>
    <w:rsid w:val="00815C6E"/>
    <w:rsid w:val="0081645F"/>
    <w:rsid w:val="008178C2"/>
    <w:rsid w:val="008178CF"/>
    <w:rsid w:val="00817C98"/>
    <w:rsid w:val="00820C9F"/>
    <w:rsid w:val="00821FF6"/>
    <w:rsid w:val="00823AAF"/>
    <w:rsid w:val="00824081"/>
    <w:rsid w:val="0082409A"/>
    <w:rsid w:val="008252D7"/>
    <w:rsid w:val="00827181"/>
    <w:rsid w:val="0082733C"/>
    <w:rsid w:val="00827746"/>
    <w:rsid w:val="0083143E"/>
    <w:rsid w:val="0083159D"/>
    <w:rsid w:val="008318FF"/>
    <w:rsid w:val="00832187"/>
    <w:rsid w:val="00832493"/>
    <w:rsid w:val="008336D8"/>
    <w:rsid w:val="008339C4"/>
    <w:rsid w:val="00834F0A"/>
    <w:rsid w:val="00834FAA"/>
    <w:rsid w:val="00835181"/>
    <w:rsid w:val="00836086"/>
    <w:rsid w:val="00841D9F"/>
    <w:rsid w:val="00842604"/>
    <w:rsid w:val="00843ECF"/>
    <w:rsid w:val="00846673"/>
    <w:rsid w:val="0085281A"/>
    <w:rsid w:val="008559FE"/>
    <w:rsid w:val="00857339"/>
    <w:rsid w:val="00860706"/>
    <w:rsid w:val="00862A7A"/>
    <w:rsid w:val="00863104"/>
    <w:rsid w:val="00863D9E"/>
    <w:rsid w:val="008642AF"/>
    <w:rsid w:val="00865ED4"/>
    <w:rsid w:val="008669A7"/>
    <w:rsid w:val="00867E29"/>
    <w:rsid w:val="00870F2B"/>
    <w:rsid w:val="008746E6"/>
    <w:rsid w:val="0087594C"/>
    <w:rsid w:val="00876086"/>
    <w:rsid w:val="008768D6"/>
    <w:rsid w:val="008775D1"/>
    <w:rsid w:val="008777BB"/>
    <w:rsid w:val="00877D68"/>
    <w:rsid w:val="00877E5D"/>
    <w:rsid w:val="00880150"/>
    <w:rsid w:val="00884D69"/>
    <w:rsid w:val="00886A8F"/>
    <w:rsid w:val="0088733A"/>
    <w:rsid w:val="00891BE0"/>
    <w:rsid w:val="00893302"/>
    <w:rsid w:val="00893F3C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B190E"/>
    <w:rsid w:val="008B1A8A"/>
    <w:rsid w:val="008B7306"/>
    <w:rsid w:val="008B775F"/>
    <w:rsid w:val="008B7C02"/>
    <w:rsid w:val="008B7D13"/>
    <w:rsid w:val="008B7F9E"/>
    <w:rsid w:val="008C0E88"/>
    <w:rsid w:val="008C1AA8"/>
    <w:rsid w:val="008C22A8"/>
    <w:rsid w:val="008C63FD"/>
    <w:rsid w:val="008C6CB8"/>
    <w:rsid w:val="008C7815"/>
    <w:rsid w:val="008C7A07"/>
    <w:rsid w:val="008D0171"/>
    <w:rsid w:val="008D13EA"/>
    <w:rsid w:val="008D2A16"/>
    <w:rsid w:val="008D2ECF"/>
    <w:rsid w:val="008D3F3D"/>
    <w:rsid w:val="008E308D"/>
    <w:rsid w:val="008E31FF"/>
    <w:rsid w:val="008E5DE6"/>
    <w:rsid w:val="008E6113"/>
    <w:rsid w:val="008E6AB3"/>
    <w:rsid w:val="008E6AD3"/>
    <w:rsid w:val="008E71A6"/>
    <w:rsid w:val="008E77B6"/>
    <w:rsid w:val="008E7C55"/>
    <w:rsid w:val="008F032E"/>
    <w:rsid w:val="008F0F14"/>
    <w:rsid w:val="008F4FCE"/>
    <w:rsid w:val="008F5301"/>
    <w:rsid w:val="008F6A0C"/>
    <w:rsid w:val="008F7D28"/>
    <w:rsid w:val="009003A8"/>
    <w:rsid w:val="00902CBE"/>
    <w:rsid w:val="00902D74"/>
    <w:rsid w:val="00902EFF"/>
    <w:rsid w:val="00903E06"/>
    <w:rsid w:val="00904B9D"/>
    <w:rsid w:val="009066E1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D2"/>
    <w:rsid w:val="00926283"/>
    <w:rsid w:val="00937B11"/>
    <w:rsid w:val="00940F1F"/>
    <w:rsid w:val="00941250"/>
    <w:rsid w:val="0094427A"/>
    <w:rsid w:val="009459C5"/>
    <w:rsid w:val="0094626C"/>
    <w:rsid w:val="0095013A"/>
    <w:rsid w:val="00953AEF"/>
    <w:rsid w:val="009551E2"/>
    <w:rsid w:val="00955783"/>
    <w:rsid w:val="00955E5F"/>
    <w:rsid w:val="009560B0"/>
    <w:rsid w:val="00957871"/>
    <w:rsid w:val="00960077"/>
    <w:rsid w:val="00962D2E"/>
    <w:rsid w:val="00964498"/>
    <w:rsid w:val="0096504D"/>
    <w:rsid w:val="00965A2D"/>
    <w:rsid w:val="009663EB"/>
    <w:rsid w:val="0096650F"/>
    <w:rsid w:val="009700DB"/>
    <w:rsid w:val="00972263"/>
    <w:rsid w:val="00972D8D"/>
    <w:rsid w:val="00973AAE"/>
    <w:rsid w:val="0097476C"/>
    <w:rsid w:val="00974923"/>
    <w:rsid w:val="00974D48"/>
    <w:rsid w:val="00974D5F"/>
    <w:rsid w:val="00975017"/>
    <w:rsid w:val="009759DF"/>
    <w:rsid w:val="00980621"/>
    <w:rsid w:val="00982072"/>
    <w:rsid w:val="00983DBB"/>
    <w:rsid w:val="00983ECF"/>
    <w:rsid w:val="00986745"/>
    <w:rsid w:val="00987109"/>
    <w:rsid w:val="00987309"/>
    <w:rsid w:val="0099012D"/>
    <w:rsid w:val="00990363"/>
    <w:rsid w:val="009954FF"/>
    <w:rsid w:val="009961BC"/>
    <w:rsid w:val="00996355"/>
    <w:rsid w:val="009A2014"/>
    <w:rsid w:val="009A3A87"/>
    <w:rsid w:val="009A4E12"/>
    <w:rsid w:val="009A5C68"/>
    <w:rsid w:val="009B04D0"/>
    <w:rsid w:val="009B052C"/>
    <w:rsid w:val="009B0EF2"/>
    <w:rsid w:val="009B23A3"/>
    <w:rsid w:val="009B4925"/>
    <w:rsid w:val="009B4B4B"/>
    <w:rsid w:val="009B6FD3"/>
    <w:rsid w:val="009B70BD"/>
    <w:rsid w:val="009C07A5"/>
    <w:rsid w:val="009C7388"/>
    <w:rsid w:val="009D1551"/>
    <w:rsid w:val="009D2859"/>
    <w:rsid w:val="009D4173"/>
    <w:rsid w:val="009D6095"/>
    <w:rsid w:val="009D6306"/>
    <w:rsid w:val="009E048A"/>
    <w:rsid w:val="009E1FBA"/>
    <w:rsid w:val="009E2C54"/>
    <w:rsid w:val="009E3710"/>
    <w:rsid w:val="009E7B1F"/>
    <w:rsid w:val="009F41C4"/>
    <w:rsid w:val="009F5846"/>
    <w:rsid w:val="009F7D77"/>
    <w:rsid w:val="00A10D66"/>
    <w:rsid w:val="00A12BA8"/>
    <w:rsid w:val="00A1420C"/>
    <w:rsid w:val="00A14821"/>
    <w:rsid w:val="00A17754"/>
    <w:rsid w:val="00A2055B"/>
    <w:rsid w:val="00A2253C"/>
    <w:rsid w:val="00A23545"/>
    <w:rsid w:val="00A23A55"/>
    <w:rsid w:val="00A23E43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24F8"/>
    <w:rsid w:val="00A437B7"/>
    <w:rsid w:val="00A46DE0"/>
    <w:rsid w:val="00A4778A"/>
    <w:rsid w:val="00A5067F"/>
    <w:rsid w:val="00A55301"/>
    <w:rsid w:val="00A57B3C"/>
    <w:rsid w:val="00A57F1B"/>
    <w:rsid w:val="00A6128E"/>
    <w:rsid w:val="00A62CE1"/>
    <w:rsid w:val="00A631FA"/>
    <w:rsid w:val="00A64203"/>
    <w:rsid w:val="00A64348"/>
    <w:rsid w:val="00A721FB"/>
    <w:rsid w:val="00A727BA"/>
    <w:rsid w:val="00A72D4B"/>
    <w:rsid w:val="00A732AE"/>
    <w:rsid w:val="00A75E40"/>
    <w:rsid w:val="00A77EB2"/>
    <w:rsid w:val="00A82B66"/>
    <w:rsid w:val="00A83B58"/>
    <w:rsid w:val="00A851B6"/>
    <w:rsid w:val="00A85729"/>
    <w:rsid w:val="00A8574B"/>
    <w:rsid w:val="00A857C0"/>
    <w:rsid w:val="00A94628"/>
    <w:rsid w:val="00A96463"/>
    <w:rsid w:val="00A97E3F"/>
    <w:rsid w:val="00AA09D3"/>
    <w:rsid w:val="00AA23FB"/>
    <w:rsid w:val="00AA42AB"/>
    <w:rsid w:val="00AA559A"/>
    <w:rsid w:val="00AB104D"/>
    <w:rsid w:val="00AB2AF1"/>
    <w:rsid w:val="00AB440B"/>
    <w:rsid w:val="00AB47E3"/>
    <w:rsid w:val="00AB74C5"/>
    <w:rsid w:val="00AB7DF2"/>
    <w:rsid w:val="00AC1E3F"/>
    <w:rsid w:val="00AC4F1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E06D0"/>
    <w:rsid w:val="00AE1B8A"/>
    <w:rsid w:val="00AE39DC"/>
    <w:rsid w:val="00AE3CDA"/>
    <w:rsid w:val="00AE7968"/>
    <w:rsid w:val="00AF128B"/>
    <w:rsid w:val="00AF1AEA"/>
    <w:rsid w:val="00AF2852"/>
    <w:rsid w:val="00AF3225"/>
    <w:rsid w:val="00AF518B"/>
    <w:rsid w:val="00AF5275"/>
    <w:rsid w:val="00AF6367"/>
    <w:rsid w:val="00AF6A79"/>
    <w:rsid w:val="00AF724E"/>
    <w:rsid w:val="00AF73A9"/>
    <w:rsid w:val="00B01C2C"/>
    <w:rsid w:val="00B0231C"/>
    <w:rsid w:val="00B13681"/>
    <w:rsid w:val="00B15DCD"/>
    <w:rsid w:val="00B17E71"/>
    <w:rsid w:val="00B17FDE"/>
    <w:rsid w:val="00B208FC"/>
    <w:rsid w:val="00B20C65"/>
    <w:rsid w:val="00B22E17"/>
    <w:rsid w:val="00B266C5"/>
    <w:rsid w:val="00B27293"/>
    <w:rsid w:val="00B3229E"/>
    <w:rsid w:val="00B32DDB"/>
    <w:rsid w:val="00B35174"/>
    <w:rsid w:val="00B35BEA"/>
    <w:rsid w:val="00B3793D"/>
    <w:rsid w:val="00B41BE6"/>
    <w:rsid w:val="00B457E7"/>
    <w:rsid w:val="00B45D1B"/>
    <w:rsid w:val="00B46D25"/>
    <w:rsid w:val="00B47430"/>
    <w:rsid w:val="00B52D2D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D1E"/>
    <w:rsid w:val="00B800EB"/>
    <w:rsid w:val="00B822D2"/>
    <w:rsid w:val="00B848B8"/>
    <w:rsid w:val="00B84A41"/>
    <w:rsid w:val="00B84D57"/>
    <w:rsid w:val="00B85689"/>
    <w:rsid w:val="00B86748"/>
    <w:rsid w:val="00B907EA"/>
    <w:rsid w:val="00B91EC9"/>
    <w:rsid w:val="00B924CA"/>
    <w:rsid w:val="00B93384"/>
    <w:rsid w:val="00B94417"/>
    <w:rsid w:val="00B95940"/>
    <w:rsid w:val="00B95EF8"/>
    <w:rsid w:val="00B95F50"/>
    <w:rsid w:val="00B96BD9"/>
    <w:rsid w:val="00BB0274"/>
    <w:rsid w:val="00BB1CFD"/>
    <w:rsid w:val="00BB2C53"/>
    <w:rsid w:val="00BB32DA"/>
    <w:rsid w:val="00BB3A54"/>
    <w:rsid w:val="00BB4E21"/>
    <w:rsid w:val="00BB7746"/>
    <w:rsid w:val="00BC22EB"/>
    <w:rsid w:val="00BC682B"/>
    <w:rsid w:val="00BC6B04"/>
    <w:rsid w:val="00BD186B"/>
    <w:rsid w:val="00BD1EAC"/>
    <w:rsid w:val="00BD3428"/>
    <w:rsid w:val="00BD366B"/>
    <w:rsid w:val="00BD534C"/>
    <w:rsid w:val="00BD56BC"/>
    <w:rsid w:val="00BD5D91"/>
    <w:rsid w:val="00BD6615"/>
    <w:rsid w:val="00BD6D50"/>
    <w:rsid w:val="00BE0D79"/>
    <w:rsid w:val="00BE0DB0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7CB8"/>
    <w:rsid w:val="00C00F20"/>
    <w:rsid w:val="00C01700"/>
    <w:rsid w:val="00C034E6"/>
    <w:rsid w:val="00C05715"/>
    <w:rsid w:val="00C05926"/>
    <w:rsid w:val="00C0784A"/>
    <w:rsid w:val="00C10B28"/>
    <w:rsid w:val="00C10FAE"/>
    <w:rsid w:val="00C12A69"/>
    <w:rsid w:val="00C150BE"/>
    <w:rsid w:val="00C15A0C"/>
    <w:rsid w:val="00C15DCB"/>
    <w:rsid w:val="00C1711F"/>
    <w:rsid w:val="00C20744"/>
    <w:rsid w:val="00C20C4D"/>
    <w:rsid w:val="00C21D46"/>
    <w:rsid w:val="00C21F94"/>
    <w:rsid w:val="00C222A1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1DD8"/>
    <w:rsid w:val="00C3271C"/>
    <w:rsid w:val="00C34FDE"/>
    <w:rsid w:val="00C35C16"/>
    <w:rsid w:val="00C40F81"/>
    <w:rsid w:val="00C41463"/>
    <w:rsid w:val="00C41A72"/>
    <w:rsid w:val="00C42D45"/>
    <w:rsid w:val="00C476C5"/>
    <w:rsid w:val="00C503B0"/>
    <w:rsid w:val="00C511C2"/>
    <w:rsid w:val="00C53D82"/>
    <w:rsid w:val="00C60696"/>
    <w:rsid w:val="00C60EEF"/>
    <w:rsid w:val="00C615F1"/>
    <w:rsid w:val="00C61627"/>
    <w:rsid w:val="00C64E60"/>
    <w:rsid w:val="00C657A4"/>
    <w:rsid w:val="00C6736C"/>
    <w:rsid w:val="00C71A1D"/>
    <w:rsid w:val="00C71EC4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90CF4"/>
    <w:rsid w:val="00C91C19"/>
    <w:rsid w:val="00C929A0"/>
    <w:rsid w:val="00C93389"/>
    <w:rsid w:val="00C937DB"/>
    <w:rsid w:val="00C94519"/>
    <w:rsid w:val="00C94E83"/>
    <w:rsid w:val="00CA140F"/>
    <w:rsid w:val="00CA25C2"/>
    <w:rsid w:val="00CA37BB"/>
    <w:rsid w:val="00CA37CA"/>
    <w:rsid w:val="00CA5724"/>
    <w:rsid w:val="00CA6508"/>
    <w:rsid w:val="00CA6BA1"/>
    <w:rsid w:val="00CA6CD5"/>
    <w:rsid w:val="00CB1910"/>
    <w:rsid w:val="00CB2150"/>
    <w:rsid w:val="00CB28EE"/>
    <w:rsid w:val="00CB43A7"/>
    <w:rsid w:val="00CB5996"/>
    <w:rsid w:val="00CB7452"/>
    <w:rsid w:val="00CC0E10"/>
    <w:rsid w:val="00CC1DAF"/>
    <w:rsid w:val="00CC2642"/>
    <w:rsid w:val="00CC2A36"/>
    <w:rsid w:val="00CC2E15"/>
    <w:rsid w:val="00CC3908"/>
    <w:rsid w:val="00CC62AD"/>
    <w:rsid w:val="00CC7B80"/>
    <w:rsid w:val="00CD2B3C"/>
    <w:rsid w:val="00CD30F6"/>
    <w:rsid w:val="00CD4B29"/>
    <w:rsid w:val="00CD6954"/>
    <w:rsid w:val="00CD6EF1"/>
    <w:rsid w:val="00CE21C7"/>
    <w:rsid w:val="00CE57D8"/>
    <w:rsid w:val="00CE617A"/>
    <w:rsid w:val="00CF25D2"/>
    <w:rsid w:val="00CF28C2"/>
    <w:rsid w:val="00CF42BD"/>
    <w:rsid w:val="00CF51EC"/>
    <w:rsid w:val="00CF6CD7"/>
    <w:rsid w:val="00D0037A"/>
    <w:rsid w:val="00D00DAF"/>
    <w:rsid w:val="00D017EC"/>
    <w:rsid w:val="00D01CDA"/>
    <w:rsid w:val="00D040DD"/>
    <w:rsid w:val="00D04E1B"/>
    <w:rsid w:val="00D076DB"/>
    <w:rsid w:val="00D1067C"/>
    <w:rsid w:val="00D136D4"/>
    <w:rsid w:val="00D13830"/>
    <w:rsid w:val="00D13ECF"/>
    <w:rsid w:val="00D142E5"/>
    <w:rsid w:val="00D148CD"/>
    <w:rsid w:val="00D1611E"/>
    <w:rsid w:val="00D16E69"/>
    <w:rsid w:val="00D205A9"/>
    <w:rsid w:val="00D217EE"/>
    <w:rsid w:val="00D245BA"/>
    <w:rsid w:val="00D26923"/>
    <w:rsid w:val="00D27856"/>
    <w:rsid w:val="00D301CA"/>
    <w:rsid w:val="00D30740"/>
    <w:rsid w:val="00D31075"/>
    <w:rsid w:val="00D31445"/>
    <w:rsid w:val="00D31932"/>
    <w:rsid w:val="00D378CC"/>
    <w:rsid w:val="00D4042C"/>
    <w:rsid w:val="00D42312"/>
    <w:rsid w:val="00D43998"/>
    <w:rsid w:val="00D4615E"/>
    <w:rsid w:val="00D478E2"/>
    <w:rsid w:val="00D5264C"/>
    <w:rsid w:val="00D547BA"/>
    <w:rsid w:val="00D55626"/>
    <w:rsid w:val="00D556BC"/>
    <w:rsid w:val="00D5626D"/>
    <w:rsid w:val="00D60277"/>
    <w:rsid w:val="00D60336"/>
    <w:rsid w:val="00D61F88"/>
    <w:rsid w:val="00D62901"/>
    <w:rsid w:val="00D6470C"/>
    <w:rsid w:val="00D64853"/>
    <w:rsid w:val="00D64CB5"/>
    <w:rsid w:val="00D66D48"/>
    <w:rsid w:val="00D73256"/>
    <w:rsid w:val="00D73A30"/>
    <w:rsid w:val="00D74C65"/>
    <w:rsid w:val="00D75DC2"/>
    <w:rsid w:val="00D766EF"/>
    <w:rsid w:val="00D76C03"/>
    <w:rsid w:val="00D82462"/>
    <w:rsid w:val="00D868CE"/>
    <w:rsid w:val="00D86DAE"/>
    <w:rsid w:val="00D90C1E"/>
    <w:rsid w:val="00D91BDF"/>
    <w:rsid w:val="00D93F0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378E"/>
    <w:rsid w:val="00DB3E9D"/>
    <w:rsid w:val="00DB47B9"/>
    <w:rsid w:val="00DB4FB8"/>
    <w:rsid w:val="00DB53CE"/>
    <w:rsid w:val="00DB549D"/>
    <w:rsid w:val="00DC226A"/>
    <w:rsid w:val="00DC257F"/>
    <w:rsid w:val="00DC350B"/>
    <w:rsid w:val="00DC3790"/>
    <w:rsid w:val="00DC408A"/>
    <w:rsid w:val="00DC5B3B"/>
    <w:rsid w:val="00DC6796"/>
    <w:rsid w:val="00DC78DF"/>
    <w:rsid w:val="00DD0821"/>
    <w:rsid w:val="00DD0E32"/>
    <w:rsid w:val="00DD2BFE"/>
    <w:rsid w:val="00DD373E"/>
    <w:rsid w:val="00DD57AD"/>
    <w:rsid w:val="00DE009B"/>
    <w:rsid w:val="00DE0C31"/>
    <w:rsid w:val="00DE2ED9"/>
    <w:rsid w:val="00DE319A"/>
    <w:rsid w:val="00DF0DC3"/>
    <w:rsid w:val="00DF21FD"/>
    <w:rsid w:val="00DF2873"/>
    <w:rsid w:val="00DF5578"/>
    <w:rsid w:val="00DF78DD"/>
    <w:rsid w:val="00DF7FEC"/>
    <w:rsid w:val="00E01C0E"/>
    <w:rsid w:val="00E03B27"/>
    <w:rsid w:val="00E04694"/>
    <w:rsid w:val="00E049F6"/>
    <w:rsid w:val="00E05B2B"/>
    <w:rsid w:val="00E06A2A"/>
    <w:rsid w:val="00E07F05"/>
    <w:rsid w:val="00E127E1"/>
    <w:rsid w:val="00E144D2"/>
    <w:rsid w:val="00E15346"/>
    <w:rsid w:val="00E15B7D"/>
    <w:rsid w:val="00E2097E"/>
    <w:rsid w:val="00E215EA"/>
    <w:rsid w:val="00E21CAB"/>
    <w:rsid w:val="00E24619"/>
    <w:rsid w:val="00E25223"/>
    <w:rsid w:val="00E30BEA"/>
    <w:rsid w:val="00E31764"/>
    <w:rsid w:val="00E34985"/>
    <w:rsid w:val="00E34E4A"/>
    <w:rsid w:val="00E365B3"/>
    <w:rsid w:val="00E366BB"/>
    <w:rsid w:val="00E37C45"/>
    <w:rsid w:val="00E40AAA"/>
    <w:rsid w:val="00E42444"/>
    <w:rsid w:val="00E438CF"/>
    <w:rsid w:val="00E43C41"/>
    <w:rsid w:val="00E4500E"/>
    <w:rsid w:val="00E450CE"/>
    <w:rsid w:val="00E45A00"/>
    <w:rsid w:val="00E45CE7"/>
    <w:rsid w:val="00E4631F"/>
    <w:rsid w:val="00E522BB"/>
    <w:rsid w:val="00E539E4"/>
    <w:rsid w:val="00E569C7"/>
    <w:rsid w:val="00E571F2"/>
    <w:rsid w:val="00E57429"/>
    <w:rsid w:val="00E61EA8"/>
    <w:rsid w:val="00E70510"/>
    <w:rsid w:val="00E71262"/>
    <w:rsid w:val="00E71A58"/>
    <w:rsid w:val="00E737F6"/>
    <w:rsid w:val="00E7568F"/>
    <w:rsid w:val="00E7724B"/>
    <w:rsid w:val="00E84F21"/>
    <w:rsid w:val="00E90F73"/>
    <w:rsid w:val="00E910A7"/>
    <w:rsid w:val="00E91607"/>
    <w:rsid w:val="00E921C7"/>
    <w:rsid w:val="00E92995"/>
    <w:rsid w:val="00E94612"/>
    <w:rsid w:val="00E95797"/>
    <w:rsid w:val="00E9682F"/>
    <w:rsid w:val="00E96A8D"/>
    <w:rsid w:val="00E972BA"/>
    <w:rsid w:val="00E97FA2"/>
    <w:rsid w:val="00EA06CB"/>
    <w:rsid w:val="00EA0C68"/>
    <w:rsid w:val="00EA3EBE"/>
    <w:rsid w:val="00EA3FAC"/>
    <w:rsid w:val="00EA4153"/>
    <w:rsid w:val="00EA5CD6"/>
    <w:rsid w:val="00EA76FD"/>
    <w:rsid w:val="00EB0555"/>
    <w:rsid w:val="00EB20A0"/>
    <w:rsid w:val="00EB30B6"/>
    <w:rsid w:val="00EB4FA4"/>
    <w:rsid w:val="00EB5146"/>
    <w:rsid w:val="00EB55E9"/>
    <w:rsid w:val="00EB5641"/>
    <w:rsid w:val="00EB5CA9"/>
    <w:rsid w:val="00EB5ED4"/>
    <w:rsid w:val="00EB6537"/>
    <w:rsid w:val="00EB70E1"/>
    <w:rsid w:val="00EB7EB5"/>
    <w:rsid w:val="00EC454B"/>
    <w:rsid w:val="00EC6153"/>
    <w:rsid w:val="00EC7F92"/>
    <w:rsid w:val="00ED00A8"/>
    <w:rsid w:val="00ED0A79"/>
    <w:rsid w:val="00ED2989"/>
    <w:rsid w:val="00ED2CA5"/>
    <w:rsid w:val="00ED336F"/>
    <w:rsid w:val="00ED54D6"/>
    <w:rsid w:val="00ED5726"/>
    <w:rsid w:val="00EE0298"/>
    <w:rsid w:val="00EE0384"/>
    <w:rsid w:val="00EE10AA"/>
    <w:rsid w:val="00EE1637"/>
    <w:rsid w:val="00EE3B7A"/>
    <w:rsid w:val="00EE3E78"/>
    <w:rsid w:val="00EE495A"/>
    <w:rsid w:val="00EE5E02"/>
    <w:rsid w:val="00EE617D"/>
    <w:rsid w:val="00EE61BF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625B"/>
    <w:rsid w:val="00F101FF"/>
    <w:rsid w:val="00F10A33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FFF"/>
    <w:rsid w:val="00F2441D"/>
    <w:rsid w:val="00F24FAA"/>
    <w:rsid w:val="00F26197"/>
    <w:rsid w:val="00F307DD"/>
    <w:rsid w:val="00F318FC"/>
    <w:rsid w:val="00F31F76"/>
    <w:rsid w:val="00F3364D"/>
    <w:rsid w:val="00F35ACD"/>
    <w:rsid w:val="00F365BF"/>
    <w:rsid w:val="00F36BF8"/>
    <w:rsid w:val="00F375BA"/>
    <w:rsid w:val="00F37760"/>
    <w:rsid w:val="00F403D1"/>
    <w:rsid w:val="00F43921"/>
    <w:rsid w:val="00F4591F"/>
    <w:rsid w:val="00F4736B"/>
    <w:rsid w:val="00F47D05"/>
    <w:rsid w:val="00F50030"/>
    <w:rsid w:val="00F50B9D"/>
    <w:rsid w:val="00F51FC9"/>
    <w:rsid w:val="00F541ED"/>
    <w:rsid w:val="00F54B31"/>
    <w:rsid w:val="00F54FD3"/>
    <w:rsid w:val="00F55605"/>
    <w:rsid w:val="00F57CD7"/>
    <w:rsid w:val="00F62F02"/>
    <w:rsid w:val="00F63DDE"/>
    <w:rsid w:val="00F63FB7"/>
    <w:rsid w:val="00F64726"/>
    <w:rsid w:val="00F6561A"/>
    <w:rsid w:val="00F70309"/>
    <w:rsid w:val="00F727D5"/>
    <w:rsid w:val="00F72F44"/>
    <w:rsid w:val="00F73A0C"/>
    <w:rsid w:val="00F759DC"/>
    <w:rsid w:val="00F771A5"/>
    <w:rsid w:val="00F817A4"/>
    <w:rsid w:val="00F81C3A"/>
    <w:rsid w:val="00F835FC"/>
    <w:rsid w:val="00F8373A"/>
    <w:rsid w:val="00F83E21"/>
    <w:rsid w:val="00F83FA4"/>
    <w:rsid w:val="00F84E18"/>
    <w:rsid w:val="00F852E5"/>
    <w:rsid w:val="00F95117"/>
    <w:rsid w:val="00FA05D7"/>
    <w:rsid w:val="00FA1C6C"/>
    <w:rsid w:val="00FA2447"/>
    <w:rsid w:val="00FA2C2A"/>
    <w:rsid w:val="00FA309A"/>
    <w:rsid w:val="00FA7644"/>
    <w:rsid w:val="00FB0A9A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C5E01"/>
    <w:rsid w:val="00FD1261"/>
    <w:rsid w:val="00FD1627"/>
    <w:rsid w:val="00FD1BBD"/>
    <w:rsid w:val="00FD473D"/>
    <w:rsid w:val="00FD61C8"/>
    <w:rsid w:val="00FD63CE"/>
    <w:rsid w:val="00FD7D49"/>
    <w:rsid w:val="00FE1251"/>
    <w:rsid w:val="00FE2F78"/>
    <w:rsid w:val="00FE3510"/>
    <w:rsid w:val="00FE371D"/>
    <w:rsid w:val="00FE375F"/>
    <w:rsid w:val="00FE4FCB"/>
    <w:rsid w:val="00FE705E"/>
    <w:rsid w:val="00FF28E0"/>
    <w:rsid w:val="00FF2FB4"/>
    <w:rsid w:val="00FF30B3"/>
    <w:rsid w:val="00FF3DF3"/>
    <w:rsid w:val="00FF4027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7092D-11CD-4B58-A97A-7AB041F9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199</TotalTime>
  <Pages>2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kucera4376</cp:lastModifiedBy>
  <cp:revision>68</cp:revision>
  <cp:lastPrinted>2015-06-19T06:21:00Z</cp:lastPrinted>
  <dcterms:created xsi:type="dcterms:W3CDTF">2015-12-16T13:30:00Z</dcterms:created>
  <dcterms:modified xsi:type="dcterms:W3CDTF">2015-12-18T12:44:00Z</dcterms:modified>
</cp:coreProperties>
</file>