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footer9.xml" ContentType="application/vnd.openxmlformats-officedocument.wordprocessingml.footer+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drawings/drawing36.xml" ContentType="application/vnd.openxmlformats-officedocument.drawingml.chartshapes+xml"/>
  <Override PartName="/word/charts/chart37.xml" ContentType="application/vnd.openxmlformats-officedocument.drawingml.chart+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charts/chart39.xml" ContentType="application/vnd.openxmlformats-officedocument.drawingml.chart+xml"/>
  <Override PartName="/word/drawings/drawing39.xml" ContentType="application/vnd.openxmlformats-officedocument.drawingml.chartshapes+xml"/>
  <Override PartName="/word/charts/chart40.xml" ContentType="application/vnd.openxmlformats-officedocument.drawingml.chart+xml"/>
  <Override PartName="/word/drawings/drawing40.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charts/chart41.xml" ContentType="application/vnd.openxmlformats-officedocument.drawingml.chart+xml"/>
  <Override PartName="/word/drawings/drawing41.xml" ContentType="application/vnd.openxmlformats-officedocument.drawingml.chartshapes+xml"/>
  <Override PartName="/word/charts/chart42.xml" ContentType="application/vnd.openxmlformats-officedocument.drawingml.chart+xml"/>
  <Override PartName="/word/drawings/drawing42.xml" ContentType="application/vnd.openxmlformats-officedocument.drawingml.chartshapes+xml"/>
  <Override PartName="/word/charts/chart43.xml" ContentType="application/vnd.openxmlformats-officedocument.drawingml.chart+xml"/>
  <Override PartName="/word/drawings/drawing43.xml" ContentType="application/vnd.openxmlformats-officedocument.drawingml.chartshapes+xml"/>
  <Override PartName="/word/charts/chart44.xml" ContentType="application/vnd.openxmlformats-officedocument.drawingml.chart+xml"/>
  <Override PartName="/word/drawings/drawing44.xml" ContentType="application/vnd.openxmlformats-officedocument.drawingml.chartshapes+xml"/>
  <Override PartName="/word/charts/chart45.xml" ContentType="application/vnd.openxmlformats-officedocument.drawingml.chart+xml"/>
  <Override PartName="/word/drawings/drawing45.xml" ContentType="application/vnd.openxmlformats-officedocument.drawingml.chartshapes+xml"/>
  <Override PartName="/word/charts/chart46.xml" ContentType="application/vnd.openxmlformats-officedocument.drawingml.chart+xml"/>
  <Override PartName="/word/drawings/drawing46.xml" ContentType="application/vnd.openxmlformats-officedocument.drawingml.chartshapes+xml"/>
  <Override PartName="/word/charts/chart47.xml" ContentType="application/vnd.openxmlformats-officedocument.drawingml.chart+xml"/>
  <Override PartName="/word/drawings/drawing47.xml" ContentType="application/vnd.openxmlformats-officedocument.drawingml.chartshapes+xml"/>
  <Override PartName="/word/charts/chart48.xml" ContentType="application/vnd.openxmlformats-officedocument.drawingml.chart+xml"/>
  <Override PartName="/word/drawings/drawing48.xml" ContentType="application/vnd.openxmlformats-officedocument.drawingml.chartshapes+xml"/>
  <Override PartName="/word/charts/chart49.xml" ContentType="application/vnd.openxmlformats-officedocument.drawingml.chart+xml"/>
  <Override PartName="/word/drawings/drawing49.xml" ContentType="application/vnd.openxmlformats-officedocument.drawingml.chartshapes+xml"/>
  <Override PartName="/word/charts/chart50.xml" ContentType="application/vnd.openxmlformats-officedocument.drawingml.chart+xml"/>
  <Override PartName="/word/drawings/drawing50.xml" ContentType="application/vnd.openxmlformats-officedocument.drawingml.chartshapes+xml"/>
  <Override PartName="/word/charts/chart51.xml" ContentType="application/vnd.openxmlformats-officedocument.drawingml.chart+xml"/>
  <Override PartName="/word/drawings/drawing51.xml" ContentType="application/vnd.openxmlformats-officedocument.drawingml.chartshapes+xml"/>
  <Override PartName="/word/charts/chart52.xml" ContentType="application/vnd.openxmlformats-officedocument.drawingml.chart+xml"/>
  <Override PartName="/word/drawings/drawing52.xml" ContentType="application/vnd.openxmlformats-officedocument.drawingml.chartshapes+xml"/>
  <Override PartName="/word/charts/chart53.xml" ContentType="application/vnd.openxmlformats-officedocument.drawingml.chart+xml"/>
  <Override PartName="/word/drawings/drawing53.xml" ContentType="application/vnd.openxmlformats-officedocument.drawingml.chartshapes+xml"/>
  <Override PartName="/word/charts/chart54.xml" ContentType="application/vnd.openxmlformats-officedocument.drawingml.chart+xml"/>
  <Override PartName="/word/drawings/drawing54.xml" ContentType="application/vnd.openxmlformats-officedocument.drawingml.chartshapes+xml"/>
  <Override PartName="/word/charts/chart55.xml" ContentType="application/vnd.openxmlformats-officedocument.drawingml.chart+xml"/>
  <Override PartName="/word/drawings/drawing55.xml" ContentType="application/vnd.openxmlformats-officedocument.drawingml.chartshapes+xml"/>
  <Override PartName="/word/charts/chart56.xml" ContentType="application/vnd.openxmlformats-officedocument.drawingml.chart+xml"/>
  <Override PartName="/word/drawings/drawing56.xml" ContentType="application/vnd.openxmlformats-officedocument.drawingml.chartshapes+xml"/>
  <Override PartName="/word/charts/chart57.xml" ContentType="application/vnd.openxmlformats-officedocument.drawingml.chart+xml"/>
  <Override PartName="/word/drawings/drawing57.xml" ContentType="application/vnd.openxmlformats-officedocument.drawingml.chartshapes+xml"/>
  <Override PartName="/word/charts/chart58.xml" ContentType="application/vnd.openxmlformats-officedocument.drawingml.chart+xml"/>
  <Override PartName="/word/drawings/drawing58.xml" ContentType="application/vnd.openxmlformats-officedocument.drawingml.chartshapes+xml"/>
  <Override PartName="/word/charts/chart59.xml" ContentType="application/vnd.openxmlformats-officedocument.drawingml.chart+xml"/>
  <Override PartName="/word/drawings/drawing59.xml" ContentType="application/vnd.openxmlformats-officedocument.drawingml.chartshapes+xml"/>
  <Override PartName="/word/charts/chart60.xml" ContentType="application/vnd.openxmlformats-officedocument.drawingml.chart+xml"/>
  <Override PartName="/word/drawings/drawing60.xml" ContentType="application/vnd.openxmlformats-officedocument.drawingml.chartshapes+xml"/>
  <Override PartName="/word/charts/chart61.xml" ContentType="application/vnd.openxmlformats-officedocument.drawingml.chart+xml"/>
  <Override PartName="/word/drawings/drawing61.xml" ContentType="application/vnd.openxmlformats-officedocument.drawingml.chartshapes+xml"/>
  <Override PartName="/word/charts/chart62.xml" ContentType="application/vnd.openxmlformats-officedocument.drawingml.chart+xml"/>
  <Override PartName="/word/drawings/drawing62.xml" ContentType="application/vnd.openxmlformats-officedocument.drawingml.chartshapes+xml"/>
  <Override PartName="/word/charts/chart63.xml" ContentType="application/vnd.openxmlformats-officedocument.drawingml.chart+xml"/>
  <Override PartName="/word/drawings/drawing63.xml" ContentType="application/vnd.openxmlformats-officedocument.drawingml.chartshapes+xml"/>
  <Override PartName="/word/charts/chart64.xml" ContentType="application/vnd.openxmlformats-officedocument.drawingml.chart+xml"/>
  <Override PartName="/word/drawings/drawing64.xml" ContentType="application/vnd.openxmlformats-officedocument.drawingml.chartshapes+xml"/>
  <Override PartName="/word/charts/chart65.xml" ContentType="application/vnd.openxmlformats-officedocument.drawingml.chart+xml"/>
  <Override PartName="/word/drawings/drawing65.xml" ContentType="application/vnd.openxmlformats-officedocument.drawingml.chartshapes+xml"/>
  <Override PartName="/word/charts/chart66.xml" ContentType="application/vnd.openxmlformats-officedocument.drawingml.chart+xml"/>
  <Override PartName="/word/drawings/drawing66.xml" ContentType="application/vnd.openxmlformats-officedocument.drawingml.chartshapes+xml"/>
  <Override PartName="/word/charts/chart67.xml" ContentType="application/vnd.openxmlformats-officedocument.drawingml.chart+xml"/>
  <Override PartName="/word/drawings/drawing67.xml" ContentType="application/vnd.openxmlformats-officedocument.drawingml.chartshapes+xml"/>
  <Override PartName="/word/charts/chart68.xml" ContentType="application/vnd.openxmlformats-officedocument.drawingml.chart+xml"/>
  <Override PartName="/word/drawings/drawing68.xml" ContentType="application/vnd.openxmlformats-officedocument.drawingml.chartshapes+xml"/>
  <Override PartName="/word/charts/chart69.xml" ContentType="application/vnd.openxmlformats-officedocument.drawingml.chart+xml"/>
  <Override PartName="/word/drawings/drawing69.xml" ContentType="application/vnd.openxmlformats-officedocument.drawingml.chartshapes+xml"/>
  <Override PartName="/word/charts/chart70.xml" ContentType="application/vnd.openxmlformats-officedocument.drawingml.chart+xml"/>
  <Override PartName="/word/drawings/drawing70.xml" ContentType="application/vnd.openxmlformats-officedocument.drawingml.chartshapes+xml"/>
  <Override PartName="/word/charts/chart71.xml" ContentType="application/vnd.openxmlformats-officedocument.drawingml.chart+xml"/>
  <Override PartName="/word/drawings/drawing71.xml" ContentType="application/vnd.openxmlformats-officedocument.drawingml.chartshapes+xml"/>
  <Override PartName="/word/charts/chart72.xml" ContentType="application/vnd.openxmlformats-officedocument.drawingml.chart+xml"/>
  <Override PartName="/word/drawings/drawing72.xml" ContentType="application/vnd.openxmlformats-officedocument.drawingml.chartshapes+xml"/>
  <Override PartName="/word/charts/chart73.xml" ContentType="application/vnd.openxmlformats-officedocument.drawingml.chart+xml"/>
  <Override PartName="/word/drawings/drawing73.xml" ContentType="application/vnd.openxmlformats-officedocument.drawingml.chartshapes+xml"/>
  <Override PartName="/word/charts/chart74.xml" ContentType="application/vnd.openxmlformats-officedocument.drawingml.chart+xml"/>
  <Override PartName="/word/drawings/drawing74.xml" ContentType="application/vnd.openxmlformats-officedocument.drawingml.chartshapes+xml"/>
  <Override PartName="/word/charts/chart75.xml" ContentType="application/vnd.openxmlformats-officedocument.drawingml.chart+xml"/>
  <Override PartName="/word/drawings/drawing75.xml" ContentType="application/vnd.openxmlformats-officedocument.drawingml.chartshapes+xml"/>
  <Override PartName="/word/charts/chart76.xml" ContentType="application/vnd.openxmlformats-officedocument.drawingml.chart+xml"/>
  <Override PartName="/word/drawings/drawing76.xml" ContentType="application/vnd.openxmlformats-officedocument.drawingml.chartshapes+xml"/>
  <Override PartName="/word/charts/chart77.xml" ContentType="application/vnd.openxmlformats-officedocument.drawingml.chart+xml"/>
  <Override PartName="/word/drawings/drawing77.xml" ContentType="application/vnd.openxmlformats-officedocument.drawingml.chartshapes+xml"/>
  <Override PartName="/word/charts/chart78.xml" ContentType="application/vnd.openxmlformats-officedocument.drawingml.chart+xml"/>
  <Override PartName="/word/drawings/drawing78.xml" ContentType="application/vnd.openxmlformats-officedocument.drawingml.chartshapes+xml"/>
  <Override PartName="/word/charts/chart79.xml" ContentType="application/vnd.openxmlformats-officedocument.drawingml.chart+xml"/>
  <Override PartName="/word/drawings/drawing79.xml" ContentType="application/vnd.openxmlformats-officedocument.drawingml.chartshapes+xml"/>
  <Override PartName="/word/charts/chart80.xml" ContentType="application/vnd.openxmlformats-officedocument.drawingml.chart+xml"/>
  <Override PartName="/word/drawings/drawing80.xml" ContentType="application/vnd.openxmlformats-officedocument.drawingml.chartshapes+xml"/>
  <Override PartName="/word/charts/chart81.xml" ContentType="application/vnd.openxmlformats-officedocument.drawingml.chart+xml"/>
  <Override PartName="/word/drawings/drawing81.xml" ContentType="application/vnd.openxmlformats-officedocument.drawingml.chartshapes+xml"/>
  <Override PartName="/word/charts/chart82.xml" ContentType="application/vnd.openxmlformats-officedocument.drawingml.chart+xml"/>
  <Override PartName="/word/drawings/drawing82.xml" ContentType="application/vnd.openxmlformats-officedocument.drawingml.chartshapes+xml"/>
  <Override PartName="/word/charts/chart83.xml" ContentType="application/vnd.openxmlformats-officedocument.drawingml.chart+xml"/>
  <Override PartName="/word/drawings/drawing83.xml" ContentType="application/vnd.openxmlformats-officedocument.drawingml.chartshapes+xml"/>
  <Override PartName="/word/charts/chart84.xml" ContentType="application/vnd.openxmlformats-officedocument.drawingml.chart+xml"/>
  <Override PartName="/word/drawings/drawing84.xml" ContentType="application/vnd.openxmlformats-officedocument.drawingml.chartshapes+xml"/>
  <Override PartName="/word/charts/chart85.xml" ContentType="application/vnd.openxmlformats-officedocument.drawingml.chart+xml"/>
  <Override PartName="/word/drawings/drawing85.xml" ContentType="application/vnd.openxmlformats-officedocument.drawingml.chartshapes+xml"/>
  <Override PartName="/word/charts/chart86.xml" ContentType="application/vnd.openxmlformats-officedocument.drawingml.chart+xml"/>
  <Override PartName="/word/drawings/drawing86.xml" ContentType="application/vnd.openxmlformats-officedocument.drawingml.chartshapes+xml"/>
  <Override PartName="/word/charts/chart87.xml" ContentType="application/vnd.openxmlformats-officedocument.drawingml.chart+xml"/>
  <Override PartName="/word/drawings/drawing87.xml" ContentType="application/vnd.openxmlformats-officedocument.drawingml.chartshapes+xml"/>
  <Override PartName="/word/charts/chart88.xml" ContentType="application/vnd.openxmlformats-officedocument.drawingml.chart+xml"/>
  <Override PartName="/word/drawings/drawing88.xml" ContentType="application/vnd.openxmlformats-officedocument.drawingml.chartshapes+xml"/>
  <Override PartName="/word/charts/chart89.xml" ContentType="application/vnd.openxmlformats-officedocument.drawingml.chart+xml"/>
  <Override PartName="/word/drawings/drawing89.xml" ContentType="application/vnd.openxmlformats-officedocument.drawingml.chartshapes+xml"/>
  <Override PartName="/word/charts/chart90.xml" ContentType="application/vnd.openxmlformats-officedocument.drawingml.chart+xml"/>
  <Override PartName="/word/drawings/drawing90.xml" ContentType="application/vnd.openxmlformats-officedocument.drawingml.chartshapes+xml"/>
  <Override PartName="/word/charts/chart91.xml" ContentType="application/vnd.openxmlformats-officedocument.drawingml.chart+xml"/>
  <Override PartName="/word/drawings/drawing91.xml" ContentType="application/vnd.openxmlformats-officedocument.drawingml.chartshapes+xml"/>
  <Override PartName="/word/charts/chart92.xml" ContentType="application/vnd.openxmlformats-officedocument.drawingml.chart+xml"/>
  <Override PartName="/word/drawings/drawing92.xml" ContentType="application/vnd.openxmlformats-officedocument.drawingml.chartshapes+xml"/>
  <Override PartName="/word/charts/chart93.xml" ContentType="application/vnd.openxmlformats-officedocument.drawingml.chart+xml"/>
  <Override PartName="/word/drawings/drawing93.xml" ContentType="application/vnd.openxmlformats-officedocument.drawingml.chartshapes+xml"/>
  <Override PartName="/word/charts/chart94.xml" ContentType="application/vnd.openxmlformats-officedocument.drawingml.chart+xml"/>
  <Override PartName="/word/drawings/drawing94.xml" ContentType="application/vnd.openxmlformats-officedocument.drawingml.chartshapes+xml"/>
  <Override PartName="/word/charts/chart95.xml" ContentType="application/vnd.openxmlformats-officedocument.drawingml.chart+xml"/>
  <Override PartName="/word/drawings/drawing95.xml" ContentType="application/vnd.openxmlformats-officedocument.drawingml.chartshapes+xml"/>
  <Override PartName="/word/charts/chart96.xml" ContentType="application/vnd.openxmlformats-officedocument.drawingml.chart+xml"/>
  <Override PartName="/word/drawings/drawing96.xml" ContentType="application/vnd.openxmlformats-officedocument.drawingml.chartshapes+xml"/>
  <Override PartName="/word/charts/chart97.xml" ContentType="application/vnd.openxmlformats-officedocument.drawingml.chart+xml"/>
  <Override PartName="/word/drawings/drawing97.xml" ContentType="application/vnd.openxmlformats-officedocument.drawingml.chartshapes+xml"/>
  <Override PartName="/word/charts/chart98.xml" ContentType="application/vnd.openxmlformats-officedocument.drawingml.chart+xml"/>
  <Override PartName="/word/drawings/drawing98.xml" ContentType="application/vnd.openxmlformats-officedocument.drawingml.chartshapes+xml"/>
  <Override PartName="/word/charts/chart99.xml" ContentType="application/vnd.openxmlformats-officedocument.drawingml.chart+xml"/>
  <Override PartName="/word/drawings/drawing99.xml" ContentType="application/vnd.openxmlformats-officedocument.drawingml.chartshapes+xml"/>
  <Override PartName="/word/charts/chart100.xml" ContentType="application/vnd.openxmlformats-officedocument.drawingml.chart+xml"/>
  <Override PartName="/word/drawings/drawing100.xml" ContentType="application/vnd.openxmlformats-officedocument.drawingml.chartshapes+xml"/>
  <Override PartName="/word/charts/chart101.xml" ContentType="application/vnd.openxmlformats-officedocument.drawingml.chart+xml"/>
  <Override PartName="/word/drawings/drawing101.xml" ContentType="application/vnd.openxmlformats-officedocument.drawingml.chartshapes+xml"/>
  <Override PartName="/word/charts/chart102.xml" ContentType="application/vnd.openxmlformats-officedocument.drawingml.chart+xml"/>
  <Override PartName="/word/drawings/drawing102.xml" ContentType="application/vnd.openxmlformats-officedocument.drawingml.chartshapes+xml"/>
  <Override PartName="/word/charts/chart103.xml" ContentType="application/vnd.openxmlformats-officedocument.drawingml.chart+xml"/>
  <Override PartName="/word/drawings/drawing103.xml" ContentType="application/vnd.openxmlformats-officedocument.drawingml.chartshapes+xml"/>
  <Override PartName="/word/charts/chart104.xml" ContentType="application/vnd.openxmlformats-officedocument.drawingml.chart+xml"/>
  <Override PartName="/word/drawings/drawing104.xml" ContentType="application/vnd.openxmlformats-officedocument.drawingml.chartshapes+xml"/>
  <Override PartName="/word/charts/chart105.xml" ContentType="application/vnd.openxmlformats-officedocument.drawingml.chart+xml"/>
  <Override PartName="/word/drawings/drawing105.xml" ContentType="application/vnd.openxmlformats-officedocument.drawingml.chartshapes+xml"/>
  <Override PartName="/word/charts/chart106.xml" ContentType="application/vnd.openxmlformats-officedocument.drawingml.chart+xml"/>
  <Override PartName="/word/drawings/drawing106.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charts/chart107.xml" ContentType="application/vnd.openxmlformats-officedocument.drawingml.chart+xml"/>
  <Override PartName="/word/drawings/drawing107.xml" ContentType="application/vnd.openxmlformats-officedocument.drawingml.chartshapes+xml"/>
  <Override PartName="/word/charts/chart108.xml" ContentType="application/vnd.openxmlformats-officedocument.drawingml.chart+xml"/>
  <Override PartName="/word/drawings/drawing108.xml" ContentType="application/vnd.openxmlformats-officedocument.drawingml.chartshapes+xml"/>
  <Override PartName="/word/charts/chart109.xml" ContentType="application/vnd.openxmlformats-officedocument.drawingml.chart+xml"/>
  <Override PartName="/word/drawings/drawing109.xml" ContentType="application/vnd.openxmlformats-officedocument.drawingml.chartshapes+xml"/>
  <Override PartName="/word/charts/chart110.xml" ContentType="application/vnd.openxmlformats-officedocument.drawingml.chart+xml"/>
  <Override PartName="/word/drawings/drawing110.xml" ContentType="application/vnd.openxmlformats-officedocument.drawingml.chartshapes+xml"/>
  <Override PartName="/word/charts/chart111.xml" ContentType="application/vnd.openxmlformats-officedocument.drawingml.chart+xml"/>
  <Override PartName="/word/drawings/drawing111.xml" ContentType="application/vnd.openxmlformats-officedocument.drawingml.chartshapes+xml"/>
  <Override PartName="/word/charts/chart112.xml" ContentType="application/vnd.openxmlformats-officedocument.drawingml.chart+xml"/>
  <Override PartName="/word/drawings/drawing112.xml" ContentType="application/vnd.openxmlformats-officedocument.drawingml.chartshapes+xml"/>
  <Override PartName="/word/charts/chart113.xml" ContentType="application/vnd.openxmlformats-officedocument.drawingml.chart+xml"/>
  <Override PartName="/word/drawings/drawing113.xml" ContentType="application/vnd.openxmlformats-officedocument.drawingml.chartshapes+xml"/>
  <Override PartName="/word/charts/chart114.xml" ContentType="application/vnd.openxmlformats-officedocument.drawingml.chart+xml"/>
  <Override PartName="/word/drawings/drawing114.xml" ContentType="application/vnd.openxmlformats-officedocument.drawingml.chartshapes+xml"/>
  <Override PartName="/word/charts/chart115.xml" ContentType="application/vnd.openxmlformats-officedocument.drawingml.chart+xml"/>
  <Override PartName="/word/drawings/drawing115.xml" ContentType="application/vnd.openxmlformats-officedocument.drawingml.chartshapes+xml"/>
  <Override PartName="/word/charts/chart116.xml" ContentType="application/vnd.openxmlformats-officedocument.drawingml.chart+xml"/>
  <Override PartName="/word/drawings/drawing116.xml" ContentType="application/vnd.openxmlformats-officedocument.drawingml.chartshapes+xml"/>
  <Override PartName="/word/charts/chart117.xml" ContentType="application/vnd.openxmlformats-officedocument.drawingml.chart+xml"/>
  <Override PartName="/word/drawings/drawing117.xml" ContentType="application/vnd.openxmlformats-officedocument.drawingml.chartshapes+xml"/>
  <Override PartName="/word/charts/chart118.xml" ContentType="application/vnd.openxmlformats-officedocument.drawingml.chart+xml"/>
  <Override PartName="/word/drawings/drawing118.xml" ContentType="application/vnd.openxmlformats-officedocument.drawingml.chartshapes+xml"/>
  <Override PartName="/word/charts/chart119.xml" ContentType="application/vnd.openxmlformats-officedocument.drawingml.chart+xml"/>
  <Override PartName="/word/drawings/drawing119.xml" ContentType="application/vnd.openxmlformats-officedocument.drawingml.chartshapes+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charts/chart120.xml" ContentType="application/vnd.openxmlformats-officedocument.drawingml.chart+xml"/>
  <Override PartName="/word/drawings/drawing120.xml" ContentType="application/vnd.openxmlformats-officedocument.drawingml.chartshapes+xml"/>
  <Override PartName="/word/charts/chart121.xml" ContentType="application/vnd.openxmlformats-officedocument.drawingml.chart+xml"/>
  <Override PartName="/word/drawings/drawing121.xml" ContentType="application/vnd.openxmlformats-officedocument.drawingml.chartshapes+xml"/>
  <Override PartName="/word/charts/chart122.xml" ContentType="application/vnd.openxmlformats-officedocument.drawingml.chart+xml"/>
  <Override PartName="/word/drawings/drawing122.xml" ContentType="application/vnd.openxmlformats-officedocument.drawingml.chartshapes+xml"/>
  <Override PartName="/word/charts/chart123.xml" ContentType="application/vnd.openxmlformats-officedocument.drawingml.chart+xml"/>
  <Override PartName="/word/drawings/drawing123.xml" ContentType="application/vnd.openxmlformats-officedocument.drawingml.chartshapes+xml"/>
  <Override PartName="/word/charts/chart124.xml" ContentType="application/vnd.openxmlformats-officedocument.drawingml.chart+xml"/>
  <Override PartName="/word/theme/themeOverride1.xml" ContentType="application/vnd.openxmlformats-officedocument.themeOverride+xml"/>
  <Override PartName="/word/drawings/drawing124.xml" ContentType="application/vnd.openxmlformats-officedocument.drawingml.chartshapes+xml"/>
  <Override PartName="/word/charts/chart125.xml" ContentType="application/vnd.openxmlformats-officedocument.drawingml.chart+xml"/>
  <Override PartName="/word/drawings/drawing125.xml" ContentType="application/vnd.openxmlformats-officedocument.drawingml.chartshapes+xml"/>
  <Override PartName="/word/charts/chart126.xml" ContentType="application/vnd.openxmlformats-officedocument.drawingml.chart+xml"/>
  <Override PartName="/word/drawings/drawing126.xml" ContentType="application/vnd.openxmlformats-officedocument.drawingml.chartshapes+xml"/>
  <Override PartName="/word/charts/chart127.xml" ContentType="application/vnd.openxmlformats-officedocument.drawingml.chart+xml"/>
  <Override PartName="/word/drawings/drawing127.xml" ContentType="application/vnd.openxmlformats-officedocument.drawingml.chartshapes+xml"/>
  <Override PartName="/word/charts/chart128.xml" ContentType="application/vnd.openxmlformats-officedocument.drawingml.chart+xml"/>
  <Override PartName="/word/drawings/drawing128.xml" ContentType="application/vnd.openxmlformats-officedocument.drawingml.chartshapes+xml"/>
  <Override PartName="/word/charts/chart129.xml" ContentType="application/vnd.openxmlformats-officedocument.drawingml.chart+xml"/>
  <Override PartName="/word/drawings/drawing129.xml" ContentType="application/vnd.openxmlformats-officedocument.drawingml.chartshapes+xml"/>
  <Override PartName="/word/charts/chart130.xml" ContentType="application/vnd.openxmlformats-officedocument.drawingml.chart+xml"/>
  <Override PartName="/word/drawings/drawing130.xml" ContentType="application/vnd.openxmlformats-officedocument.drawingml.chartshapes+xml"/>
  <Override PartName="/word/charts/chart131.xml" ContentType="application/vnd.openxmlformats-officedocument.drawingml.chart+xml"/>
  <Override PartName="/word/drawings/drawing131.xml" ContentType="application/vnd.openxmlformats-officedocument.drawingml.chartshapes+xml"/>
  <Override PartName="/word/charts/chart132.xml" ContentType="application/vnd.openxmlformats-officedocument.drawingml.chart+xml"/>
  <Override PartName="/word/drawings/drawing132.xml" ContentType="application/vnd.openxmlformats-officedocument.drawingml.chartshapes+xml"/>
  <Override PartName="/word/charts/chart133.xml" ContentType="application/vnd.openxmlformats-officedocument.drawingml.chart+xml"/>
  <Override PartName="/word/drawings/drawing133.xml" ContentType="application/vnd.openxmlformats-officedocument.drawingml.chartshapes+xml"/>
  <Override PartName="/word/charts/chart134.xml" ContentType="application/vnd.openxmlformats-officedocument.drawingml.chart+xml"/>
  <Override PartName="/word/drawings/drawing134.xml" ContentType="application/vnd.openxmlformats-officedocument.drawingml.chartshapes+xml"/>
  <Override PartName="/word/charts/chart135.xml" ContentType="application/vnd.openxmlformats-officedocument.drawingml.chart+xml"/>
  <Override PartName="/word/drawings/drawing135.xml" ContentType="application/vnd.openxmlformats-officedocument.drawingml.chartshapes+xml"/>
  <Override PartName="/word/charts/chart136.xml" ContentType="application/vnd.openxmlformats-officedocument.drawingml.chart+xml"/>
  <Override PartName="/word/drawings/drawing136.xml" ContentType="application/vnd.openxmlformats-officedocument.drawingml.chartshapes+xml"/>
  <Override PartName="/word/charts/chart137.xml" ContentType="application/vnd.openxmlformats-officedocument.drawingml.chart+xml"/>
  <Override PartName="/word/drawings/drawing137.xml" ContentType="application/vnd.openxmlformats-officedocument.drawingml.chartshapes+xml"/>
  <Override PartName="/word/charts/chart138.xml" ContentType="application/vnd.openxmlformats-officedocument.drawingml.chart+xml"/>
  <Override PartName="/word/drawings/drawing138.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charts/chart139.xml" ContentType="application/vnd.openxmlformats-officedocument.drawingml.chart+xml"/>
  <Override PartName="/word/drawings/drawing139.xml" ContentType="application/vnd.openxmlformats-officedocument.drawingml.chartshapes+xml"/>
  <Override PartName="/word/charts/chart140.xml" ContentType="application/vnd.openxmlformats-officedocument.drawingml.chart+xml"/>
  <Override PartName="/word/drawings/drawing140.xml" ContentType="application/vnd.openxmlformats-officedocument.drawingml.chartshapes+xml"/>
  <Override PartName="/word/charts/chart141.xml" ContentType="application/vnd.openxmlformats-officedocument.drawingml.chart+xml"/>
  <Override PartName="/word/drawings/drawing141.xml" ContentType="application/vnd.openxmlformats-officedocument.drawingml.chartshapes+xml"/>
  <Override PartName="/word/charts/chart142.xml" ContentType="application/vnd.openxmlformats-officedocument.drawingml.chart+xml"/>
  <Override PartName="/word/drawings/drawing142.xml" ContentType="application/vnd.openxmlformats-officedocument.drawingml.chartshapes+xml"/>
  <Override PartName="/word/charts/chart143.xml" ContentType="application/vnd.openxmlformats-officedocument.drawingml.chart+xml"/>
  <Override PartName="/word/drawings/drawing143.xml" ContentType="application/vnd.openxmlformats-officedocument.drawingml.chartshapes+xml"/>
  <Override PartName="/word/charts/chart144.xml" ContentType="application/vnd.openxmlformats-officedocument.drawingml.chart+xml"/>
  <Override PartName="/word/drawings/drawing144.xml" ContentType="application/vnd.openxmlformats-officedocument.drawingml.chartshapes+xml"/>
  <Override PartName="/word/charts/chart145.xml" ContentType="application/vnd.openxmlformats-officedocument.drawingml.chart+xml"/>
  <Override PartName="/word/drawings/drawing145.xml" ContentType="application/vnd.openxmlformats-officedocument.drawingml.chartshapes+xml"/>
  <Override PartName="/word/charts/chart146.xml" ContentType="application/vnd.openxmlformats-officedocument.drawingml.chart+xml"/>
  <Override PartName="/word/drawings/drawing146.xml" ContentType="application/vnd.openxmlformats-officedocument.drawingml.chartshapes+xml"/>
  <Override PartName="/word/charts/chart147.xml" ContentType="application/vnd.openxmlformats-officedocument.drawingml.chart+xml"/>
  <Override PartName="/word/drawings/drawing147.xml" ContentType="application/vnd.openxmlformats-officedocument.drawingml.chartshapes+xml"/>
  <Override PartName="/word/charts/chart148.xml" ContentType="application/vnd.openxmlformats-officedocument.drawingml.chart+xml"/>
  <Override PartName="/word/drawings/drawing148.xml" ContentType="application/vnd.openxmlformats-officedocument.drawingml.chartshapes+xml"/>
  <Override PartName="/word/charts/chart149.xml" ContentType="application/vnd.openxmlformats-officedocument.drawingml.chart+xml"/>
  <Override PartName="/word/drawings/drawing149.xml" ContentType="application/vnd.openxmlformats-officedocument.drawingml.chartshapes+xml"/>
  <Override PartName="/word/charts/chart150.xml" ContentType="application/vnd.openxmlformats-officedocument.drawingml.chart+xml"/>
  <Override PartName="/word/drawings/drawing150.xml" ContentType="application/vnd.openxmlformats-officedocument.drawingml.chartshapes+xml"/>
  <Override PartName="/word/charts/chart151.xml" ContentType="application/vnd.openxmlformats-officedocument.drawingml.chart+xml"/>
  <Override PartName="/word/drawings/drawing151.xml" ContentType="application/vnd.openxmlformats-officedocument.drawingml.chartshapes+xml"/>
  <Override PartName="/word/charts/chart152.xml" ContentType="application/vnd.openxmlformats-officedocument.drawingml.chart+xml"/>
  <Override PartName="/word/drawings/drawing152.xml" ContentType="application/vnd.openxmlformats-officedocument.drawingml.chartshapes+xml"/>
  <Override PartName="/word/charts/chart153.xml" ContentType="application/vnd.openxmlformats-officedocument.drawingml.chart+xml"/>
  <Override PartName="/word/drawings/drawing153.xml" ContentType="application/vnd.openxmlformats-officedocument.drawingml.chartshapes+xml"/>
  <Override PartName="/word/charts/chart154.xml" ContentType="application/vnd.openxmlformats-officedocument.drawingml.chart+xml"/>
  <Override PartName="/word/drawings/drawing154.xml" ContentType="application/vnd.openxmlformats-officedocument.drawingml.chartshapes+xml"/>
  <Override PartName="/word/charts/chart155.xml" ContentType="application/vnd.openxmlformats-officedocument.drawingml.chart+xml"/>
  <Override PartName="/word/drawings/drawing155.xml" ContentType="application/vnd.openxmlformats-officedocument.drawingml.chartshapes+xml"/>
  <Override PartName="/word/charts/chart156.xml" ContentType="application/vnd.openxmlformats-officedocument.drawingml.chart+xml"/>
  <Override PartName="/word/drawings/drawing156.xml" ContentType="application/vnd.openxmlformats-officedocument.drawingml.chartshapes+xml"/>
  <Override PartName="/word/charts/chart157.xml" ContentType="application/vnd.openxmlformats-officedocument.drawingml.chart+xml"/>
  <Override PartName="/word/drawings/drawing157.xml" ContentType="application/vnd.openxmlformats-officedocument.drawingml.chartshapes+xml"/>
  <Override PartName="/word/charts/chart158.xml" ContentType="application/vnd.openxmlformats-officedocument.drawingml.chart+xml"/>
  <Override PartName="/word/drawings/drawing158.xml" ContentType="application/vnd.openxmlformats-officedocument.drawingml.chartshapes+xml"/>
  <Override PartName="/word/charts/chart159.xml" ContentType="application/vnd.openxmlformats-officedocument.drawingml.chart+xml"/>
  <Override PartName="/word/drawings/drawing159.xml" ContentType="application/vnd.openxmlformats-officedocument.drawingml.chartshapes+xml"/>
  <Override PartName="/word/charts/chart160.xml" ContentType="application/vnd.openxmlformats-officedocument.drawingml.chart+xml"/>
  <Override PartName="/word/drawings/drawing160.xml" ContentType="application/vnd.openxmlformats-officedocument.drawingml.chartshapes+xml"/>
  <Override PartName="/word/charts/chart161.xml" ContentType="application/vnd.openxmlformats-officedocument.drawingml.chart+xml"/>
  <Override PartName="/word/drawings/drawing161.xml" ContentType="application/vnd.openxmlformats-officedocument.drawingml.chartshapes+xml"/>
  <Override PartName="/word/charts/chart162.xml" ContentType="application/vnd.openxmlformats-officedocument.drawingml.chart+xml"/>
  <Override PartName="/word/drawings/drawing162.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E40" w:rsidRPr="000A3A2C" w:rsidRDefault="00664ABE" w:rsidP="00E67696">
      <w:pPr>
        <w:rPr>
          <w:lang w:eastAsia="ar-SA"/>
        </w:rPr>
        <w:sectPr w:rsidR="00A75E40" w:rsidRPr="000A3A2C" w:rsidSect="0085114D">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418" w:left="1134" w:header="709" w:footer="709" w:gutter="0"/>
          <w:pgNumType w:start="1"/>
          <w:cols w:space="708"/>
          <w:docGrid w:linePitch="360"/>
        </w:sectPr>
      </w:pPr>
      <w:bookmarkStart w:id="0" w:name="_GoBack"/>
      <w:bookmarkEnd w:id="0"/>
      <w:r>
        <w:rPr>
          <w:noProof/>
          <w:lang w:val="cs-CZ"/>
        </w:rPr>
        <mc:AlternateContent>
          <mc:Choice Requires="wpg">
            <w:drawing>
              <wp:anchor distT="0" distB="0" distL="114300" distR="114300" simplePos="0" relativeHeight="251661312" behindDoc="0" locked="1" layoutInCell="1" allowOverlap="1">
                <wp:simplePos x="0" y="0"/>
                <wp:positionH relativeFrom="page">
                  <wp:posOffset>608330</wp:posOffset>
                </wp:positionH>
                <wp:positionV relativeFrom="page">
                  <wp:posOffset>507365</wp:posOffset>
                </wp:positionV>
                <wp:extent cx="2181860" cy="514985"/>
                <wp:effectExtent l="0" t="0" r="3810" b="6350"/>
                <wp:wrapSquare wrapText="bothSides"/>
                <wp:docPr id="5" name="Skupina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81860" cy="514985"/>
                          <a:chOff x="0" y="0"/>
                          <a:chExt cx="1671002" cy="395288"/>
                        </a:xfrm>
                      </wpg:grpSpPr>
                      <wps:wsp>
                        <wps:cNvPr id="6" name="Rectangle 5"/>
                        <wps:cNvSpPr>
                          <a:spLocks noChangeArrowheads="1"/>
                        </wps:cNvSpPr>
                        <wps:spPr bwMode="auto">
                          <a:xfrm>
                            <a:off x="395287" y="4763"/>
                            <a:ext cx="419100" cy="98425"/>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
                        <wps:cNvSpPr>
                          <a:spLocks noChangeArrowheads="1"/>
                        </wps:cNvSpPr>
                        <wps:spPr bwMode="auto">
                          <a:xfrm>
                            <a:off x="0" y="147638"/>
                            <a:ext cx="814705" cy="97790"/>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357187" y="295275"/>
                            <a:ext cx="457200" cy="97790"/>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8"/>
                        <wps:cNvSpPr>
                          <a:spLocks noEditPoints="1"/>
                        </wps:cNvSpPr>
                        <wps:spPr bwMode="auto">
                          <a:xfrm>
                            <a:off x="862012" y="290513"/>
                            <a:ext cx="455295" cy="104775"/>
                          </a:xfrm>
                          <a:custGeom>
                            <a:avLst/>
                            <a:gdLst>
                              <a:gd name="T0" fmla="*/ 34559 w 1436"/>
                              <a:gd name="T1" fmla="*/ 3175 h 330"/>
                              <a:gd name="T2" fmla="*/ 14268 w 1436"/>
                              <a:gd name="T3" fmla="*/ 16193 h 330"/>
                              <a:gd name="T4" fmla="*/ 1268 w 1436"/>
                              <a:gd name="T5" fmla="*/ 40640 h 330"/>
                              <a:gd name="T6" fmla="*/ 2536 w 1436"/>
                              <a:gd name="T7" fmla="*/ 67628 h 330"/>
                              <a:gd name="T8" fmla="*/ 15536 w 1436"/>
                              <a:gd name="T9" fmla="*/ 89535 h 330"/>
                              <a:gd name="T10" fmla="*/ 37096 w 1436"/>
                              <a:gd name="T11" fmla="*/ 102235 h 330"/>
                              <a:gd name="T12" fmla="*/ 63729 w 1436"/>
                              <a:gd name="T13" fmla="*/ 103823 h 330"/>
                              <a:gd name="T14" fmla="*/ 85923 w 1436"/>
                              <a:gd name="T15" fmla="*/ 95250 h 330"/>
                              <a:gd name="T16" fmla="*/ 103044 w 1436"/>
                              <a:gd name="T17" fmla="*/ 74613 h 330"/>
                              <a:gd name="T18" fmla="*/ 107483 w 1436"/>
                              <a:gd name="T19" fmla="*/ 47308 h 330"/>
                              <a:gd name="T20" fmla="*/ 99873 w 1436"/>
                              <a:gd name="T21" fmla="*/ 24448 h 330"/>
                              <a:gd name="T22" fmla="*/ 81167 w 1436"/>
                              <a:gd name="T23" fmla="*/ 6350 h 330"/>
                              <a:gd name="T24" fmla="*/ 53900 w 1436"/>
                              <a:gd name="T25" fmla="*/ 0 h 330"/>
                              <a:gd name="T26" fmla="*/ 62143 w 1436"/>
                              <a:gd name="T27" fmla="*/ 26353 h 330"/>
                              <a:gd name="T28" fmla="*/ 73557 w 1436"/>
                              <a:gd name="T29" fmla="*/ 33020 h 330"/>
                              <a:gd name="T30" fmla="*/ 80216 w 1436"/>
                              <a:gd name="T31" fmla="*/ 44133 h 330"/>
                              <a:gd name="T32" fmla="*/ 81167 w 1436"/>
                              <a:gd name="T33" fmla="*/ 58103 h 330"/>
                              <a:gd name="T34" fmla="*/ 75143 w 1436"/>
                              <a:gd name="T35" fmla="*/ 70168 h 330"/>
                              <a:gd name="T36" fmla="*/ 64363 w 1436"/>
                              <a:gd name="T37" fmla="*/ 78105 h 330"/>
                              <a:gd name="T38" fmla="*/ 51046 w 1436"/>
                              <a:gd name="T39" fmla="*/ 80010 h 330"/>
                              <a:gd name="T40" fmla="*/ 38364 w 1436"/>
                              <a:gd name="T41" fmla="*/ 75248 h 330"/>
                              <a:gd name="T42" fmla="*/ 29803 w 1436"/>
                              <a:gd name="T43" fmla="*/ 65405 h 330"/>
                              <a:gd name="T44" fmla="*/ 26633 w 1436"/>
                              <a:gd name="T45" fmla="*/ 52070 h 330"/>
                              <a:gd name="T46" fmla="*/ 29803 w 1436"/>
                              <a:gd name="T47" fmla="*/ 39053 h 330"/>
                              <a:gd name="T48" fmla="*/ 38681 w 1436"/>
                              <a:gd name="T49" fmla="*/ 29528 h 330"/>
                              <a:gd name="T50" fmla="*/ 51046 w 1436"/>
                              <a:gd name="T51" fmla="*/ 25083 h 330"/>
                              <a:gd name="T52" fmla="*/ 120482 w 1436"/>
                              <a:gd name="T53" fmla="*/ 3175 h 330"/>
                              <a:gd name="T54" fmla="*/ 173748 w 1436"/>
                              <a:gd name="T55" fmla="*/ 40958 h 330"/>
                              <a:gd name="T56" fmla="*/ 248890 w 1436"/>
                              <a:gd name="T57" fmla="*/ 3175 h 330"/>
                              <a:gd name="T58" fmla="*/ 246037 w 1436"/>
                              <a:gd name="T59" fmla="*/ 62548 h 330"/>
                              <a:gd name="T60" fmla="*/ 290742 w 1436"/>
                              <a:gd name="T61" fmla="*/ 3175 h 330"/>
                              <a:gd name="T62" fmla="*/ 380152 w 1436"/>
                              <a:gd name="T63" fmla="*/ 6033 h 330"/>
                              <a:gd name="T64" fmla="*/ 351617 w 1436"/>
                              <a:gd name="T65" fmla="*/ 1270 h 330"/>
                              <a:gd name="T66" fmla="*/ 327838 w 1436"/>
                              <a:gd name="T67" fmla="*/ 9843 h 330"/>
                              <a:gd name="T68" fmla="*/ 311668 w 1436"/>
                              <a:gd name="T69" fmla="*/ 27940 h 330"/>
                              <a:gd name="T70" fmla="*/ 305327 w 1436"/>
                              <a:gd name="T71" fmla="*/ 53023 h 330"/>
                              <a:gd name="T72" fmla="*/ 310717 w 1436"/>
                              <a:gd name="T73" fmla="*/ 75565 h 330"/>
                              <a:gd name="T74" fmla="*/ 326887 w 1436"/>
                              <a:gd name="T75" fmla="*/ 93980 h 330"/>
                              <a:gd name="T76" fmla="*/ 351934 w 1436"/>
                              <a:gd name="T77" fmla="*/ 103505 h 330"/>
                              <a:gd name="T78" fmla="*/ 380152 w 1436"/>
                              <a:gd name="T79" fmla="*/ 99060 h 330"/>
                              <a:gd name="T80" fmla="*/ 369689 w 1436"/>
                              <a:gd name="T81" fmla="*/ 76835 h 330"/>
                              <a:gd name="T82" fmla="*/ 355739 w 1436"/>
                              <a:gd name="T83" fmla="*/ 79375 h 330"/>
                              <a:gd name="T84" fmla="*/ 340520 w 1436"/>
                              <a:gd name="T85" fmla="*/ 73025 h 330"/>
                              <a:gd name="T86" fmla="*/ 333228 w 1436"/>
                              <a:gd name="T87" fmla="*/ 61595 h 330"/>
                              <a:gd name="T88" fmla="*/ 332277 w 1436"/>
                              <a:gd name="T89" fmla="*/ 46990 h 330"/>
                              <a:gd name="T90" fmla="*/ 337984 w 1436"/>
                              <a:gd name="T91" fmla="*/ 35560 h 330"/>
                              <a:gd name="T92" fmla="*/ 347812 w 1436"/>
                              <a:gd name="T93" fmla="*/ 27940 h 330"/>
                              <a:gd name="T94" fmla="*/ 361129 w 1436"/>
                              <a:gd name="T95" fmla="*/ 26035 h 330"/>
                              <a:gd name="T96" fmla="*/ 375396 w 1436"/>
                              <a:gd name="T97" fmla="*/ 31750 h 330"/>
                              <a:gd name="T98" fmla="*/ 455295 w 1436"/>
                              <a:gd name="T99" fmla="*/ 3175 h 330"/>
                              <a:gd name="T100" fmla="*/ 425175 w 1436"/>
                              <a:gd name="T101" fmla="*/ 79693 h 330"/>
                              <a:gd name="T102" fmla="*/ 425175 w 1436"/>
                              <a:gd name="T103" fmla="*/ 24765 h 33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36" h="330">
                                <a:moveTo>
                                  <a:pt x="170" y="0"/>
                                </a:moveTo>
                                <a:lnTo>
                                  <a:pt x="155" y="1"/>
                                </a:lnTo>
                                <a:lnTo>
                                  <a:pt x="139" y="2"/>
                                </a:lnTo>
                                <a:lnTo>
                                  <a:pt x="124" y="6"/>
                                </a:lnTo>
                                <a:lnTo>
                                  <a:pt x="109" y="10"/>
                                </a:lnTo>
                                <a:lnTo>
                                  <a:pt x="95" y="16"/>
                                </a:lnTo>
                                <a:lnTo>
                                  <a:pt x="81" y="23"/>
                                </a:lnTo>
                                <a:lnTo>
                                  <a:pt x="69" y="30"/>
                                </a:lnTo>
                                <a:lnTo>
                                  <a:pt x="58" y="39"/>
                                </a:lnTo>
                                <a:lnTo>
                                  <a:pt x="45" y="51"/>
                                </a:lnTo>
                                <a:lnTo>
                                  <a:pt x="34" y="65"/>
                                </a:lnTo>
                                <a:lnTo>
                                  <a:pt x="24" y="79"/>
                                </a:lnTo>
                                <a:lnTo>
                                  <a:pt x="15" y="95"/>
                                </a:lnTo>
                                <a:lnTo>
                                  <a:pt x="9" y="112"/>
                                </a:lnTo>
                                <a:lnTo>
                                  <a:pt x="4" y="128"/>
                                </a:lnTo>
                                <a:lnTo>
                                  <a:pt x="2" y="146"/>
                                </a:lnTo>
                                <a:lnTo>
                                  <a:pt x="0" y="162"/>
                                </a:lnTo>
                                <a:lnTo>
                                  <a:pt x="2" y="181"/>
                                </a:lnTo>
                                <a:lnTo>
                                  <a:pt x="4" y="197"/>
                                </a:lnTo>
                                <a:lnTo>
                                  <a:pt x="8" y="213"/>
                                </a:lnTo>
                                <a:lnTo>
                                  <a:pt x="13" y="230"/>
                                </a:lnTo>
                                <a:lnTo>
                                  <a:pt x="20" y="243"/>
                                </a:lnTo>
                                <a:lnTo>
                                  <a:pt x="28" y="258"/>
                                </a:lnTo>
                                <a:lnTo>
                                  <a:pt x="38" y="271"/>
                                </a:lnTo>
                                <a:lnTo>
                                  <a:pt x="49" y="282"/>
                                </a:lnTo>
                                <a:lnTo>
                                  <a:pt x="60" y="294"/>
                                </a:lnTo>
                                <a:lnTo>
                                  <a:pt x="73" y="302"/>
                                </a:lnTo>
                                <a:lnTo>
                                  <a:pt x="86" y="311"/>
                                </a:lnTo>
                                <a:lnTo>
                                  <a:pt x="101" y="317"/>
                                </a:lnTo>
                                <a:lnTo>
                                  <a:pt x="117" y="322"/>
                                </a:lnTo>
                                <a:lnTo>
                                  <a:pt x="134" y="327"/>
                                </a:lnTo>
                                <a:lnTo>
                                  <a:pt x="151" y="330"/>
                                </a:lnTo>
                                <a:lnTo>
                                  <a:pt x="168" y="330"/>
                                </a:lnTo>
                                <a:lnTo>
                                  <a:pt x="186" y="330"/>
                                </a:lnTo>
                                <a:lnTo>
                                  <a:pt x="201" y="327"/>
                                </a:lnTo>
                                <a:lnTo>
                                  <a:pt x="217" y="325"/>
                                </a:lnTo>
                                <a:lnTo>
                                  <a:pt x="231" y="320"/>
                                </a:lnTo>
                                <a:lnTo>
                                  <a:pt x="244" y="315"/>
                                </a:lnTo>
                                <a:lnTo>
                                  <a:pt x="258" y="309"/>
                                </a:lnTo>
                                <a:lnTo>
                                  <a:pt x="271" y="300"/>
                                </a:lnTo>
                                <a:lnTo>
                                  <a:pt x="283" y="291"/>
                                </a:lnTo>
                                <a:lnTo>
                                  <a:pt x="296" y="279"/>
                                </a:lnTo>
                                <a:lnTo>
                                  <a:pt x="307" y="265"/>
                                </a:lnTo>
                                <a:lnTo>
                                  <a:pt x="317" y="251"/>
                                </a:lnTo>
                                <a:lnTo>
                                  <a:pt x="325" y="235"/>
                                </a:lnTo>
                                <a:lnTo>
                                  <a:pt x="332" y="218"/>
                                </a:lnTo>
                                <a:lnTo>
                                  <a:pt x="337" y="201"/>
                                </a:lnTo>
                                <a:lnTo>
                                  <a:pt x="339" y="183"/>
                                </a:lnTo>
                                <a:lnTo>
                                  <a:pt x="340" y="166"/>
                                </a:lnTo>
                                <a:lnTo>
                                  <a:pt x="339" y="149"/>
                                </a:lnTo>
                                <a:lnTo>
                                  <a:pt x="338" y="134"/>
                                </a:lnTo>
                                <a:lnTo>
                                  <a:pt x="334" y="119"/>
                                </a:lnTo>
                                <a:lnTo>
                                  <a:pt x="329" y="104"/>
                                </a:lnTo>
                                <a:lnTo>
                                  <a:pt x="323" y="90"/>
                                </a:lnTo>
                                <a:lnTo>
                                  <a:pt x="315" y="77"/>
                                </a:lnTo>
                                <a:lnTo>
                                  <a:pt x="306" y="64"/>
                                </a:lnTo>
                                <a:lnTo>
                                  <a:pt x="296" y="53"/>
                                </a:lnTo>
                                <a:lnTo>
                                  <a:pt x="283" y="40"/>
                                </a:lnTo>
                                <a:lnTo>
                                  <a:pt x="269" y="30"/>
                                </a:lnTo>
                                <a:lnTo>
                                  <a:pt x="256" y="20"/>
                                </a:lnTo>
                                <a:lnTo>
                                  <a:pt x="239" y="14"/>
                                </a:lnTo>
                                <a:lnTo>
                                  <a:pt x="223" y="8"/>
                                </a:lnTo>
                                <a:lnTo>
                                  <a:pt x="207" y="4"/>
                                </a:lnTo>
                                <a:lnTo>
                                  <a:pt x="188" y="1"/>
                                </a:lnTo>
                                <a:lnTo>
                                  <a:pt x="170" y="0"/>
                                </a:lnTo>
                                <a:close/>
                                <a:moveTo>
                                  <a:pt x="170" y="78"/>
                                </a:moveTo>
                                <a:lnTo>
                                  <a:pt x="180" y="79"/>
                                </a:lnTo>
                                <a:lnTo>
                                  <a:pt x="187" y="80"/>
                                </a:lnTo>
                                <a:lnTo>
                                  <a:pt x="196" y="83"/>
                                </a:lnTo>
                                <a:lnTo>
                                  <a:pt x="205" y="85"/>
                                </a:lnTo>
                                <a:lnTo>
                                  <a:pt x="212" y="89"/>
                                </a:lnTo>
                                <a:lnTo>
                                  <a:pt x="218" y="93"/>
                                </a:lnTo>
                                <a:lnTo>
                                  <a:pt x="226" y="98"/>
                                </a:lnTo>
                                <a:lnTo>
                                  <a:pt x="232" y="104"/>
                                </a:lnTo>
                                <a:lnTo>
                                  <a:pt x="237" y="110"/>
                                </a:lnTo>
                                <a:lnTo>
                                  <a:pt x="242" y="117"/>
                                </a:lnTo>
                                <a:lnTo>
                                  <a:pt x="247" y="124"/>
                                </a:lnTo>
                                <a:lnTo>
                                  <a:pt x="249" y="132"/>
                                </a:lnTo>
                                <a:lnTo>
                                  <a:pt x="253" y="139"/>
                                </a:lnTo>
                                <a:lnTo>
                                  <a:pt x="256" y="148"/>
                                </a:lnTo>
                                <a:lnTo>
                                  <a:pt x="257" y="157"/>
                                </a:lnTo>
                                <a:lnTo>
                                  <a:pt x="257" y="166"/>
                                </a:lnTo>
                                <a:lnTo>
                                  <a:pt x="257" y="174"/>
                                </a:lnTo>
                                <a:lnTo>
                                  <a:pt x="256" y="183"/>
                                </a:lnTo>
                                <a:lnTo>
                                  <a:pt x="253" y="191"/>
                                </a:lnTo>
                                <a:lnTo>
                                  <a:pt x="249" y="199"/>
                                </a:lnTo>
                                <a:lnTo>
                                  <a:pt x="247" y="207"/>
                                </a:lnTo>
                                <a:lnTo>
                                  <a:pt x="242" y="213"/>
                                </a:lnTo>
                                <a:lnTo>
                                  <a:pt x="237" y="221"/>
                                </a:lnTo>
                                <a:lnTo>
                                  <a:pt x="232" y="227"/>
                                </a:lnTo>
                                <a:lnTo>
                                  <a:pt x="226" y="232"/>
                                </a:lnTo>
                                <a:lnTo>
                                  <a:pt x="218" y="237"/>
                                </a:lnTo>
                                <a:lnTo>
                                  <a:pt x="212" y="242"/>
                                </a:lnTo>
                                <a:lnTo>
                                  <a:pt x="203" y="246"/>
                                </a:lnTo>
                                <a:lnTo>
                                  <a:pt x="196" y="248"/>
                                </a:lnTo>
                                <a:lnTo>
                                  <a:pt x="187" y="251"/>
                                </a:lnTo>
                                <a:lnTo>
                                  <a:pt x="180" y="252"/>
                                </a:lnTo>
                                <a:lnTo>
                                  <a:pt x="170" y="252"/>
                                </a:lnTo>
                                <a:lnTo>
                                  <a:pt x="161" y="252"/>
                                </a:lnTo>
                                <a:lnTo>
                                  <a:pt x="152" y="251"/>
                                </a:lnTo>
                                <a:lnTo>
                                  <a:pt x="145" y="248"/>
                                </a:lnTo>
                                <a:lnTo>
                                  <a:pt x="136" y="246"/>
                                </a:lnTo>
                                <a:lnTo>
                                  <a:pt x="129" y="242"/>
                                </a:lnTo>
                                <a:lnTo>
                                  <a:pt x="121" y="237"/>
                                </a:lnTo>
                                <a:lnTo>
                                  <a:pt x="115" y="232"/>
                                </a:lnTo>
                                <a:lnTo>
                                  <a:pt x="109" y="227"/>
                                </a:lnTo>
                                <a:lnTo>
                                  <a:pt x="104" y="221"/>
                                </a:lnTo>
                                <a:lnTo>
                                  <a:pt x="99" y="213"/>
                                </a:lnTo>
                                <a:lnTo>
                                  <a:pt x="94" y="206"/>
                                </a:lnTo>
                                <a:lnTo>
                                  <a:pt x="90" y="198"/>
                                </a:lnTo>
                                <a:lnTo>
                                  <a:pt x="87" y="191"/>
                                </a:lnTo>
                                <a:lnTo>
                                  <a:pt x="85" y="182"/>
                                </a:lnTo>
                                <a:lnTo>
                                  <a:pt x="84" y="173"/>
                                </a:lnTo>
                                <a:lnTo>
                                  <a:pt x="84" y="164"/>
                                </a:lnTo>
                                <a:lnTo>
                                  <a:pt x="84" y="156"/>
                                </a:lnTo>
                                <a:lnTo>
                                  <a:pt x="85" y="147"/>
                                </a:lnTo>
                                <a:lnTo>
                                  <a:pt x="87" y="139"/>
                                </a:lnTo>
                                <a:lnTo>
                                  <a:pt x="90" y="130"/>
                                </a:lnTo>
                                <a:lnTo>
                                  <a:pt x="94" y="123"/>
                                </a:lnTo>
                                <a:lnTo>
                                  <a:pt x="99" y="117"/>
                                </a:lnTo>
                                <a:lnTo>
                                  <a:pt x="104" y="110"/>
                                </a:lnTo>
                                <a:lnTo>
                                  <a:pt x="109" y="104"/>
                                </a:lnTo>
                                <a:lnTo>
                                  <a:pt x="115" y="98"/>
                                </a:lnTo>
                                <a:lnTo>
                                  <a:pt x="122" y="93"/>
                                </a:lnTo>
                                <a:lnTo>
                                  <a:pt x="129" y="89"/>
                                </a:lnTo>
                                <a:lnTo>
                                  <a:pt x="136" y="85"/>
                                </a:lnTo>
                                <a:lnTo>
                                  <a:pt x="145" y="83"/>
                                </a:lnTo>
                                <a:lnTo>
                                  <a:pt x="152" y="80"/>
                                </a:lnTo>
                                <a:lnTo>
                                  <a:pt x="161" y="79"/>
                                </a:lnTo>
                                <a:lnTo>
                                  <a:pt x="170" y="78"/>
                                </a:lnTo>
                                <a:close/>
                                <a:moveTo>
                                  <a:pt x="557" y="78"/>
                                </a:moveTo>
                                <a:lnTo>
                                  <a:pt x="557" y="10"/>
                                </a:lnTo>
                                <a:lnTo>
                                  <a:pt x="380" y="10"/>
                                </a:lnTo>
                                <a:lnTo>
                                  <a:pt x="380" y="319"/>
                                </a:lnTo>
                                <a:lnTo>
                                  <a:pt x="460" y="319"/>
                                </a:lnTo>
                                <a:lnTo>
                                  <a:pt x="460" y="197"/>
                                </a:lnTo>
                                <a:lnTo>
                                  <a:pt x="548" y="197"/>
                                </a:lnTo>
                                <a:lnTo>
                                  <a:pt x="548" y="129"/>
                                </a:lnTo>
                                <a:lnTo>
                                  <a:pt x="460" y="129"/>
                                </a:lnTo>
                                <a:lnTo>
                                  <a:pt x="460" y="78"/>
                                </a:lnTo>
                                <a:lnTo>
                                  <a:pt x="557" y="78"/>
                                </a:lnTo>
                                <a:close/>
                                <a:moveTo>
                                  <a:pt x="785" y="78"/>
                                </a:moveTo>
                                <a:lnTo>
                                  <a:pt x="785" y="10"/>
                                </a:lnTo>
                                <a:lnTo>
                                  <a:pt x="608" y="10"/>
                                </a:lnTo>
                                <a:lnTo>
                                  <a:pt x="608" y="319"/>
                                </a:lnTo>
                                <a:lnTo>
                                  <a:pt x="688" y="319"/>
                                </a:lnTo>
                                <a:lnTo>
                                  <a:pt x="688" y="197"/>
                                </a:lnTo>
                                <a:lnTo>
                                  <a:pt x="776" y="197"/>
                                </a:lnTo>
                                <a:lnTo>
                                  <a:pt x="776" y="129"/>
                                </a:lnTo>
                                <a:lnTo>
                                  <a:pt x="688" y="129"/>
                                </a:lnTo>
                                <a:lnTo>
                                  <a:pt x="688" y="78"/>
                                </a:lnTo>
                                <a:lnTo>
                                  <a:pt x="785" y="78"/>
                                </a:lnTo>
                                <a:close/>
                                <a:moveTo>
                                  <a:pt x="917" y="10"/>
                                </a:moveTo>
                                <a:lnTo>
                                  <a:pt x="838" y="10"/>
                                </a:lnTo>
                                <a:lnTo>
                                  <a:pt x="838" y="319"/>
                                </a:lnTo>
                                <a:lnTo>
                                  <a:pt x="917" y="319"/>
                                </a:lnTo>
                                <a:lnTo>
                                  <a:pt x="917" y="10"/>
                                </a:lnTo>
                                <a:close/>
                                <a:moveTo>
                                  <a:pt x="1199" y="19"/>
                                </a:moveTo>
                                <a:lnTo>
                                  <a:pt x="1179" y="11"/>
                                </a:lnTo>
                                <a:lnTo>
                                  <a:pt x="1160" y="6"/>
                                </a:lnTo>
                                <a:lnTo>
                                  <a:pt x="1144" y="4"/>
                                </a:lnTo>
                                <a:lnTo>
                                  <a:pt x="1127" y="4"/>
                                </a:lnTo>
                                <a:lnTo>
                                  <a:pt x="1109" y="4"/>
                                </a:lnTo>
                                <a:lnTo>
                                  <a:pt x="1093" y="6"/>
                                </a:lnTo>
                                <a:lnTo>
                                  <a:pt x="1078" y="10"/>
                                </a:lnTo>
                                <a:lnTo>
                                  <a:pt x="1063" y="16"/>
                                </a:lnTo>
                                <a:lnTo>
                                  <a:pt x="1048" y="23"/>
                                </a:lnTo>
                                <a:lnTo>
                                  <a:pt x="1034" y="31"/>
                                </a:lnTo>
                                <a:lnTo>
                                  <a:pt x="1022" y="40"/>
                                </a:lnTo>
                                <a:lnTo>
                                  <a:pt x="1011" y="50"/>
                                </a:lnTo>
                                <a:lnTo>
                                  <a:pt x="1001" y="63"/>
                                </a:lnTo>
                                <a:lnTo>
                                  <a:pt x="991" y="75"/>
                                </a:lnTo>
                                <a:lnTo>
                                  <a:pt x="983" y="88"/>
                                </a:lnTo>
                                <a:lnTo>
                                  <a:pt x="976" y="103"/>
                                </a:lnTo>
                                <a:lnTo>
                                  <a:pt x="971" y="118"/>
                                </a:lnTo>
                                <a:lnTo>
                                  <a:pt x="967" y="134"/>
                                </a:lnTo>
                                <a:lnTo>
                                  <a:pt x="965" y="151"/>
                                </a:lnTo>
                                <a:lnTo>
                                  <a:pt x="963" y="167"/>
                                </a:lnTo>
                                <a:lnTo>
                                  <a:pt x="965" y="182"/>
                                </a:lnTo>
                                <a:lnTo>
                                  <a:pt x="966" y="197"/>
                                </a:lnTo>
                                <a:lnTo>
                                  <a:pt x="970" y="211"/>
                                </a:lnTo>
                                <a:lnTo>
                                  <a:pt x="973" y="225"/>
                                </a:lnTo>
                                <a:lnTo>
                                  <a:pt x="980" y="238"/>
                                </a:lnTo>
                                <a:lnTo>
                                  <a:pt x="987" y="251"/>
                                </a:lnTo>
                                <a:lnTo>
                                  <a:pt x="994" y="262"/>
                                </a:lnTo>
                                <a:lnTo>
                                  <a:pt x="1004" y="274"/>
                                </a:lnTo>
                                <a:lnTo>
                                  <a:pt x="1017" y="286"/>
                                </a:lnTo>
                                <a:lnTo>
                                  <a:pt x="1031" y="296"/>
                                </a:lnTo>
                                <a:lnTo>
                                  <a:pt x="1044" y="305"/>
                                </a:lnTo>
                                <a:lnTo>
                                  <a:pt x="1061" y="314"/>
                                </a:lnTo>
                                <a:lnTo>
                                  <a:pt x="1077" y="319"/>
                                </a:lnTo>
                                <a:lnTo>
                                  <a:pt x="1093" y="324"/>
                                </a:lnTo>
                                <a:lnTo>
                                  <a:pt x="1110" y="326"/>
                                </a:lnTo>
                                <a:lnTo>
                                  <a:pt x="1127" y="327"/>
                                </a:lnTo>
                                <a:lnTo>
                                  <a:pt x="1143" y="327"/>
                                </a:lnTo>
                                <a:lnTo>
                                  <a:pt x="1156" y="325"/>
                                </a:lnTo>
                                <a:lnTo>
                                  <a:pt x="1175" y="320"/>
                                </a:lnTo>
                                <a:lnTo>
                                  <a:pt x="1199" y="312"/>
                                </a:lnTo>
                                <a:lnTo>
                                  <a:pt x="1199" y="217"/>
                                </a:lnTo>
                                <a:lnTo>
                                  <a:pt x="1190" y="225"/>
                                </a:lnTo>
                                <a:lnTo>
                                  <a:pt x="1183" y="232"/>
                                </a:lnTo>
                                <a:lnTo>
                                  <a:pt x="1174" y="237"/>
                                </a:lnTo>
                                <a:lnTo>
                                  <a:pt x="1166" y="242"/>
                                </a:lnTo>
                                <a:lnTo>
                                  <a:pt x="1158" y="245"/>
                                </a:lnTo>
                                <a:lnTo>
                                  <a:pt x="1149" y="247"/>
                                </a:lnTo>
                                <a:lnTo>
                                  <a:pt x="1139" y="248"/>
                                </a:lnTo>
                                <a:lnTo>
                                  <a:pt x="1129" y="250"/>
                                </a:lnTo>
                                <a:lnTo>
                                  <a:pt x="1122" y="250"/>
                                </a:lnTo>
                                <a:lnTo>
                                  <a:pt x="1114" y="248"/>
                                </a:lnTo>
                                <a:lnTo>
                                  <a:pt x="1107" y="246"/>
                                </a:lnTo>
                                <a:lnTo>
                                  <a:pt x="1100" y="245"/>
                                </a:lnTo>
                                <a:lnTo>
                                  <a:pt x="1087" y="238"/>
                                </a:lnTo>
                                <a:lnTo>
                                  <a:pt x="1074" y="230"/>
                                </a:lnTo>
                                <a:lnTo>
                                  <a:pt x="1068" y="223"/>
                                </a:lnTo>
                                <a:lnTo>
                                  <a:pt x="1062" y="217"/>
                                </a:lnTo>
                                <a:lnTo>
                                  <a:pt x="1058" y="210"/>
                                </a:lnTo>
                                <a:lnTo>
                                  <a:pt x="1053" y="202"/>
                                </a:lnTo>
                                <a:lnTo>
                                  <a:pt x="1051" y="194"/>
                                </a:lnTo>
                                <a:lnTo>
                                  <a:pt x="1048" y="186"/>
                                </a:lnTo>
                                <a:lnTo>
                                  <a:pt x="1047" y="176"/>
                                </a:lnTo>
                                <a:lnTo>
                                  <a:pt x="1047" y="167"/>
                                </a:lnTo>
                                <a:lnTo>
                                  <a:pt x="1047" y="157"/>
                                </a:lnTo>
                                <a:lnTo>
                                  <a:pt x="1048" y="148"/>
                                </a:lnTo>
                                <a:lnTo>
                                  <a:pt x="1051" y="141"/>
                                </a:lnTo>
                                <a:lnTo>
                                  <a:pt x="1053" y="132"/>
                                </a:lnTo>
                                <a:lnTo>
                                  <a:pt x="1057" y="124"/>
                                </a:lnTo>
                                <a:lnTo>
                                  <a:pt x="1061" y="118"/>
                                </a:lnTo>
                                <a:lnTo>
                                  <a:pt x="1066" y="112"/>
                                </a:lnTo>
                                <a:lnTo>
                                  <a:pt x="1070" y="105"/>
                                </a:lnTo>
                                <a:lnTo>
                                  <a:pt x="1075" y="100"/>
                                </a:lnTo>
                                <a:lnTo>
                                  <a:pt x="1082" y="95"/>
                                </a:lnTo>
                                <a:lnTo>
                                  <a:pt x="1089" y="90"/>
                                </a:lnTo>
                                <a:lnTo>
                                  <a:pt x="1097" y="88"/>
                                </a:lnTo>
                                <a:lnTo>
                                  <a:pt x="1104" y="84"/>
                                </a:lnTo>
                                <a:lnTo>
                                  <a:pt x="1112" y="83"/>
                                </a:lnTo>
                                <a:lnTo>
                                  <a:pt x="1120" y="82"/>
                                </a:lnTo>
                                <a:lnTo>
                                  <a:pt x="1129" y="82"/>
                                </a:lnTo>
                                <a:lnTo>
                                  <a:pt x="1139" y="82"/>
                                </a:lnTo>
                                <a:lnTo>
                                  <a:pt x="1149" y="83"/>
                                </a:lnTo>
                                <a:lnTo>
                                  <a:pt x="1159" y="85"/>
                                </a:lnTo>
                                <a:lnTo>
                                  <a:pt x="1168" y="89"/>
                                </a:lnTo>
                                <a:lnTo>
                                  <a:pt x="1175" y="94"/>
                                </a:lnTo>
                                <a:lnTo>
                                  <a:pt x="1184" y="100"/>
                                </a:lnTo>
                                <a:lnTo>
                                  <a:pt x="1191" y="107"/>
                                </a:lnTo>
                                <a:lnTo>
                                  <a:pt x="1199" y="115"/>
                                </a:lnTo>
                                <a:lnTo>
                                  <a:pt x="1199" y="19"/>
                                </a:lnTo>
                                <a:close/>
                                <a:moveTo>
                                  <a:pt x="1436" y="78"/>
                                </a:moveTo>
                                <a:lnTo>
                                  <a:pt x="1436" y="10"/>
                                </a:lnTo>
                                <a:lnTo>
                                  <a:pt x="1261" y="10"/>
                                </a:lnTo>
                                <a:lnTo>
                                  <a:pt x="1261" y="319"/>
                                </a:lnTo>
                                <a:lnTo>
                                  <a:pt x="1436" y="319"/>
                                </a:lnTo>
                                <a:lnTo>
                                  <a:pt x="1436" y="251"/>
                                </a:lnTo>
                                <a:lnTo>
                                  <a:pt x="1341" y="251"/>
                                </a:lnTo>
                                <a:lnTo>
                                  <a:pt x="1341" y="197"/>
                                </a:lnTo>
                                <a:lnTo>
                                  <a:pt x="1431" y="197"/>
                                </a:lnTo>
                                <a:lnTo>
                                  <a:pt x="1431" y="129"/>
                                </a:lnTo>
                                <a:lnTo>
                                  <a:pt x="1341" y="129"/>
                                </a:lnTo>
                                <a:lnTo>
                                  <a:pt x="1341" y="78"/>
                                </a:lnTo>
                                <a:lnTo>
                                  <a:pt x="1436" y="78"/>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noEditPoints="1"/>
                        </wps:cNvSpPr>
                        <wps:spPr bwMode="auto">
                          <a:xfrm>
                            <a:off x="862012" y="147638"/>
                            <a:ext cx="808990" cy="102870"/>
                          </a:xfrm>
                          <a:custGeom>
                            <a:avLst/>
                            <a:gdLst>
                              <a:gd name="T0" fmla="*/ 45067 w 2549"/>
                              <a:gd name="T1" fmla="*/ 317 h 325"/>
                              <a:gd name="T2" fmla="*/ 20629 w 2549"/>
                              <a:gd name="T3" fmla="*/ 3482 h 325"/>
                              <a:gd name="T4" fmla="*/ 6348 w 2549"/>
                              <a:gd name="T5" fmla="*/ 19308 h 325"/>
                              <a:gd name="T6" fmla="*/ 5078 w 2549"/>
                              <a:gd name="T7" fmla="*/ 41465 h 325"/>
                              <a:gd name="T8" fmla="*/ 18408 w 2549"/>
                              <a:gd name="T9" fmla="*/ 56025 h 325"/>
                              <a:gd name="T10" fmla="*/ 44115 w 2549"/>
                              <a:gd name="T11" fmla="*/ 66153 h 325"/>
                              <a:gd name="T12" fmla="*/ 41894 w 2549"/>
                              <a:gd name="T13" fmla="*/ 78181 h 325"/>
                              <a:gd name="T14" fmla="*/ 25073 w 2549"/>
                              <a:gd name="T15" fmla="*/ 79764 h 325"/>
                              <a:gd name="T16" fmla="*/ 4126 w 2549"/>
                              <a:gd name="T17" fmla="*/ 94007 h 325"/>
                              <a:gd name="T18" fmla="*/ 33642 w 2549"/>
                              <a:gd name="T19" fmla="*/ 102237 h 325"/>
                              <a:gd name="T20" fmla="*/ 59349 w 2549"/>
                              <a:gd name="T21" fmla="*/ 95273 h 325"/>
                              <a:gd name="T22" fmla="*/ 71409 w 2549"/>
                              <a:gd name="T23" fmla="*/ 75649 h 325"/>
                              <a:gd name="T24" fmla="*/ 67601 w 2549"/>
                              <a:gd name="T25" fmla="*/ 52226 h 325"/>
                              <a:gd name="T26" fmla="*/ 47924 w 2549"/>
                              <a:gd name="T27" fmla="*/ 40515 h 325"/>
                              <a:gd name="T28" fmla="*/ 30468 w 2549"/>
                              <a:gd name="T29" fmla="*/ 31019 h 325"/>
                              <a:gd name="T30" fmla="*/ 36816 w 2549"/>
                              <a:gd name="T31" fmla="*/ 21524 h 325"/>
                              <a:gd name="T32" fmla="*/ 53954 w 2549"/>
                              <a:gd name="T33" fmla="*/ 24689 h 325"/>
                              <a:gd name="T34" fmla="*/ 79026 w 2549"/>
                              <a:gd name="T35" fmla="*/ 23739 h 325"/>
                              <a:gd name="T36" fmla="*/ 244379 w 2549"/>
                              <a:gd name="T37" fmla="*/ 100021 h 325"/>
                              <a:gd name="T38" fmla="*/ 204072 w 2549"/>
                              <a:gd name="T39" fmla="*/ 63621 h 325"/>
                              <a:gd name="T40" fmla="*/ 240571 w 2549"/>
                              <a:gd name="T41" fmla="*/ 1899 h 325"/>
                              <a:gd name="T42" fmla="*/ 320867 w 2549"/>
                              <a:gd name="T43" fmla="*/ 1899 h 325"/>
                              <a:gd name="T44" fmla="*/ 419888 w 2549"/>
                              <a:gd name="T45" fmla="*/ 2849 h 325"/>
                              <a:gd name="T46" fmla="*/ 393228 w 2549"/>
                              <a:gd name="T47" fmla="*/ 317 h 325"/>
                              <a:gd name="T48" fmla="*/ 374186 w 2549"/>
                              <a:gd name="T49" fmla="*/ 11078 h 325"/>
                              <a:gd name="T50" fmla="*/ 366886 w 2549"/>
                              <a:gd name="T51" fmla="*/ 32918 h 325"/>
                              <a:gd name="T52" fmla="*/ 372916 w 2549"/>
                              <a:gd name="T53" fmla="*/ 50327 h 325"/>
                              <a:gd name="T54" fmla="*/ 401163 w 2549"/>
                              <a:gd name="T55" fmla="*/ 62672 h 325"/>
                              <a:gd name="T56" fmla="*/ 408462 w 2549"/>
                              <a:gd name="T57" fmla="*/ 73433 h 325"/>
                              <a:gd name="T58" fmla="*/ 396402 w 2549"/>
                              <a:gd name="T59" fmla="*/ 81030 h 325"/>
                              <a:gd name="T60" fmla="*/ 377042 w 2549"/>
                              <a:gd name="T61" fmla="*/ 73433 h 325"/>
                              <a:gd name="T62" fmla="*/ 384024 w 2549"/>
                              <a:gd name="T63" fmla="*/ 100654 h 325"/>
                              <a:gd name="T64" fmla="*/ 412588 w 2549"/>
                              <a:gd name="T65" fmla="*/ 100021 h 325"/>
                              <a:gd name="T66" fmla="*/ 430996 w 2549"/>
                              <a:gd name="T67" fmla="*/ 85778 h 325"/>
                              <a:gd name="T68" fmla="*/ 433852 w 2549"/>
                              <a:gd name="T69" fmla="*/ 58240 h 325"/>
                              <a:gd name="T70" fmla="*/ 424331 w 2549"/>
                              <a:gd name="T71" fmla="*/ 45896 h 325"/>
                              <a:gd name="T72" fmla="*/ 395767 w 2549"/>
                              <a:gd name="T73" fmla="*/ 34184 h 325"/>
                              <a:gd name="T74" fmla="*/ 395450 w 2549"/>
                              <a:gd name="T75" fmla="*/ 24689 h 325"/>
                              <a:gd name="T76" fmla="*/ 408462 w 2549"/>
                              <a:gd name="T77" fmla="*/ 21524 h 325"/>
                              <a:gd name="T78" fmla="*/ 508435 w 2549"/>
                              <a:gd name="T79" fmla="*/ 23739 h 325"/>
                              <a:gd name="T80" fmla="*/ 487489 w 2549"/>
                              <a:gd name="T81" fmla="*/ 23739 h 325"/>
                              <a:gd name="T82" fmla="*/ 629673 w 2549"/>
                              <a:gd name="T83" fmla="*/ 2849 h 325"/>
                              <a:gd name="T84" fmla="*/ 592857 w 2549"/>
                              <a:gd name="T85" fmla="*/ 3798 h 325"/>
                              <a:gd name="T86" fmla="*/ 567785 w 2549"/>
                              <a:gd name="T87" fmla="*/ 26904 h 325"/>
                              <a:gd name="T88" fmla="*/ 562389 w 2549"/>
                              <a:gd name="T89" fmla="*/ 61405 h 325"/>
                              <a:gd name="T90" fmla="*/ 578575 w 2549"/>
                              <a:gd name="T91" fmla="*/ 89260 h 325"/>
                              <a:gd name="T92" fmla="*/ 613487 w 2549"/>
                              <a:gd name="T93" fmla="*/ 102870 h 325"/>
                              <a:gd name="T94" fmla="*/ 631260 w 2549"/>
                              <a:gd name="T95" fmla="*/ 72167 h 325"/>
                              <a:gd name="T96" fmla="*/ 611900 w 2549"/>
                              <a:gd name="T97" fmla="*/ 77865 h 325"/>
                              <a:gd name="T98" fmla="*/ 596666 w 2549"/>
                              <a:gd name="T99" fmla="*/ 71534 h 325"/>
                              <a:gd name="T100" fmla="*/ 588097 w 2549"/>
                              <a:gd name="T101" fmla="*/ 54758 h 325"/>
                              <a:gd name="T102" fmla="*/ 592540 w 2549"/>
                              <a:gd name="T103" fmla="*/ 36400 h 325"/>
                              <a:gd name="T104" fmla="*/ 606187 w 2549"/>
                              <a:gd name="T105" fmla="*/ 25638 h 325"/>
                              <a:gd name="T106" fmla="*/ 626499 w 2549"/>
                              <a:gd name="T107" fmla="*/ 27221 h 325"/>
                              <a:gd name="T108" fmla="*/ 717268 w 2549"/>
                              <a:gd name="T109" fmla="*/ 100021 h 325"/>
                              <a:gd name="T110" fmla="*/ 710921 w 2549"/>
                              <a:gd name="T111" fmla="*/ 82929 h 325"/>
                              <a:gd name="T112" fmla="*/ 753767 w 2549"/>
                              <a:gd name="T113" fmla="*/ 100021 h 32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549" h="325">
                                <a:moveTo>
                                  <a:pt x="215" y="24"/>
                                </a:moveTo>
                                <a:lnTo>
                                  <a:pt x="203" y="19"/>
                                </a:lnTo>
                                <a:lnTo>
                                  <a:pt x="191" y="14"/>
                                </a:lnTo>
                                <a:lnTo>
                                  <a:pt x="178" y="9"/>
                                </a:lnTo>
                                <a:lnTo>
                                  <a:pt x="166" y="6"/>
                                </a:lnTo>
                                <a:lnTo>
                                  <a:pt x="154" y="2"/>
                                </a:lnTo>
                                <a:lnTo>
                                  <a:pt x="142" y="1"/>
                                </a:lnTo>
                                <a:lnTo>
                                  <a:pt x="130" y="0"/>
                                </a:lnTo>
                                <a:lnTo>
                                  <a:pt x="117" y="0"/>
                                </a:lnTo>
                                <a:lnTo>
                                  <a:pt x="106" y="0"/>
                                </a:lnTo>
                                <a:lnTo>
                                  <a:pt x="95" y="1"/>
                                </a:lnTo>
                                <a:lnTo>
                                  <a:pt x="85" y="4"/>
                                </a:lnTo>
                                <a:lnTo>
                                  <a:pt x="75" y="7"/>
                                </a:lnTo>
                                <a:lnTo>
                                  <a:pt x="65" y="11"/>
                                </a:lnTo>
                                <a:lnTo>
                                  <a:pt x="56" y="16"/>
                                </a:lnTo>
                                <a:lnTo>
                                  <a:pt x="49" y="21"/>
                                </a:lnTo>
                                <a:lnTo>
                                  <a:pt x="41" y="29"/>
                                </a:lnTo>
                                <a:lnTo>
                                  <a:pt x="35" y="35"/>
                                </a:lnTo>
                                <a:lnTo>
                                  <a:pt x="29" y="44"/>
                                </a:lnTo>
                                <a:lnTo>
                                  <a:pt x="24" y="51"/>
                                </a:lnTo>
                                <a:lnTo>
                                  <a:pt x="20" y="61"/>
                                </a:lnTo>
                                <a:lnTo>
                                  <a:pt x="16" y="71"/>
                                </a:lnTo>
                                <a:lnTo>
                                  <a:pt x="15" y="81"/>
                                </a:lnTo>
                                <a:lnTo>
                                  <a:pt x="13" y="93"/>
                                </a:lnTo>
                                <a:lnTo>
                                  <a:pt x="13" y="104"/>
                                </a:lnTo>
                                <a:lnTo>
                                  <a:pt x="13" y="114"/>
                                </a:lnTo>
                                <a:lnTo>
                                  <a:pt x="14" y="123"/>
                                </a:lnTo>
                                <a:lnTo>
                                  <a:pt x="16" y="131"/>
                                </a:lnTo>
                                <a:lnTo>
                                  <a:pt x="19" y="139"/>
                                </a:lnTo>
                                <a:lnTo>
                                  <a:pt x="23" y="147"/>
                                </a:lnTo>
                                <a:lnTo>
                                  <a:pt x="26" y="153"/>
                                </a:lnTo>
                                <a:lnTo>
                                  <a:pt x="31" y="159"/>
                                </a:lnTo>
                                <a:lnTo>
                                  <a:pt x="38" y="165"/>
                                </a:lnTo>
                                <a:lnTo>
                                  <a:pt x="46" y="172"/>
                                </a:lnTo>
                                <a:lnTo>
                                  <a:pt x="58" y="177"/>
                                </a:lnTo>
                                <a:lnTo>
                                  <a:pt x="74" y="183"/>
                                </a:lnTo>
                                <a:lnTo>
                                  <a:pt x="96" y="190"/>
                                </a:lnTo>
                                <a:lnTo>
                                  <a:pt x="109" y="194"/>
                                </a:lnTo>
                                <a:lnTo>
                                  <a:pt x="119" y="198"/>
                                </a:lnTo>
                                <a:lnTo>
                                  <a:pt x="127" y="202"/>
                                </a:lnTo>
                                <a:lnTo>
                                  <a:pt x="134" y="206"/>
                                </a:lnTo>
                                <a:lnTo>
                                  <a:pt x="139" y="209"/>
                                </a:lnTo>
                                <a:lnTo>
                                  <a:pt x="141" y="214"/>
                                </a:lnTo>
                                <a:lnTo>
                                  <a:pt x="144" y="219"/>
                                </a:lnTo>
                                <a:lnTo>
                                  <a:pt x="144" y="226"/>
                                </a:lnTo>
                                <a:lnTo>
                                  <a:pt x="142" y="232"/>
                                </a:lnTo>
                                <a:lnTo>
                                  <a:pt x="141" y="238"/>
                                </a:lnTo>
                                <a:lnTo>
                                  <a:pt x="137" y="243"/>
                                </a:lnTo>
                                <a:lnTo>
                                  <a:pt x="132" y="247"/>
                                </a:lnTo>
                                <a:lnTo>
                                  <a:pt x="127" y="251"/>
                                </a:lnTo>
                                <a:lnTo>
                                  <a:pt x="121" y="253"/>
                                </a:lnTo>
                                <a:lnTo>
                                  <a:pt x="114" y="256"/>
                                </a:lnTo>
                                <a:lnTo>
                                  <a:pt x="105" y="256"/>
                                </a:lnTo>
                                <a:lnTo>
                                  <a:pt x="96" y="256"/>
                                </a:lnTo>
                                <a:lnTo>
                                  <a:pt x="87" y="254"/>
                                </a:lnTo>
                                <a:lnTo>
                                  <a:pt x="79" y="252"/>
                                </a:lnTo>
                                <a:lnTo>
                                  <a:pt x="70" y="248"/>
                                </a:lnTo>
                                <a:lnTo>
                                  <a:pt x="61" y="243"/>
                                </a:lnTo>
                                <a:lnTo>
                                  <a:pt x="53" y="238"/>
                                </a:lnTo>
                                <a:lnTo>
                                  <a:pt x="44" y="232"/>
                                </a:lnTo>
                                <a:lnTo>
                                  <a:pt x="34" y="224"/>
                                </a:lnTo>
                                <a:lnTo>
                                  <a:pt x="0" y="290"/>
                                </a:lnTo>
                                <a:lnTo>
                                  <a:pt x="13" y="297"/>
                                </a:lnTo>
                                <a:lnTo>
                                  <a:pt x="25" y="305"/>
                                </a:lnTo>
                                <a:lnTo>
                                  <a:pt x="39" y="310"/>
                                </a:lnTo>
                                <a:lnTo>
                                  <a:pt x="53" y="315"/>
                                </a:lnTo>
                                <a:lnTo>
                                  <a:pt x="65" y="318"/>
                                </a:lnTo>
                                <a:lnTo>
                                  <a:pt x="79" y="322"/>
                                </a:lnTo>
                                <a:lnTo>
                                  <a:pt x="92" y="323"/>
                                </a:lnTo>
                                <a:lnTo>
                                  <a:pt x="106" y="323"/>
                                </a:lnTo>
                                <a:lnTo>
                                  <a:pt x="120" y="323"/>
                                </a:lnTo>
                                <a:lnTo>
                                  <a:pt x="132" y="322"/>
                                </a:lnTo>
                                <a:lnTo>
                                  <a:pt x="145" y="320"/>
                                </a:lnTo>
                                <a:lnTo>
                                  <a:pt x="156" y="316"/>
                                </a:lnTo>
                                <a:lnTo>
                                  <a:pt x="167" y="312"/>
                                </a:lnTo>
                                <a:lnTo>
                                  <a:pt x="177" y="307"/>
                                </a:lnTo>
                                <a:lnTo>
                                  <a:pt x="187" y="301"/>
                                </a:lnTo>
                                <a:lnTo>
                                  <a:pt x="196" y="295"/>
                                </a:lnTo>
                                <a:lnTo>
                                  <a:pt x="203" y="287"/>
                                </a:lnTo>
                                <a:lnTo>
                                  <a:pt x="210" y="280"/>
                                </a:lnTo>
                                <a:lnTo>
                                  <a:pt x="215" y="271"/>
                                </a:lnTo>
                                <a:lnTo>
                                  <a:pt x="220" y="261"/>
                                </a:lnTo>
                                <a:lnTo>
                                  <a:pt x="222" y="251"/>
                                </a:lnTo>
                                <a:lnTo>
                                  <a:pt x="225" y="239"/>
                                </a:lnTo>
                                <a:lnTo>
                                  <a:pt x="227" y="227"/>
                                </a:lnTo>
                                <a:lnTo>
                                  <a:pt x="227" y="214"/>
                                </a:lnTo>
                                <a:lnTo>
                                  <a:pt x="226" y="198"/>
                                </a:lnTo>
                                <a:lnTo>
                                  <a:pt x="222" y="184"/>
                                </a:lnTo>
                                <a:lnTo>
                                  <a:pt x="220" y="177"/>
                                </a:lnTo>
                                <a:lnTo>
                                  <a:pt x="217" y="170"/>
                                </a:lnTo>
                                <a:lnTo>
                                  <a:pt x="213" y="165"/>
                                </a:lnTo>
                                <a:lnTo>
                                  <a:pt x="210" y="160"/>
                                </a:lnTo>
                                <a:lnTo>
                                  <a:pt x="205" y="154"/>
                                </a:lnTo>
                                <a:lnTo>
                                  <a:pt x="198" y="150"/>
                                </a:lnTo>
                                <a:lnTo>
                                  <a:pt x="192" y="145"/>
                                </a:lnTo>
                                <a:lnTo>
                                  <a:pt x="186" y="142"/>
                                </a:lnTo>
                                <a:lnTo>
                                  <a:pt x="170" y="134"/>
                                </a:lnTo>
                                <a:lnTo>
                                  <a:pt x="151" y="128"/>
                                </a:lnTo>
                                <a:lnTo>
                                  <a:pt x="130" y="121"/>
                                </a:lnTo>
                                <a:lnTo>
                                  <a:pt x="117" y="116"/>
                                </a:lnTo>
                                <a:lnTo>
                                  <a:pt x="110" y="113"/>
                                </a:lnTo>
                                <a:lnTo>
                                  <a:pt x="104" y="108"/>
                                </a:lnTo>
                                <a:lnTo>
                                  <a:pt x="100" y="105"/>
                                </a:lnTo>
                                <a:lnTo>
                                  <a:pt x="97" y="101"/>
                                </a:lnTo>
                                <a:lnTo>
                                  <a:pt x="96" y="98"/>
                                </a:lnTo>
                                <a:lnTo>
                                  <a:pt x="96" y="93"/>
                                </a:lnTo>
                                <a:lnTo>
                                  <a:pt x="96" y="88"/>
                                </a:lnTo>
                                <a:lnTo>
                                  <a:pt x="99" y="83"/>
                                </a:lnTo>
                                <a:lnTo>
                                  <a:pt x="101" y="78"/>
                                </a:lnTo>
                                <a:lnTo>
                                  <a:pt x="106" y="74"/>
                                </a:lnTo>
                                <a:lnTo>
                                  <a:pt x="111" y="70"/>
                                </a:lnTo>
                                <a:lnTo>
                                  <a:pt x="116" y="68"/>
                                </a:lnTo>
                                <a:lnTo>
                                  <a:pt x="124" y="66"/>
                                </a:lnTo>
                                <a:lnTo>
                                  <a:pt x="130" y="66"/>
                                </a:lnTo>
                                <a:lnTo>
                                  <a:pt x="137" y="66"/>
                                </a:lnTo>
                                <a:lnTo>
                                  <a:pt x="144" y="68"/>
                                </a:lnTo>
                                <a:lnTo>
                                  <a:pt x="150" y="69"/>
                                </a:lnTo>
                                <a:lnTo>
                                  <a:pt x="156" y="71"/>
                                </a:lnTo>
                                <a:lnTo>
                                  <a:pt x="170" y="78"/>
                                </a:lnTo>
                                <a:lnTo>
                                  <a:pt x="182" y="86"/>
                                </a:lnTo>
                                <a:lnTo>
                                  <a:pt x="215" y="24"/>
                                </a:lnTo>
                                <a:close/>
                                <a:moveTo>
                                  <a:pt x="394" y="75"/>
                                </a:moveTo>
                                <a:lnTo>
                                  <a:pt x="460" y="75"/>
                                </a:lnTo>
                                <a:lnTo>
                                  <a:pt x="460" y="6"/>
                                </a:lnTo>
                                <a:lnTo>
                                  <a:pt x="249" y="6"/>
                                </a:lnTo>
                                <a:lnTo>
                                  <a:pt x="249" y="75"/>
                                </a:lnTo>
                                <a:lnTo>
                                  <a:pt x="314" y="75"/>
                                </a:lnTo>
                                <a:lnTo>
                                  <a:pt x="314" y="316"/>
                                </a:lnTo>
                                <a:lnTo>
                                  <a:pt x="394" y="316"/>
                                </a:lnTo>
                                <a:lnTo>
                                  <a:pt x="394" y="75"/>
                                </a:lnTo>
                                <a:close/>
                                <a:moveTo>
                                  <a:pt x="666" y="262"/>
                                </a:moveTo>
                                <a:lnTo>
                                  <a:pt x="684" y="316"/>
                                </a:lnTo>
                                <a:lnTo>
                                  <a:pt x="770" y="316"/>
                                </a:lnTo>
                                <a:lnTo>
                                  <a:pt x="654" y="6"/>
                                </a:lnTo>
                                <a:lnTo>
                                  <a:pt x="567" y="6"/>
                                </a:lnTo>
                                <a:lnTo>
                                  <a:pt x="450" y="316"/>
                                </a:lnTo>
                                <a:lnTo>
                                  <a:pt x="534" y="316"/>
                                </a:lnTo>
                                <a:lnTo>
                                  <a:pt x="555" y="262"/>
                                </a:lnTo>
                                <a:lnTo>
                                  <a:pt x="666" y="262"/>
                                </a:lnTo>
                                <a:close/>
                                <a:moveTo>
                                  <a:pt x="643" y="201"/>
                                </a:moveTo>
                                <a:lnTo>
                                  <a:pt x="577" y="201"/>
                                </a:lnTo>
                                <a:lnTo>
                                  <a:pt x="611" y="103"/>
                                </a:lnTo>
                                <a:lnTo>
                                  <a:pt x="643" y="201"/>
                                </a:lnTo>
                                <a:close/>
                                <a:moveTo>
                                  <a:pt x="902" y="75"/>
                                </a:moveTo>
                                <a:lnTo>
                                  <a:pt x="970" y="75"/>
                                </a:lnTo>
                                <a:lnTo>
                                  <a:pt x="970" y="6"/>
                                </a:lnTo>
                                <a:lnTo>
                                  <a:pt x="758" y="6"/>
                                </a:lnTo>
                                <a:lnTo>
                                  <a:pt x="758" y="75"/>
                                </a:lnTo>
                                <a:lnTo>
                                  <a:pt x="823" y="75"/>
                                </a:lnTo>
                                <a:lnTo>
                                  <a:pt x="823" y="316"/>
                                </a:lnTo>
                                <a:lnTo>
                                  <a:pt x="902" y="316"/>
                                </a:lnTo>
                                <a:lnTo>
                                  <a:pt x="902" y="75"/>
                                </a:lnTo>
                                <a:close/>
                                <a:moveTo>
                                  <a:pt x="1090" y="6"/>
                                </a:moveTo>
                                <a:lnTo>
                                  <a:pt x="1011" y="6"/>
                                </a:lnTo>
                                <a:lnTo>
                                  <a:pt x="1011" y="316"/>
                                </a:lnTo>
                                <a:lnTo>
                                  <a:pt x="1090" y="316"/>
                                </a:lnTo>
                                <a:lnTo>
                                  <a:pt x="1090" y="6"/>
                                </a:lnTo>
                                <a:close/>
                                <a:moveTo>
                                  <a:pt x="1358" y="24"/>
                                </a:moveTo>
                                <a:lnTo>
                                  <a:pt x="1347" y="19"/>
                                </a:lnTo>
                                <a:lnTo>
                                  <a:pt x="1335" y="14"/>
                                </a:lnTo>
                                <a:lnTo>
                                  <a:pt x="1323" y="9"/>
                                </a:lnTo>
                                <a:lnTo>
                                  <a:pt x="1311" y="6"/>
                                </a:lnTo>
                                <a:lnTo>
                                  <a:pt x="1298" y="2"/>
                                </a:lnTo>
                                <a:lnTo>
                                  <a:pt x="1286" y="1"/>
                                </a:lnTo>
                                <a:lnTo>
                                  <a:pt x="1274" y="0"/>
                                </a:lnTo>
                                <a:lnTo>
                                  <a:pt x="1261" y="0"/>
                                </a:lnTo>
                                <a:lnTo>
                                  <a:pt x="1250" y="0"/>
                                </a:lnTo>
                                <a:lnTo>
                                  <a:pt x="1239" y="1"/>
                                </a:lnTo>
                                <a:lnTo>
                                  <a:pt x="1229" y="4"/>
                                </a:lnTo>
                                <a:lnTo>
                                  <a:pt x="1219" y="7"/>
                                </a:lnTo>
                                <a:lnTo>
                                  <a:pt x="1210" y="11"/>
                                </a:lnTo>
                                <a:lnTo>
                                  <a:pt x="1201" y="16"/>
                                </a:lnTo>
                                <a:lnTo>
                                  <a:pt x="1193" y="21"/>
                                </a:lnTo>
                                <a:lnTo>
                                  <a:pt x="1186" y="29"/>
                                </a:lnTo>
                                <a:lnTo>
                                  <a:pt x="1179" y="35"/>
                                </a:lnTo>
                                <a:lnTo>
                                  <a:pt x="1174" y="44"/>
                                </a:lnTo>
                                <a:lnTo>
                                  <a:pt x="1169" y="51"/>
                                </a:lnTo>
                                <a:lnTo>
                                  <a:pt x="1164" y="61"/>
                                </a:lnTo>
                                <a:lnTo>
                                  <a:pt x="1161" y="71"/>
                                </a:lnTo>
                                <a:lnTo>
                                  <a:pt x="1159" y="81"/>
                                </a:lnTo>
                                <a:lnTo>
                                  <a:pt x="1158" y="93"/>
                                </a:lnTo>
                                <a:lnTo>
                                  <a:pt x="1156" y="104"/>
                                </a:lnTo>
                                <a:lnTo>
                                  <a:pt x="1158" y="114"/>
                                </a:lnTo>
                                <a:lnTo>
                                  <a:pt x="1159" y="123"/>
                                </a:lnTo>
                                <a:lnTo>
                                  <a:pt x="1160" y="131"/>
                                </a:lnTo>
                                <a:lnTo>
                                  <a:pt x="1163" y="139"/>
                                </a:lnTo>
                                <a:lnTo>
                                  <a:pt x="1166" y="147"/>
                                </a:lnTo>
                                <a:lnTo>
                                  <a:pt x="1170" y="153"/>
                                </a:lnTo>
                                <a:lnTo>
                                  <a:pt x="1175" y="159"/>
                                </a:lnTo>
                                <a:lnTo>
                                  <a:pt x="1181" y="165"/>
                                </a:lnTo>
                                <a:lnTo>
                                  <a:pt x="1190" y="172"/>
                                </a:lnTo>
                                <a:lnTo>
                                  <a:pt x="1201" y="177"/>
                                </a:lnTo>
                                <a:lnTo>
                                  <a:pt x="1218" y="183"/>
                                </a:lnTo>
                                <a:lnTo>
                                  <a:pt x="1240" y="190"/>
                                </a:lnTo>
                                <a:lnTo>
                                  <a:pt x="1252" y="194"/>
                                </a:lnTo>
                                <a:lnTo>
                                  <a:pt x="1264" y="198"/>
                                </a:lnTo>
                                <a:lnTo>
                                  <a:pt x="1271" y="202"/>
                                </a:lnTo>
                                <a:lnTo>
                                  <a:pt x="1277" y="206"/>
                                </a:lnTo>
                                <a:lnTo>
                                  <a:pt x="1282" y="209"/>
                                </a:lnTo>
                                <a:lnTo>
                                  <a:pt x="1286" y="214"/>
                                </a:lnTo>
                                <a:lnTo>
                                  <a:pt x="1287" y="219"/>
                                </a:lnTo>
                                <a:lnTo>
                                  <a:pt x="1287" y="226"/>
                                </a:lnTo>
                                <a:lnTo>
                                  <a:pt x="1287" y="232"/>
                                </a:lnTo>
                                <a:lnTo>
                                  <a:pt x="1285" y="238"/>
                                </a:lnTo>
                                <a:lnTo>
                                  <a:pt x="1281" y="243"/>
                                </a:lnTo>
                                <a:lnTo>
                                  <a:pt x="1277" y="247"/>
                                </a:lnTo>
                                <a:lnTo>
                                  <a:pt x="1271" y="251"/>
                                </a:lnTo>
                                <a:lnTo>
                                  <a:pt x="1265" y="253"/>
                                </a:lnTo>
                                <a:lnTo>
                                  <a:pt x="1257" y="256"/>
                                </a:lnTo>
                                <a:lnTo>
                                  <a:pt x="1249" y="256"/>
                                </a:lnTo>
                                <a:lnTo>
                                  <a:pt x="1240" y="256"/>
                                </a:lnTo>
                                <a:lnTo>
                                  <a:pt x="1231" y="254"/>
                                </a:lnTo>
                                <a:lnTo>
                                  <a:pt x="1222" y="252"/>
                                </a:lnTo>
                                <a:lnTo>
                                  <a:pt x="1214" y="248"/>
                                </a:lnTo>
                                <a:lnTo>
                                  <a:pt x="1205" y="243"/>
                                </a:lnTo>
                                <a:lnTo>
                                  <a:pt x="1196" y="238"/>
                                </a:lnTo>
                                <a:lnTo>
                                  <a:pt x="1188" y="232"/>
                                </a:lnTo>
                                <a:lnTo>
                                  <a:pt x="1179" y="224"/>
                                </a:lnTo>
                                <a:lnTo>
                                  <a:pt x="1144" y="290"/>
                                </a:lnTo>
                                <a:lnTo>
                                  <a:pt x="1156" y="297"/>
                                </a:lnTo>
                                <a:lnTo>
                                  <a:pt x="1170" y="305"/>
                                </a:lnTo>
                                <a:lnTo>
                                  <a:pt x="1183" y="310"/>
                                </a:lnTo>
                                <a:lnTo>
                                  <a:pt x="1196" y="315"/>
                                </a:lnTo>
                                <a:lnTo>
                                  <a:pt x="1210" y="318"/>
                                </a:lnTo>
                                <a:lnTo>
                                  <a:pt x="1224" y="322"/>
                                </a:lnTo>
                                <a:lnTo>
                                  <a:pt x="1237" y="323"/>
                                </a:lnTo>
                                <a:lnTo>
                                  <a:pt x="1251" y="323"/>
                                </a:lnTo>
                                <a:lnTo>
                                  <a:pt x="1264" y="323"/>
                                </a:lnTo>
                                <a:lnTo>
                                  <a:pt x="1276" y="322"/>
                                </a:lnTo>
                                <a:lnTo>
                                  <a:pt x="1289" y="320"/>
                                </a:lnTo>
                                <a:lnTo>
                                  <a:pt x="1300" y="316"/>
                                </a:lnTo>
                                <a:lnTo>
                                  <a:pt x="1311" y="312"/>
                                </a:lnTo>
                                <a:lnTo>
                                  <a:pt x="1321" y="307"/>
                                </a:lnTo>
                                <a:lnTo>
                                  <a:pt x="1331" y="301"/>
                                </a:lnTo>
                                <a:lnTo>
                                  <a:pt x="1340" y="295"/>
                                </a:lnTo>
                                <a:lnTo>
                                  <a:pt x="1347" y="287"/>
                                </a:lnTo>
                                <a:lnTo>
                                  <a:pt x="1353" y="280"/>
                                </a:lnTo>
                                <a:lnTo>
                                  <a:pt x="1358" y="271"/>
                                </a:lnTo>
                                <a:lnTo>
                                  <a:pt x="1363" y="261"/>
                                </a:lnTo>
                                <a:lnTo>
                                  <a:pt x="1367" y="251"/>
                                </a:lnTo>
                                <a:lnTo>
                                  <a:pt x="1370" y="239"/>
                                </a:lnTo>
                                <a:lnTo>
                                  <a:pt x="1371" y="227"/>
                                </a:lnTo>
                                <a:lnTo>
                                  <a:pt x="1371" y="214"/>
                                </a:lnTo>
                                <a:lnTo>
                                  <a:pt x="1370" y="198"/>
                                </a:lnTo>
                                <a:lnTo>
                                  <a:pt x="1367" y="184"/>
                                </a:lnTo>
                                <a:lnTo>
                                  <a:pt x="1365" y="177"/>
                                </a:lnTo>
                                <a:lnTo>
                                  <a:pt x="1361" y="170"/>
                                </a:lnTo>
                                <a:lnTo>
                                  <a:pt x="1357" y="165"/>
                                </a:lnTo>
                                <a:lnTo>
                                  <a:pt x="1353" y="160"/>
                                </a:lnTo>
                                <a:lnTo>
                                  <a:pt x="1348" y="154"/>
                                </a:lnTo>
                                <a:lnTo>
                                  <a:pt x="1343" y="150"/>
                                </a:lnTo>
                                <a:lnTo>
                                  <a:pt x="1337" y="145"/>
                                </a:lnTo>
                                <a:lnTo>
                                  <a:pt x="1330" y="142"/>
                                </a:lnTo>
                                <a:lnTo>
                                  <a:pt x="1315" y="134"/>
                                </a:lnTo>
                                <a:lnTo>
                                  <a:pt x="1296" y="128"/>
                                </a:lnTo>
                                <a:lnTo>
                                  <a:pt x="1274" y="121"/>
                                </a:lnTo>
                                <a:lnTo>
                                  <a:pt x="1261" y="116"/>
                                </a:lnTo>
                                <a:lnTo>
                                  <a:pt x="1254" y="113"/>
                                </a:lnTo>
                                <a:lnTo>
                                  <a:pt x="1247" y="108"/>
                                </a:lnTo>
                                <a:lnTo>
                                  <a:pt x="1245" y="105"/>
                                </a:lnTo>
                                <a:lnTo>
                                  <a:pt x="1242" y="101"/>
                                </a:lnTo>
                                <a:lnTo>
                                  <a:pt x="1241" y="98"/>
                                </a:lnTo>
                                <a:lnTo>
                                  <a:pt x="1240" y="93"/>
                                </a:lnTo>
                                <a:lnTo>
                                  <a:pt x="1241" y="88"/>
                                </a:lnTo>
                                <a:lnTo>
                                  <a:pt x="1242" y="83"/>
                                </a:lnTo>
                                <a:lnTo>
                                  <a:pt x="1246" y="78"/>
                                </a:lnTo>
                                <a:lnTo>
                                  <a:pt x="1250" y="74"/>
                                </a:lnTo>
                                <a:lnTo>
                                  <a:pt x="1255" y="70"/>
                                </a:lnTo>
                                <a:lnTo>
                                  <a:pt x="1261" y="68"/>
                                </a:lnTo>
                                <a:lnTo>
                                  <a:pt x="1267" y="66"/>
                                </a:lnTo>
                                <a:lnTo>
                                  <a:pt x="1275" y="66"/>
                                </a:lnTo>
                                <a:lnTo>
                                  <a:pt x="1281" y="66"/>
                                </a:lnTo>
                                <a:lnTo>
                                  <a:pt x="1287" y="68"/>
                                </a:lnTo>
                                <a:lnTo>
                                  <a:pt x="1295" y="69"/>
                                </a:lnTo>
                                <a:lnTo>
                                  <a:pt x="1301" y="71"/>
                                </a:lnTo>
                                <a:lnTo>
                                  <a:pt x="1313" y="78"/>
                                </a:lnTo>
                                <a:lnTo>
                                  <a:pt x="1327" y="86"/>
                                </a:lnTo>
                                <a:lnTo>
                                  <a:pt x="1358" y="24"/>
                                </a:lnTo>
                                <a:close/>
                                <a:moveTo>
                                  <a:pt x="1536" y="75"/>
                                </a:moveTo>
                                <a:lnTo>
                                  <a:pt x="1602" y="75"/>
                                </a:lnTo>
                                <a:lnTo>
                                  <a:pt x="1602" y="6"/>
                                </a:lnTo>
                                <a:lnTo>
                                  <a:pt x="1392" y="6"/>
                                </a:lnTo>
                                <a:lnTo>
                                  <a:pt x="1392" y="75"/>
                                </a:lnTo>
                                <a:lnTo>
                                  <a:pt x="1457" y="75"/>
                                </a:lnTo>
                                <a:lnTo>
                                  <a:pt x="1457" y="316"/>
                                </a:lnTo>
                                <a:lnTo>
                                  <a:pt x="1536" y="316"/>
                                </a:lnTo>
                                <a:lnTo>
                                  <a:pt x="1536" y="75"/>
                                </a:lnTo>
                                <a:close/>
                                <a:moveTo>
                                  <a:pt x="1723" y="6"/>
                                </a:moveTo>
                                <a:lnTo>
                                  <a:pt x="1644" y="6"/>
                                </a:lnTo>
                                <a:lnTo>
                                  <a:pt x="1644" y="316"/>
                                </a:lnTo>
                                <a:lnTo>
                                  <a:pt x="1723" y="316"/>
                                </a:lnTo>
                                <a:lnTo>
                                  <a:pt x="1723" y="6"/>
                                </a:lnTo>
                                <a:close/>
                                <a:moveTo>
                                  <a:pt x="2005" y="16"/>
                                </a:moveTo>
                                <a:lnTo>
                                  <a:pt x="1984" y="9"/>
                                </a:lnTo>
                                <a:lnTo>
                                  <a:pt x="1966" y="4"/>
                                </a:lnTo>
                                <a:lnTo>
                                  <a:pt x="1950" y="1"/>
                                </a:lnTo>
                                <a:lnTo>
                                  <a:pt x="1933" y="0"/>
                                </a:lnTo>
                                <a:lnTo>
                                  <a:pt x="1915" y="1"/>
                                </a:lnTo>
                                <a:lnTo>
                                  <a:pt x="1899" y="4"/>
                                </a:lnTo>
                                <a:lnTo>
                                  <a:pt x="1884" y="7"/>
                                </a:lnTo>
                                <a:lnTo>
                                  <a:pt x="1868" y="12"/>
                                </a:lnTo>
                                <a:lnTo>
                                  <a:pt x="1854" y="20"/>
                                </a:lnTo>
                                <a:lnTo>
                                  <a:pt x="1840" y="27"/>
                                </a:lnTo>
                                <a:lnTo>
                                  <a:pt x="1828" y="37"/>
                                </a:lnTo>
                                <a:lnTo>
                                  <a:pt x="1817" y="47"/>
                                </a:lnTo>
                                <a:lnTo>
                                  <a:pt x="1807" y="59"/>
                                </a:lnTo>
                                <a:lnTo>
                                  <a:pt x="1797" y="71"/>
                                </a:lnTo>
                                <a:lnTo>
                                  <a:pt x="1789" y="85"/>
                                </a:lnTo>
                                <a:lnTo>
                                  <a:pt x="1782" y="100"/>
                                </a:lnTo>
                                <a:lnTo>
                                  <a:pt x="1777" y="115"/>
                                </a:lnTo>
                                <a:lnTo>
                                  <a:pt x="1773" y="130"/>
                                </a:lnTo>
                                <a:lnTo>
                                  <a:pt x="1771" y="147"/>
                                </a:lnTo>
                                <a:lnTo>
                                  <a:pt x="1769" y="164"/>
                                </a:lnTo>
                                <a:lnTo>
                                  <a:pt x="1771" y="179"/>
                                </a:lnTo>
                                <a:lnTo>
                                  <a:pt x="1772" y="194"/>
                                </a:lnTo>
                                <a:lnTo>
                                  <a:pt x="1776" y="208"/>
                                </a:lnTo>
                                <a:lnTo>
                                  <a:pt x="1779" y="222"/>
                                </a:lnTo>
                                <a:lnTo>
                                  <a:pt x="1786" y="236"/>
                                </a:lnTo>
                                <a:lnTo>
                                  <a:pt x="1792" y="248"/>
                                </a:lnTo>
                                <a:lnTo>
                                  <a:pt x="1801" y="259"/>
                                </a:lnTo>
                                <a:lnTo>
                                  <a:pt x="1811" y="271"/>
                                </a:lnTo>
                                <a:lnTo>
                                  <a:pt x="1823" y="282"/>
                                </a:lnTo>
                                <a:lnTo>
                                  <a:pt x="1837" y="293"/>
                                </a:lnTo>
                                <a:lnTo>
                                  <a:pt x="1850" y="302"/>
                                </a:lnTo>
                                <a:lnTo>
                                  <a:pt x="1867" y="310"/>
                                </a:lnTo>
                                <a:lnTo>
                                  <a:pt x="1883" y="316"/>
                                </a:lnTo>
                                <a:lnTo>
                                  <a:pt x="1899" y="321"/>
                                </a:lnTo>
                                <a:lnTo>
                                  <a:pt x="1916" y="323"/>
                                </a:lnTo>
                                <a:lnTo>
                                  <a:pt x="1933" y="325"/>
                                </a:lnTo>
                                <a:lnTo>
                                  <a:pt x="1949" y="323"/>
                                </a:lnTo>
                                <a:lnTo>
                                  <a:pt x="1963" y="322"/>
                                </a:lnTo>
                                <a:lnTo>
                                  <a:pt x="1980" y="317"/>
                                </a:lnTo>
                                <a:lnTo>
                                  <a:pt x="2005" y="310"/>
                                </a:lnTo>
                                <a:lnTo>
                                  <a:pt x="2005" y="214"/>
                                </a:lnTo>
                                <a:lnTo>
                                  <a:pt x="1996" y="222"/>
                                </a:lnTo>
                                <a:lnTo>
                                  <a:pt x="1989" y="228"/>
                                </a:lnTo>
                                <a:lnTo>
                                  <a:pt x="1980" y="234"/>
                                </a:lnTo>
                                <a:lnTo>
                                  <a:pt x="1973" y="238"/>
                                </a:lnTo>
                                <a:lnTo>
                                  <a:pt x="1964" y="242"/>
                                </a:lnTo>
                                <a:lnTo>
                                  <a:pt x="1954" y="244"/>
                                </a:lnTo>
                                <a:lnTo>
                                  <a:pt x="1945" y="246"/>
                                </a:lnTo>
                                <a:lnTo>
                                  <a:pt x="1935" y="247"/>
                                </a:lnTo>
                                <a:lnTo>
                                  <a:pt x="1928" y="246"/>
                                </a:lnTo>
                                <a:lnTo>
                                  <a:pt x="1920" y="246"/>
                                </a:lnTo>
                                <a:lnTo>
                                  <a:pt x="1913" y="243"/>
                                </a:lnTo>
                                <a:lnTo>
                                  <a:pt x="1906" y="241"/>
                                </a:lnTo>
                                <a:lnTo>
                                  <a:pt x="1899" y="238"/>
                                </a:lnTo>
                                <a:lnTo>
                                  <a:pt x="1893" y="234"/>
                                </a:lnTo>
                                <a:lnTo>
                                  <a:pt x="1887" y="231"/>
                                </a:lnTo>
                                <a:lnTo>
                                  <a:pt x="1880" y="226"/>
                                </a:lnTo>
                                <a:lnTo>
                                  <a:pt x="1874" y="221"/>
                                </a:lnTo>
                                <a:lnTo>
                                  <a:pt x="1868" y="213"/>
                                </a:lnTo>
                                <a:lnTo>
                                  <a:pt x="1863" y="207"/>
                                </a:lnTo>
                                <a:lnTo>
                                  <a:pt x="1859" y="199"/>
                                </a:lnTo>
                                <a:lnTo>
                                  <a:pt x="1857" y="190"/>
                                </a:lnTo>
                                <a:lnTo>
                                  <a:pt x="1854" y="182"/>
                                </a:lnTo>
                                <a:lnTo>
                                  <a:pt x="1853" y="173"/>
                                </a:lnTo>
                                <a:lnTo>
                                  <a:pt x="1853" y="163"/>
                                </a:lnTo>
                                <a:lnTo>
                                  <a:pt x="1853" y="154"/>
                                </a:lnTo>
                                <a:lnTo>
                                  <a:pt x="1854" y="145"/>
                                </a:lnTo>
                                <a:lnTo>
                                  <a:pt x="1857" y="137"/>
                                </a:lnTo>
                                <a:lnTo>
                                  <a:pt x="1859" y="129"/>
                                </a:lnTo>
                                <a:lnTo>
                                  <a:pt x="1863" y="121"/>
                                </a:lnTo>
                                <a:lnTo>
                                  <a:pt x="1867" y="115"/>
                                </a:lnTo>
                                <a:lnTo>
                                  <a:pt x="1872" y="108"/>
                                </a:lnTo>
                                <a:lnTo>
                                  <a:pt x="1877" y="103"/>
                                </a:lnTo>
                                <a:lnTo>
                                  <a:pt x="1882" y="96"/>
                                </a:lnTo>
                                <a:lnTo>
                                  <a:pt x="1888" y="91"/>
                                </a:lnTo>
                                <a:lnTo>
                                  <a:pt x="1895" y="88"/>
                                </a:lnTo>
                                <a:lnTo>
                                  <a:pt x="1903" y="84"/>
                                </a:lnTo>
                                <a:lnTo>
                                  <a:pt x="1910" y="81"/>
                                </a:lnTo>
                                <a:lnTo>
                                  <a:pt x="1918" y="80"/>
                                </a:lnTo>
                                <a:lnTo>
                                  <a:pt x="1926" y="79"/>
                                </a:lnTo>
                                <a:lnTo>
                                  <a:pt x="1935" y="78"/>
                                </a:lnTo>
                                <a:lnTo>
                                  <a:pt x="1945" y="79"/>
                                </a:lnTo>
                                <a:lnTo>
                                  <a:pt x="1955" y="80"/>
                                </a:lnTo>
                                <a:lnTo>
                                  <a:pt x="1965" y="83"/>
                                </a:lnTo>
                                <a:lnTo>
                                  <a:pt x="1974" y="86"/>
                                </a:lnTo>
                                <a:lnTo>
                                  <a:pt x="1981" y="91"/>
                                </a:lnTo>
                                <a:lnTo>
                                  <a:pt x="1990" y="98"/>
                                </a:lnTo>
                                <a:lnTo>
                                  <a:pt x="1997" y="104"/>
                                </a:lnTo>
                                <a:lnTo>
                                  <a:pt x="2005" y="111"/>
                                </a:lnTo>
                                <a:lnTo>
                                  <a:pt x="2005" y="16"/>
                                </a:lnTo>
                                <a:close/>
                                <a:moveTo>
                                  <a:pt x="2240" y="262"/>
                                </a:moveTo>
                                <a:lnTo>
                                  <a:pt x="2260" y="316"/>
                                </a:lnTo>
                                <a:lnTo>
                                  <a:pt x="2345" y="316"/>
                                </a:lnTo>
                                <a:lnTo>
                                  <a:pt x="2229" y="6"/>
                                </a:lnTo>
                                <a:lnTo>
                                  <a:pt x="2142" y="6"/>
                                </a:lnTo>
                                <a:lnTo>
                                  <a:pt x="2025" y="316"/>
                                </a:lnTo>
                                <a:lnTo>
                                  <a:pt x="2108" y="316"/>
                                </a:lnTo>
                                <a:lnTo>
                                  <a:pt x="2129" y="262"/>
                                </a:lnTo>
                                <a:lnTo>
                                  <a:pt x="2240" y="262"/>
                                </a:lnTo>
                                <a:close/>
                                <a:moveTo>
                                  <a:pt x="2218" y="201"/>
                                </a:moveTo>
                                <a:lnTo>
                                  <a:pt x="2152" y="201"/>
                                </a:lnTo>
                                <a:lnTo>
                                  <a:pt x="2186" y="103"/>
                                </a:lnTo>
                                <a:lnTo>
                                  <a:pt x="2218" y="201"/>
                                </a:lnTo>
                                <a:close/>
                                <a:moveTo>
                                  <a:pt x="2455" y="6"/>
                                </a:moveTo>
                                <a:lnTo>
                                  <a:pt x="2375" y="6"/>
                                </a:lnTo>
                                <a:lnTo>
                                  <a:pt x="2375" y="316"/>
                                </a:lnTo>
                                <a:lnTo>
                                  <a:pt x="2549" y="316"/>
                                </a:lnTo>
                                <a:lnTo>
                                  <a:pt x="2549" y="248"/>
                                </a:lnTo>
                                <a:lnTo>
                                  <a:pt x="2455" y="248"/>
                                </a:lnTo>
                                <a:lnTo>
                                  <a:pt x="2455" y="6"/>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noEditPoints="1"/>
                        </wps:cNvSpPr>
                        <wps:spPr bwMode="auto">
                          <a:xfrm>
                            <a:off x="862012" y="0"/>
                            <a:ext cx="421005" cy="102870"/>
                          </a:xfrm>
                          <a:custGeom>
                            <a:avLst/>
                            <a:gdLst>
                              <a:gd name="T0" fmla="*/ 57107 w 1327"/>
                              <a:gd name="T1" fmla="*/ 317 h 325"/>
                              <a:gd name="T2" fmla="*/ 36168 w 1327"/>
                              <a:gd name="T3" fmla="*/ 2532 h 325"/>
                              <a:gd name="T4" fmla="*/ 18718 w 1327"/>
                              <a:gd name="T5" fmla="*/ 12028 h 325"/>
                              <a:gd name="T6" fmla="*/ 6345 w 1327"/>
                              <a:gd name="T7" fmla="*/ 26904 h 325"/>
                              <a:gd name="T8" fmla="*/ 635 w 1327"/>
                              <a:gd name="T9" fmla="*/ 46529 h 325"/>
                              <a:gd name="T10" fmla="*/ 2221 w 1327"/>
                              <a:gd name="T11" fmla="*/ 65837 h 325"/>
                              <a:gd name="T12" fmla="*/ 9835 w 1327"/>
                              <a:gd name="T13" fmla="*/ 82296 h 325"/>
                              <a:gd name="T14" fmla="*/ 25698 w 1327"/>
                              <a:gd name="T15" fmla="*/ 95590 h 325"/>
                              <a:gd name="T16" fmla="*/ 46637 w 1327"/>
                              <a:gd name="T17" fmla="*/ 102553 h 325"/>
                              <a:gd name="T18" fmla="*/ 66942 w 1327"/>
                              <a:gd name="T19" fmla="*/ 100338 h 325"/>
                              <a:gd name="T20" fmla="*/ 69797 w 1327"/>
                              <a:gd name="T21" fmla="*/ 72167 h 325"/>
                              <a:gd name="T22" fmla="*/ 58693 w 1327"/>
                              <a:gd name="T23" fmla="*/ 77548 h 325"/>
                              <a:gd name="T24" fmla="*/ 47906 w 1327"/>
                              <a:gd name="T25" fmla="*/ 77548 h 325"/>
                              <a:gd name="T26" fmla="*/ 39340 w 1327"/>
                              <a:gd name="T27" fmla="*/ 74383 h 325"/>
                              <a:gd name="T28" fmla="*/ 31409 w 1327"/>
                              <a:gd name="T29" fmla="*/ 67419 h 325"/>
                              <a:gd name="T30" fmla="*/ 26967 w 1327"/>
                              <a:gd name="T31" fmla="*/ 57607 h 325"/>
                              <a:gd name="T32" fmla="*/ 26967 w 1327"/>
                              <a:gd name="T33" fmla="*/ 46212 h 325"/>
                              <a:gd name="T34" fmla="*/ 30774 w 1327"/>
                              <a:gd name="T35" fmla="*/ 36084 h 325"/>
                              <a:gd name="T36" fmla="*/ 37754 w 1327"/>
                              <a:gd name="T37" fmla="*/ 29120 h 325"/>
                              <a:gd name="T38" fmla="*/ 47272 w 1327"/>
                              <a:gd name="T39" fmla="*/ 25005 h 325"/>
                              <a:gd name="T40" fmla="*/ 59010 w 1327"/>
                              <a:gd name="T41" fmla="*/ 25322 h 325"/>
                              <a:gd name="T42" fmla="*/ 70115 w 1327"/>
                              <a:gd name="T43" fmla="*/ 30703 h 325"/>
                              <a:gd name="T44" fmla="*/ 123732 w 1327"/>
                              <a:gd name="T45" fmla="*/ 78181 h 325"/>
                              <a:gd name="T46" fmla="*/ 127222 w 1327"/>
                              <a:gd name="T47" fmla="*/ 23739 h 325"/>
                              <a:gd name="T48" fmla="*/ 123732 w 1327"/>
                              <a:gd name="T49" fmla="*/ 78181 h 325"/>
                              <a:gd name="T50" fmla="*/ 179570 w 1327"/>
                              <a:gd name="T51" fmla="*/ 100021 h 325"/>
                              <a:gd name="T52" fmla="*/ 204950 w 1327"/>
                              <a:gd name="T53" fmla="*/ 61405 h 325"/>
                              <a:gd name="T54" fmla="*/ 204950 w 1327"/>
                              <a:gd name="T55" fmla="*/ 23739 h 325"/>
                              <a:gd name="T56" fmla="*/ 308060 w 1327"/>
                              <a:gd name="T57" fmla="*/ 1266 h 325"/>
                              <a:gd name="T58" fmla="*/ 286804 w 1327"/>
                              <a:gd name="T59" fmla="*/ 1266 h 325"/>
                              <a:gd name="T60" fmla="*/ 268085 w 1327"/>
                              <a:gd name="T61" fmla="*/ 8863 h 325"/>
                              <a:gd name="T62" fmla="*/ 254126 w 1327"/>
                              <a:gd name="T63" fmla="*/ 22790 h 325"/>
                              <a:gd name="T64" fmla="*/ 246194 w 1327"/>
                              <a:gd name="T65" fmla="*/ 41148 h 325"/>
                              <a:gd name="T66" fmla="*/ 246194 w 1327"/>
                              <a:gd name="T67" fmla="*/ 61405 h 325"/>
                              <a:gd name="T68" fmla="*/ 252540 w 1327"/>
                              <a:gd name="T69" fmla="*/ 78181 h 325"/>
                              <a:gd name="T70" fmla="*/ 266499 w 1327"/>
                              <a:gd name="T71" fmla="*/ 93058 h 325"/>
                              <a:gd name="T72" fmla="*/ 286169 w 1327"/>
                              <a:gd name="T73" fmla="*/ 101604 h 325"/>
                              <a:gd name="T74" fmla="*/ 306791 w 1327"/>
                              <a:gd name="T75" fmla="*/ 101604 h 325"/>
                              <a:gd name="T76" fmla="*/ 317578 w 1327"/>
                              <a:gd name="T77" fmla="*/ 70268 h 325"/>
                              <a:gd name="T78" fmla="*/ 306791 w 1327"/>
                              <a:gd name="T79" fmla="*/ 76599 h 325"/>
                              <a:gd name="T80" fmla="*/ 295687 w 1327"/>
                              <a:gd name="T81" fmla="*/ 77865 h 325"/>
                              <a:gd name="T82" fmla="*/ 286804 w 1327"/>
                              <a:gd name="T83" fmla="*/ 75332 h 325"/>
                              <a:gd name="T84" fmla="*/ 278238 w 1327"/>
                              <a:gd name="T85" fmla="*/ 69635 h 325"/>
                              <a:gd name="T86" fmla="*/ 272844 w 1327"/>
                              <a:gd name="T87" fmla="*/ 60456 h 325"/>
                              <a:gd name="T88" fmla="*/ 271892 w 1327"/>
                              <a:gd name="T89" fmla="*/ 48745 h 325"/>
                              <a:gd name="T90" fmla="*/ 274748 w 1327"/>
                              <a:gd name="T91" fmla="*/ 38616 h 325"/>
                              <a:gd name="T92" fmla="*/ 281093 w 1327"/>
                              <a:gd name="T93" fmla="*/ 30703 h 325"/>
                              <a:gd name="T94" fmla="*/ 289976 w 1327"/>
                              <a:gd name="T95" fmla="*/ 25955 h 325"/>
                              <a:gd name="T96" fmla="*/ 301398 w 1327"/>
                              <a:gd name="T97" fmla="*/ 25005 h 325"/>
                              <a:gd name="T98" fmla="*/ 312819 w 1327"/>
                              <a:gd name="T99" fmla="*/ 29120 h 325"/>
                              <a:gd name="T100" fmla="*/ 319799 w 1327"/>
                              <a:gd name="T101" fmla="*/ 5064 h 325"/>
                              <a:gd name="T102" fmla="*/ 333758 w 1327"/>
                              <a:gd name="T103" fmla="*/ 100021 h 325"/>
                              <a:gd name="T104" fmla="*/ 395624 w 1327"/>
                              <a:gd name="T105" fmla="*/ 100021 h 325"/>
                              <a:gd name="T106" fmla="*/ 395624 w 1327"/>
                              <a:gd name="T107" fmla="*/ 40198 h 32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327" h="325">
                                <a:moveTo>
                                  <a:pt x="236" y="16"/>
                                </a:moveTo>
                                <a:lnTo>
                                  <a:pt x="215" y="9"/>
                                </a:lnTo>
                                <a:lnTo>
                                  <a:pt x="197" y="4"/>
                                </a:lnTo>
                                <a:lnTo>
                                  <a:pt x="180" y="1"/>
                                </a:lnTo>
                                <a:lnTo>
                                  <a:pt x="162" y="0"/>
                                </a:lnTo>
                                <a:lnTo>
                                  <a:pt x="146" y="1"/>
                                </a:lnTo>
                                <a:lnTo>
                                  <a:pt x="130" y="4"/>
                                </a:lnTo>
                                <a:lnTo>
                                  <a:pt x="114" y="8"/>
                                </a:lnTo>
                                <a:lnTo>
                                  <a:pt x="99" y="13"/>
                                </a:lnTo>
                                <a:lnTo>
                                  <a:pt x="85" y="20"/>
                                </a:lnTo>
                                <a:lnTo>
                                  <a:pt x="71" y="28"/>
                                </a:lnTo>
                                <a:lnTo>
                                  <a:pt x="59" y="38"/>
                                </a:lnTo>
                                <a:lnTo>
                                  <a:pt x="48" y="48"/>
                                </a:lnTo>
                                <a:lnTo>
                                  <a:pt x="38" y="59"/>
                                </a:lnTo>
                                <a:lnTo>
                                  <a:pt x="28" y="72"/>
                                </a:lnTo>
                                <a:lnTo>
                                  <a:pt x="20" y="85"/>
                                </a:lnTo>
                                <a:lnTo>
                                  <a:pt x="13" y="99"/>
                                </a:lnTo>
                                <a:lnTo>
                                  <a:pt x="8" y="114"/>
                                </a:lnTo>
                                <a:lnTo>
                                  <a:pt x="4" y="130"/>
                                </a:lnTo>
                                <a:lnTo>
                                  <a:pt x="2" y="147"/>
                                </a:lnTo>
                                <a:lnTo>
                                  <a:pt x="0" y="164"/>
                                </a:lnTo>
                                <a:lnTo>
                                  <a:pt x="0" y="179"/>
                                </a:lnTo>
                                <a:lnTo>
                                  <a:pt x="3" y="194"/>
                                </a:lnTo>
                                <a:lnTo>
                                  <a:pt x="7" y="208"/>
                                </a:lnTo>
                                <a:lnTo>
                                  <a:pt x="10" y="222"/>
                                </a:lnTo>
                                <a:lnTo>
                                  <a:pt x="16" y="235"/>
                                </a:lnTo>
                                <a:lnTo>
                                  <a:pt x="23" y="247"/>
                                </a:lnTo>
                                <a:lnTo>
                                  <a:pt x="31" y="260"/>
                                </a:lnTo>
                                <a:lnTo>
                                  <a:pt x="41" y="271"/>
                                </a:lnTo>
                                <a:lnTo>
                                  <a:pt x="53" y="282"/>
                                </a:lnTo>
                                <a:lnTo>
                                  <a:pt x="66" y="294"/>
                                </a:lnTo>
                                <a:lnTo>
                                  <a:pt x="81" y="302"/>
                                </a:lnTo>
                                <a:lnTo>
                                  <a:pt x="97" y="310"/>
                                </a:lnTo>
                                <a:lnTo>
                                  <a:pt x="114" y="316"/>
                                </a:lnTo>
                                <a:lnTo>
                                  <a:pt x="130" y="321"/>
                                </a:lnTo>
                                <a:lnTo>
                                  <a:pt x="147" y="324"/>
                                </a:lnTo>
                                <a:lnTo>
                                  <a:pt x="163" y="325"/>
                                </a:lnTo>
                                <a:lnTo>
                                  <a:pt x="178" y="324"/>
                                </a:lnTo>
                                <a:lnTo>
                                  <a:pt x="193" y="321"/>
                                </a:lnTo>
                                <a:lnTo>
                                  <a:pt x="211" y="317"/>
                                </a:lnTo>
                                <a:lnTo>
                                  <a:pt x="236" y="309"/>
                                </a:lnTo>
                                <a:lnTo>
                                  <a:pt x="236" y="215"/>
                                </a:lnTo>
                                <a:lnTo>
                                  <a:pt x="227" y="222"/>
                                </a:lnTo>
                                <a:lnTo>
                                  <a:pt x="220" y="228"/>
                                </a:lnTo>
                                <a:lnTo>
                                  <a:pt x="211" y="235"/>
                                </a:lnTo>
                                <a:lnTo>
                                  <a:pt x="202" y="238"/>
                                </a:lnTo>
                                <a:lnTo>
                                  <a:pt x="195" y="242"/>
                                </a:lnTo>
                                <a:lnTo>
                                  <a:pt x="185" y="245"/>
                                </a:lnTo>
                                <a:lnTo>
                                  <a:pt x="176" y="246"/>
                                </a:lnTo>
                                <a:lnTo>
                                  <a:pt x="166" y="246"/>
                                </a:lnTo>
                                <a:lnTo>
                                  <a:pt x="159" y="246"/>
                                </a:lnTo>
                                <a:lnTo>
                                  <a:pt x="151" y="245"/>
                                </a:lnTo>
                                <a:lnTo>
                                  <a:pt x="144" y="243"/>
                                </a:lnTo>
                                <a:lnTo>
                                  <a:pt x="137" y="241"/>
                                </a:lnTo>
                                <a:lnTo>
                                  <a:pt x="130" y="238"/>
                                </a:lnTo>
                                <a:lnTo>
                                  <a:pt x="124" y="235"/>
                                </a:lnTo>
                                <a:lnTo>
                                  <a:pt x="117" y="231"/>
                                </a:lnTo>
                                <a:lnTo>
                                  <a:pt x="111" y="226"/>
                                </a:lnTo>
                                <a:lnTo>
                                  <a:pt x="105" y="220"/>
                                </a:lnTo>
                                <a:lnTo>
                                  <a:pt x="99" y="213"/>
                                </a:lnTo>
                                <a:lnTo>
                                  <a:pt x="94" y="207"/>
                                </a:lnTo>
                                <a:lnTo>
                                  <a:pt x="90" y="198"/>
                                </a:lnTo>
                                <a:lnTo>
                                  <a:pt x="87" y="191"/>
                                </a:lnTo>
                                <a:lnTo>
                                  <a:pt x="85" y="182"/>
                                </a:lnTo>
                                <a:lnTo>
                                  <a:pt x="84" y="173"/>
                                </a:lnTo>
                                <a:lnTo>
                                  <a:pt x="84" y="163"/>
                                </a:lnTo>
                                <a:lnTo>
                                  <a:pt x="84" y="154"/>
                                </a:lnTo>
                                <a:lnTo>
                                  <a:pt x="85" y="146"/>
                                </a:lnTo>
                                <a:lnTo>
                                  <a:pt x="87" y="137"/>
                                </a:lnTo>
                                <a:lnTo>
                                  <a:pt x="90" y="129"/>
                                </a:lnTo>
                                <a:lnTo>
                                  <a:pt x="92" y="122"/>
                                </a:lnTo>
                                <a:lnTo>
                                  <a:pt x="97" y="114"/>
                                </a:lnTo>
                                <a:lnTo>
                                  <a:pt x="101" y="108"/>
                                </a:lnTo>
                                <a:lnTo>
                                  <a:pt x="107" y="102"/>
                                </a:lnTo>
                                <a:lnTo>
                                  <a:pt x="112" y="97"/>
                                </a:lnTo>
                                <a:lnTo>
                                  <a:pt x="119" y="92"/>
                                </a:lnTo>
                                <a:lnTo>
                                  <a:pt x="126" y="88"/>
                                </a:lnTo>
                                <a:lnTo>
                                  <a:pt x="134" y="84"/>
                                </a:lnTo>
                                <a:lnTo>
                                  <a:pt x="141" y="82"/>
                                </a:lnTo>
                                <a:lnTo>
                                  <a:pt x="149" y="79"/>
                                </a:lnTo>
                                <a:lnTo>
                                  <a:pt x="157" y="78"/>
                                </a:lnTo>
                                <a:lnTo>
                                  <a:pt x="166" y="78"/>
                                </a:lnTo>
                                <a:lnTo>
                                  <a:pt x="176" y="79"/>
                                </a:lnTo>
                                <a:lnTo>
                                  <a:pt x="186" y="80"/>
                                </a:lnTo>
                                <a:lnTo>
                                  <a:pt x="195" y="83"/>
                                </a:lnTo>
                                <a:lnTo>
                                  <a:pt x="203" y="87"/>
                                </a:lnTo>
                                <a:lnTo>
                                  <a:pt x="212" y="92"/>
                                </a:lnTo>
                                <a:lnTo>
                                  <a:pt x="221" y="97"/>
                                </a:lnTo>
                                <a:lnTo>
                                  <a:pt x="228" y="104"/>
                                </a:lnTo>
                                <a:lnTo>
                                  <a:pt x="236" y="112"/>
                                </a:lnTo>
                                <a:lnTo>
                                  <a:pt x="236" y="16"/>
                                </a:lnTo>
                                <a:close/>
                                <a:moveTo>
                                  <a:pt x="390" y="247"/>
                                </a:moveTo>
                                <a:lnTo>
                                  <a:pt x="535" y="6"/>
                                </a:lnTo>
                                <a:lnTo>
                                  <a:pt x="281" y="6"/>
                                </a:lnTo>
                                <a:lnTo>
                                  <a:pt x="281" y="75"/>
                                </a:lnTo>
                                <a:lnTo>
                                  <a:pt x="401" y="75"/>
                                </a:lnTo>
                                <a:lnTo>
                                  <a:pt x="257" y="316"/>
                                </a:lnTo>
                                <a:lnTo>
                                  <a:pt x="520" y="316"/>
                                </a:lnTo>
                                <a:lnTo>
                                  <a:pt x="520" y="247"/>
                                </a:lnTo>
                                <a:lnTo>
                                  <a:pt x="390" y="247"/>
                                </a:lnTo>
                                <a:close/>
                                <a:moveTo>
                                  <a:pt x="740" y="75"/>
                                </a:moveTo>
                                <a:lnTo>
                                  <a:pt x="740" y="6"/>
                                </a:lnTo>
                                <a:lnTo>
                                  <a:pt x="566" y="6"/>
                                </a:lnTo>
                                <a:lnTo>
                                  <a:pt x="566" y="316"/>
                                </a:lnTo>
                                <a:lnTo>
                                  <a:pt x="740" y="316"/>
                                </a:lnTo>
                                <a:lnTo>
                                  <a:pt x="740" y="247"/>
                                </a:lnTo>
                                <a:lnTo>
                                  <a:pt x="646" y="247"/>
                                </a:lnTo>
                                <a:lnTo>
                                  <a:pt x="646" y="194"/>
                                </a:lnTo>
                                <a:lnTo>
                                  <a:pt x="735" y="194"/>
                                </a:lnTo>
                                <a:lnTo>
                                  <a:pt x="735" y="127"/>
                                </a:lnTo>
                                <a:lnTo>
                                  <a:pt x="646" y="127"/>
                                </a:lnTo>
                                <a:lnTo>
                                  <a:pt x="646" y="75"/>
                                </a:lnTo>
                                <a:lnTo>
                                  <a:pt x="740" y="75"/>
                                </a:lnTo>
                                <a:close/>
                                <a:moveTo>
                                  <a:pt x="1008" y="16"/>
                                </a:moveTo>
                                <a:lnTo>
                                  <a:pt x="988" y="9"/>
                                </a:lnTo>
                                <a:lnTo>
                                  <a:pt x="971" y="4"/>
                                </a:lnTo>
                                <a:lnTo>
                                  <a:pt x="953" y="1"/>
                                </a:lnTo>
                                <a:lnTo>
                                  <a:pt x="936" y="0"/>
                                </a:lnTo>
                                <a:lnTo>
                                  <a:pt x="920" y="1"/>
                                </a:lnTo>
                                <a:lnTo>
                                  <a:pt x="904" y="4"/>
                                </a:lnTo>
                                <a:lnTo>
                                  <a:pt x="887" y="8"/>
                                </a:lnTo>
                                <a:lnTo>
                                  <a:pt x="872" y="13"/>
                                </a:lnTo>
                                <a:lnTo>
                                  <a:pt x="859" y="20"/>
                                </a:lnTo>
                                <a:lnTo>
                                  <a:pt x="845" y="28"/>
                                </a:lnTo>
                                <a:lnTo>
                                  <a:pt x="833" y="38"/>
                                </a:lnTo>
                                <a:lnTo>
                                  <a:pt x="820" y="48"/>
                                </a:lnTo>
                                <a:lnTo>
                                  <a:pt x="810" y="59"/>
                                </a:lnTo>
                                <a:lnTo>
                                  <a:pt x="801" y="72"/>
                                </a:lnTo>
                                <a:lnTo>
                                  <a:pt x="793" y="85"/>
                                </a:lnTo>
                                <a:lnTo>
                                  <a:pt x="786" y="99"/>
                                </a:lnTo>
                                <a:lnTo>
                                  <a:pt x="780" y="114"/>
                                </a:lnTo>
                                <a:lnTo>
                                  <a:pt x="776" y="130"/>
                                </a:lnTo>
                                <a:lnTo>
                                  <a:pt x="774" y="147"/>
                                </a:lnTo>
                                <a:lnTo>
                                  <a:pt x="774" y="164"/>
                                </a:lnTo>
                                <a:lnTo>
                                  <a:pt x="774" y="179"/>
                                </a:lnTo>
                                <a:lnTo>
                                  <a:pt x="776" y="194"/>
                                </a:lnTo>
                                <a:lnTo>
                                  <a:pt x="779" y="208"/>
                                </a:lnTo>
                                <a:lnTo>
                                  <a:pt x="784" y="222"/>
                                </a:lnTo>
                                <a:lnTo>
                                  <a:pt x="789" y="235"/>
                                </a:lnTo>
                                <a:lnTo>
                                  <a:pt x="796" y="247"/>
                                </a:lnTo>
                                <a:lnTo>
                                  <a:pt x="805" y="260"/>
                                </a:lnTo>
                                <a:lnTo>
                                  <a:pt x="814" y="271"/>
                                </a:lnTo>
                                <a:lnTo>
                                  <a:pt x="826" y="282"/>
                                </a:lnTo>
                                <a:lnTo>
                                  <a:pt x="840" y="294"/>
                                </a:lnTo>
                                <a:lnTo>
                                  <a:pt x="855" y="302"/>
                                </a:lnTo>
                                <a:lnTo>
                                  <a:pt x="870" y="310"/>
                                </a:lnTo>
                                <a:lnTo>
                                  <a:pt x="886" y="316"/>
                                </a:lnTo>
                                <a:lnTo>
                                  <a:pt x="902" y="321"/>
                                </a:lnTo>
                                <a:lnTo>
                                  <a:pt x="920" y="324"/>
                                </a:lnTo>
                                <a:lnTo>
                                  <a:pt x="937" y="325"/>
                                </a:lnTo>
                                <a:lnTo>
                                  <a:pt x="952" y="324"/>
                                </a:lnTo>
                                <a:lnTo>
                                  <a:pt x="967" y="321"/>
                                </a:lnTo>
                                <a:lnTo>
                                  <a:pt x="985" y="317"/>
                                </a:lnTo>
                                <a:lnTo>
                                  <a:pt x="1008" y="309"/>
                                </a:lnTo>
                                <a:lnTo>
                                  <a:pt x="1008" y="215"/>
                                </a:lnTo>
                                <a:lnTo>
                                  <a:pt x="1001" y="222"/>
                                </a:lnTo>
                                <a:lnTo>
                                  <a:pt x="992" y="228"/>
                                </a:lnTo>
                                <a:lnTo>
                                  <a:pt x="985" y="235"/>
                                </a:lnTo>
                                <a:lnTo>
                                  <a:pt x="976" y="238"/>
                                </a:lnTo>
                                <a:lnTo>
                                  <a:pt x="967" y="242"/>
                                </a:lnTo>
                                <a:lnTo>
                                  <a:pt x="958" y="245"/>
                                </a:lnTo>
                                <a:lnTo>
                                  <a:pt x="948" y="246"/>
                                </a:lnTo>
                                <a:lnTo>
                                  <a:pt x="940" y="246"/>
                                </a:lnTo>
                                <a:lnTo>
                                  <a:pt x="932" y="246"/>
                                </a:lnTo>
                                <a:lnTo>
                                  <a:pt x="925" y="245"/>
                                </a:lnTo>
                                <a:lnTo>
                                  <a:pt x="917" y="243"/>
                                </a:lnTo>
                                <a:lnTo>
                                  <a:pt x="910" y="241"/>
                                </a:lnTo>
                                <a:lnTo>
                                  <a:pt x="904" y="238"/>
                                </a:lnTo>
                                <a:lnTo>
                                  <a:pt x="896" y="235"/>
                                </a:lnTo>
                                <a:lnTo>
                                  <a:pt x="890" y="231"/>
                                </a:lnTo>
                                <a:lnTo>
                                  <a:pt x="884" y="226"/>
                                </a:lnTo>
                                <a:lnTo>
                                  <a:pt x="877" y="220"/>
                                </a:lnTo>
                                <a:lnTo>
                                  <a:pt x="872" y="213"/>
                                </a:lnTo>
                                <a:lnTo>
                                  <a:pt x="867" y="207"/>
                                </a:lnTo>
                                <a:lnTo>
                                  <a:pt x="864" y="198"/>
                                </a:lnTo>
                                <a:lnTo>
                                  <a:pt x="860" y="191"/>
                                </a:lnTo>
                                <a:lnTo>
                                  <a:pt x="859" y="182"/>
                                </a:lnTo>
                                <a:lnTo>
                                  <a:pt x="857" y="173"/>
                                </a:lnTo>
                                <a:lnTo>
                                  <a:pt x="856" y="163"/>
                                </a:lnTo>
                                <a:lnTo>
                                  <a:pt x="857" y="154"/>
                                </a:lnTo>
                                <a:lnTo>
                                  <a:pt x="859" y="146"/>
                                </a:lnTo>
                                <a:lnTo>
                                  <a:pt x="860" y="137"/>
                                </a:lnTo>
                                <a:lnTo>
                                  <a:pt x="862" y="129"/>
                                </a:lnTo>
                                <a:lnTo>
                                  <a:pt x="866" y="122"/>
                                </a:lnTo>
                                <a:lnTo>
                                  <a:pt x="870" y="114"/>
                                </a:lnTo>
                                <a:lnTo>
                                  <a:pt x="875" y="108"/>
                                </a:lnTo>
                                <a:lnTo>
                                  <a:pt x="880" y="102"/>
                                </a:lnTo>
                                <a:lnTo>
                                  <a:pt x="886" y="97"/>
                                </a:lnTo>
                                <a:lnTo>
                                  <a:pt x="892" y="92"/>
                                </a:lnTo>
                                <a:lnTo>
                                  <a:pt x="899" y="88"/>
                                </a:lnTo>
                                <a:lnTo>
                                  <a:pt x="906" y="84"/>
                                </a:lnTo>
                                <a:lnTo>
                                  <a:pt x="914" y="82"/>
                                </a:lnTo>
                                <a:lnTo>
                                  <a:pt x="922" y="79"/>
                                </a:lnTo>
                                <a:lnTo>
                                  <a:pt x="931" y="78"/>
                                </a:lnTo>
                                <a:lnTo>
                                  <a:pt x="940" y="78"/>
                                </a:lnTo>
                                <a:lnTo>
                                  <a:pt x="950" y="79"/>
                                </a:lnTo>
                                <a:lnTo>
                                  <a:pt x="960" y="80"/>
                                </a:lnTo>
                                <a:lnTo>
                                  <a:pt x="968" y="83"/>
                                </a:lnTo>
                                <a:lnTo>
                                  <a:pt x="977" y="87"/>
                                </a:lnTo>
                                <a:lnTo>
                                  <a:pt x="986" y="92"/>
                                </a:lnTo>
                                <a:lnTo>
                                  <a:pt x="993" y="97"/>
                                </a:lnTo>
                                <a:lnTo>
                                  <a:pt x="1001" y="104"/>
                                </a:lnTo>
                                <a:lnTo>
                                  <a:pt x="1008" y="112"/>
                                </a:lnTo>
                                <a:lnTo>
                                  <a:pt x="1008" y="16"/>
                                </a:lnTo>
                                <a:close/>
                                <a:moveTo>
                                  <a:pt x="1132" y="127"/>
                                </a:moveTo>
                                <a:lnTo>
                                  <a:pt x="1132" y="6"/>
                                </a:lnTo>
                                <a:lnTo>
                                  <a:pt x="1052" y="6"/>
                                </a:lnTo>
                                <a:lnTo>
                                  <a:pt x="1052" y="316"/>
                                </a:lnTo>
                                <a:lnTo>
                                  <a:pt x="1132" y="316"/>
                                </a:lnTo>
                                <a:lnTo>
                                  <a:pt x="1132" y="189"/>
                                </a:lnTo>
                                <a:lnTo>
                                  <a:pt x="1247" y="189"/>
                                </a:lnTo>
                                <a:lnTo>
                                  <a:pt x="1247" y="316"/>
                                </a:lnTo>
                                <a:lnTo>
                                  <a:pt x="1327" y="316"/>
                                </a:lnTo>
                                <a:lnTo>
                                  <a:pt x="1327" y="6"/>
                                </a:lnTo>
                                <a:lnTo>
                                  <a:pt x="1247" y="6"/>
                                </a:lnTo>
                                <a:lnTo>
                                  <a:pt x="1247" y="127"/>
                                </a:lnTo>
                                <a:lnTo>
                                  <a:pt x="1132" y="127"/>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23B099" id="Skupina 37" o:spid="_x0000_s1026" style="position:absolute;margin-left:47.9pt;margin-top:39.95pt;width:171.8pt;height:40.55pt;z-index:251661312;mso-position-horizontal-relative:page;mso-position-vertical-relative:page;mso-width-relative:margin;mso-height-relative:margin" coordsize="16710,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">
                <o:lock v:ext="edit" aspectratio="t"/>
                <v:rect id="Rectangle 5" o:spid="_x0000_s1027" style="position:absolute;left:3952;top:47;width:419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v:rect id="Rectangle 6" o:spid="_x0000_s1028" style="position:absolute;top:1476;width:814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v:rect id="Rectangle 7" o:spid="_x0000_s1029" style="position:absolute;left:3571;top:2952;width:457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v:shape id="Freeform 8" o:spid="_x0000_s1030" style="position:absolute;left:8620;top:2905;width:4553;height:1047;visibility:visible;mso-wrap-style:square;v-text-anchor:top" coordsize="143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" path="m170,l155,1,139,2,124,6r-15,4l95,16,81,23,69,30,58,39,45,51,34,65,24,79,15,95,9,112,4,128,2,146,,162r2,19l4,197r4,16l13,230r7,13l28,258r10,13l49,282r11,12l73,302r13,9l101,317r16,5l134,327r17,3l168,330r18,l201,327r16,-2l231,320r13,-5l258,309r13,-9l283,291r13,-12l307,265r10,-14l325,235r7,-17l337,201r2,-18l340,166r-1,-17l338,134r-4,-15l329,104,323,90,315,77,306,64,296,53,283,40,269,30,256,20,239,14,223,8,207,4,188,1,170,xm170,78r10,1l187,80r9,3l205,85r7,4l218,93r8,5l232,104r5,6l242,117r5,7l249,132r4,7l256,148r1,9l257,166r,8l256,183r-3,8l249,199r-2,8l242,213r-5,8l232,227r-6,5l218,237r-6,5l203,246r-7,2l187,251r-7,1l170,252r-9,l152,251r-7,-3l136,246r-7,-4l121,237r-6,-5l109,227r-5,-6l99,213r-5,-7l90,198r-3,-7l85,182r-1,-9l84,164r,-8l85,147r2,-8l90,130r4,-7l99,117r5,-7l109,104r6,-6l122,93r7,-4l136,85r9,-2l152,80r9,-1l170,78xm557,78r,-68l380,10r,309l460,319r,-122l548,197r,-68l460,129r,-51l557,78xm785,78r,-68l608,10r,309l688,319r,-122l776,197r,-68l688,129r,-51l785,78xm917,10r-79,l838,319r79,l917,10xm1199,19r-20,-8l1160,6,1144,4r-17,l1109,4r-16,2l1078,10r-15,6l1048,23r-14,8l1022,40r-11,10l1001,63,991,75r-8,13l976,103r-5,15l967,134r-2,17l963,167r2,15l966,197r4,14l973,225r7,13l987,251r7,11l1004,274r13,12l1031,296r13,9l1061,314r16,5l1093,324r17,2l1127,327r16,l1156,325r19,-5l1199,312r,-95l1190,225r-7,7l1174,237r-8,5l1158,245r-9,2l1139,248r-10,2l1122,250r-8,-2l1107,246r-7,-1l1087,238r-13,-8l1068,223r-6,-6l1058,210r-5,-8l1051,194r-3,-8l1047,176r,-9l1047,157r1,-9l1051,141r2,-9l1057,124r4,-6l1066,112r4,-7l1075,100r7,-5l1089,90r8,-2l1104,84r8,-1l1120,82r9,l1139,82r10,1l1159,85r9,4l1175,94r9,6l1191,107r8,8l1199,19xm1436,78r,-68l1261,10r,309l1436,319r,-68l1341,251r,-54l1431,197r,-68l1341,129r,-51l1436,78xe" fillcolor="#bd1b21" stroked="f">
                  <v:path arrowok="t" o:connecttype="custom" o:connectlocs="10957200,1008063;4523781,5141278;402029,12903200;804059,21471890;4925810,28427363;11761576,32459613;20205777,32963803;27242557,30241875;32670904,23689628;34078323,15020290;31665514,7762240;25734630,2016125;17089415,0;19702923,8367078;23321821,10483850;25433108,14012228;25734630,18447703;23824674,22278340;20406791,24798338;16184532,25403175;12163605,23891240;9449274,20766088;8444200,16532225;9449274,12399328;12264113,9375140;16184532,7963853;38199758,1008063;55088159,13004165;78912516,1008063;78007950,19858990;92182019,1008063;120530157,1915478;111482912,403225;103943595,3125153;98816770,8870950;96806307,16834803;98515248,23991888;103642073,29838650;111583420,32862838;120530157,31451550;117212781,24395113;112789825,25201563;107964522,23185438;105652536,19556413;105351014,14919325;107160463,11290300;110276507,8870950;114498766,8266113;119022230,10080625;144354831,1008063;134805050,25302528;134805050,7862888" o:connectangles="0,0,0,0,0,0,0,0,0,0,0,0,0,0,0,0,0,0,0,0,0,0,0,0,0,0,0,0,0,0,0,0,0,0,0,0,0,0,0,0,0,0,0,0,0,0,0,0,0,0,0,0"/>
                  <o:lock v:ext="edit" verticies="t"/>
                </v:shape>
                <v:shape id="Freeform 9" o:spid="_x0000_s1031" style="position:absolute;left:8620;top:1476;width:8090;height:1029;visibility:visible;mso-wrap-style:square;v-text-anchor:top" coordsize="254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" path="m215,24l203,19,191,14,178,9,166,6,154,2,142,1,130,,117,,106,,95,1,85,4,75,7,65,11r-9,5l49,21r-8,8l35,35r-6,9l24,51,20,61,16,71,15,81,13,93r,11l13,114r1,9l16,131r3,8l23,147r3,6l31,159r7,6l46,172r12,5l74,183r22,7l109,194r10,4l127,202r7,4l139,209r2,5l144,219r,7l142,232r-1,6l137,243r-5,4l127,251r-6,2l114,256r-9,l96,256r-9,-2l79,252r-9,-4l61,243r-8,-5l44,232,34,224,,290r13,7l25,305r14,5l53,315r12,3l79,322r13,1l106,323r14,l132,322r13,-2l156,316r11,-4l177,307r10,-6l196,295r7,-8l210,280r5,-9l220,261r2,-10l225,239r2,-12l227,214r-1,-16l222,184r-2,-7l217,170r-4,-5l210,160r-5,-6l198,150r-6,-5l186,142r-16,-8l151,128r-21,-7l117,116r-7,-3l104,108r-4,-3l97,101,96,98r,-5l96,88r3,-5l101,78r5,-4l111,70r5,-2l124,66r6,l137,66r7,2l150,69r6,2l170,78r12,8l215,24xm394,75r66,l460,6,249,6r,69l314,75r,241l394,316r,-241xm666,262r18,54l770,316,654,6r-87,l450,316r84,l555,262r111,xm643,201r-66,l611,103r32,98xm902,75r68,l970,6,758,6r,69l823,75r,241l902,316r,-241xm1090,6r-79,l1011,316r79,l1090,6xm1358,24r-11,-5l1335,14,1323,9,1311,6,1298,2,1286,1,1274,r-13,l1250,r-11,1l1229,4r-10,3l1210,11r-9,5l1193,21r-7,8l1179,35r-5,9l1169,51r-5,10l1161,71r-2,10l1158,93r-2,11l1158,114r1,9l1160,131r3,8l1166,147r4,6l1175,159r6,6l1190,172r11,5l1218,183r22,7l1252,194r12,4l1271,202r6,4l1282,209r4,5l1287,219r,7l1287,232r-2,6l1281,243r-4,4l1271,251r-6,2l1257,256r-8,l1240,256r-9,-2l1222,252r-8,-4l1205,243r-9,-5l1188,232r-9,-8l1144,290r12,7l1170,305r13,5l1196,315r14,3l1224,322r13,1l1251,323r13,l1276,322r13,-2l1300,316r11,-4l1321,307r10,-6l1340,295r7,-8l1353,280r5,-9l1363,261r4,-10l1370,239r1,-12l1371,214r-1,-16l1367,184r-2,-7l1361,170r-4,-5l1353,160r-5,-6l1343,150r-6,-5l1330,142r-15,-8l1296,128r-22,-7l1261,116r-7,-3l1247,108r-2,-3l1242,101r-1,-3l1240,93r1,-5l1242,83r4,-5l1250,74r5,-4l1261,68r6,-2l1275,66r6,l1287,68r8,1l1301,71r12,7l1327,86r31,-62xm1536,75r66,l1602,6r-210,l1392,75r65,l1457,316r79,l1536,75xm1723,6r-79,l1644,316r79,l1723,6xm2005,16l1984,9,1966,4,1950,1,1933,r-18,1l1899,4r-15,3l1868,12r-14,8l1840,27r-12,10l1817,47r-10,12l1797,71r-8,14l1782,100r-5,15l1773,130r-2,17l1769,164r2,15l1772,194r4,14l1779,222r7,14l1792,248r9,11l1811,271r12,11l1837,293r13,9l1867,310r16,6l1899,321r17,2l1933,325r16,-2l1963,322r17,-5l2005,310r,-96l1996,222r-7,6l1980,234r-7,4l1964,242r-10,2l1945,246r-10,1l1928,246r-8,l1913,243r-7,-2l1899,238r-6,-4l1887,231r-7,-5l1874,221r-6,-8l1863,207r-4,-8l1857,190r-3,-8l1853,173r,-10l1853,154r1,-9l1857,137r2,-8l1863,121r4,-6l1872,108r5,-5l1882,96r6,-5l1895,88r8,-4l1910,81r8,-1l1926,79r9,-1l1945,79r10,1l1965,83r9,3l1981,91r9,7l1997,104r8,7l2005,16xm2240,262r20,54l2345,316,2229,6r-87,l2025,316r83,l2129,262r111,xm2218,201r-66,l2186,103r32,98xm2455,6r-80,l2375,316r174,l2549,248r-94,l2455,6xe" fillcolor="#bd1b21" stroked="f">
                  <v:path arrowok="t" o:connecttype="custom" o:connectlocs="14303159,100338;6547138,1102133;2014699,6111428;1611632,13124629;5842247,17733205;14001018,20938951;13296127,24746091;7957554,25247147;1309491,29755385;10677145,32360370;18835915,30156103;22663463,23944654;21454897,16530734;15209901,12823932;9669795,9818229;11684494,6812843;17123675,7814638;25080912,7513941;77559893,31658955;64767441,20137515;76351327,601077;101835306,601077;133262139,901774;124800910,100338;118757447,3506443;116440606,10419307;118354380,15929657;127319284,19837134;129635808,23243239;125808260,25647865;119663871,23243239;121879786,31859314;130945299,31658955;136787546,27150716;137693970,18434304;134672238,14527143;125606726,10820025;125506118,7814638;129635808,6812843;161364783,7513941;154717037,7513941;199842746,901774;188158252,1202155;180201015,8515737;178488457,19436100;183625496,28252850;194705707,32560729;200346421,22842521;194202033,24646069;189367135,22642162;186647545,17332171;188057644,11521440;192388867,8115019;198835397,8616075;227643248,31658955;225628866,26248942;239227134,31658955" o:connectangles="0,0,0,0,0,0,0,0,0,0,0,0,0,0,0,0,0,0,0,0,0,0,0,0,0,0,0,0,0,0,0,0,0,0,0,0,0,0,0,0,0,0,0,0,0,0,0,0,0,0,0,0,0,0,0,0,0"/>
                  <o:lock v:ext="edit" verticies="t"/>
                </v:shape>
                <v:shape id="Freeform 10" o:spid="_x0000_s1032" style="position:absolute;left:8620;width:4210;height:1028;visibility:visible;mso-wrap-style:square;v-text-anchor:top" coordsize="132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" path="m236,16l215,9,197,4,180,1,162,,146,1,130,4,114,8,99,13,85,20,71,28,59,38,48,48,38,59,28,72,20,85,13,99,8,114,4,130,2,147,,164r,15l3,194r4,14l10,222r6,13l23,247r8,13l41,271r12,11l66,294r15,8l97,310r17,6l130,321r17,3l163,325r15,-1l193,321r18,-4l236,309r,-94l227,222r-7,6l211,235r-9,3l195,242r-10,3l176,246r-10,l159,246r-8,-1l144,243r-7,-2l130,238r-6,-3l117,231r-6,-5l105,220r-6,-7l94,207r-4,-9l87,191r-2,-9l84,173r,-10l84,154r1,-8l87,137r3,-8l92,122r5,-8l101,108r6,-6l112,97r7,-5l126,88r8,-4l141,82r8,-3l157,78r9,l176,79r10,1l195,83r8,4l212,92r9,5l228,104r8,8l236,16xm390,247l535,6,281,6r,69l401,75,257,316r263,l520,247r-130,xm740,75r,-69l566,6r,310l740,316r,-69l646,247r,-53l735,194r,-67l646,127r,-52l740,75xm1008,16l988,9,971,4,953,1,936,,920,1,904,4,887,8r-15,5l859,20r-14,8l833,38,820,48,810,59r-9,13l793,85r-7,14l780,114r-4,16l774,147r,17l774,179r2,15l779,208r5,14l789,235r7,12l805,260r9,11l826,282r14,12l855,302r15,8l886,316r16,5l920,324r17,1l952,324r15,-3l985,317r23,-8l1008,215r-7,7l992,228r-7,7l976,238r-9,4l958,245r-10,1l940,246r-8,l925,245r-8,-2l910,241r-6,-3l896,235r-6,-4l884,226r-7,-6l872,213r-5,-6l864,198r-4,-7l859,182r-2,-9l856,163r1,-9l859,146r1,-9l862,129r4,-7l870,114r5,-6l880,102r6,-5l892,92r7,-4l906,84r8,-2l922,79r9,-1l940,78r10,1l960,80r8,3l977,87r9,5l993,97r8,7l1008,112r,-96xm1132,127r,-121l1052,6r,310l1132,316r,-127l1247,189r,127l1327,316r,-310l1247,6r,121l1132,127xe" fillcolor="#bd1b21" stroked="f">
                  <v:path arrowok="t" o:connecttype="custom" o:connectlocs="18117809,100338;11474686,801436;5938487,3807140;2013019,8515737;201461,14727502;704636,20838930;3120259,26048583;8152966,30256441;14796089,32460391;21238068,31759292;22143848,22842521;18620985,24545732;15198693,24545732;12481037,23543936;9964843,21339669;8555570,18233945;8555570,14627164;9763382,11421419;11977862,9217152;14997550,7914660;18721556,8014997;22244737,9718208;39255306,24746091;40362546,7513941;39255306,24746091;56970511,31658955;65022588,19436100;65022588,7513941;97735343,400718;90991649,400718;85052845,2805344;80624202,7213561;78107690,13024292;78107690,19436100;80121027,24746091;84549670,29455004;90790188,32160011;97332739,32160011;100755031,22241444;97332739,24245351;93809876,24646069;90991649,23844316;88273993,22041084;86562689,19135719;86260657,15428917;87166753,12222855;89179773,9718208;91998000,8215356;95621752,7914660;99245187,9217152;101459667,1602873;105888310,31658955;125515962,31658955;125515962,12723595" o:connectangles="0,0,0,0,0,0,0,0,0,0,0,0,0,0,0,0,0,0,0,0,0,0,0,0,0,0,0,0,0,0,0,0,0,0,0,0,0,0,0,0,0,0,0,0,0,0,0,0,0,0,0,0,0,0"/>
                  <o:lock v:ext="edit" verticies="t"/>
                </v:shape>
                <w10:wrap type="square" anchorx="page" anchory="page"/>
                <w10:anchorlock/>
              </v:group>
            </w:pict>
          </mc:Fallback>
        </mc:AlternateContent>
      </w:r>
      <w:r>
        <w:rPr>
          <w:noProof/>
          <w:lang w:val="cs-CZ"/>
        </w:rPr>
        <mc:AlternateContent>
          <mc:Choice Requires="wps">
            <w:drawing>
              <wp:anchor distT="0" distB="0" distL="114300" distR="114300" simplePos="0" relativeHeight="251655168" behindDoc="0" locked="1" layoutInCell="1" allowOverlap="1">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642197" w:rsidRDefault="003945DB" w:rsidP="000B58F3">
                            <w:r w:rsidRPr="00642197">
                              <w:t xml:space="preserve">Prepared by: </w:t>
                            </w:r>
                            <w:r w:rsidRPr="00ED21B5">
                              <w:t>Society Development Statistics Department</w:t>
                            </w:r>
                          </w:p>
                          <w:p w:rsidR="003945DB" w:rsidRPr="00642197" w:rsidRDefault="003945DB" w:rsidP="000B58F3">
                            <w:r w:rsidRPr="00642197">
                              <w:t xml:space="preserve">Director: </w:t>
                            </w:r>
                            <w:r>
                              <w:t>Ing. Martin Mana</w:t>
                            </w:r>
                          </w:p>
                          <w:p w:rsidR="003945DB" w:rsidRPr="00642197" w:rsidRDefault="003945DB" w:rsidP="000B58F3">
                            <w:r w:rsidRPr="00642197">
                              <w:t xml:space="preserve">Contact person: </w:t>
                            </w:r>
                            <w:r>
                              <w:t>Ing. Martin Mana</w:t>
                            </w:r>
                            <w:r w:rsidRPr="00642197">
                              <w:t xml:space="preserve">, e-mail: </w:t>
                            </w:r>
                            <w:r>
                              <w:t>martin</w:t>
                            </w:r>
                            <w:r w:rsidRPr="00642197">
                              <w:t>.</w:t>
                            </w:r>
                            <w:r>
                              <w:t>mana</w:t>
                            </w:r>
                            <w:r w:rsidRPr="00642197">
                              <w:t>@czso.cz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rsidR="003945DB" w:rsidRPr="00642197" w:rsidRDefault="003945DB" w:rsidP="000B58F3">
                      <w:r w:rsidRPr="00642197">
                        <w:t xml:space="preserve">Prepared by: </w:t>
                      </w:r>
                      <w:r w:rsidRPr="00ED21B5">
                        <w:t>Society Development Statistics Department</w:t>
                      </w:r>
                    </w:p>
                    <w:p w:rsidR="003945DB" w:rsidRPr="00642197" w:rsidRDefault="003945DB" w:rsidP="000B58F3">
                      <w:r w:rsidRPr="00642197">
                        <w:t xml:space="preserve">Director: </w:t>
                      </w:r>
                      <w:r>
                        <w:t>Ing. Martin Mana</w:t>
                      </w:r>
                    </w:p>
                    <w:p w:rsidR="003945DB" w:rsidRPr="00642197" w:rsidRDefault="003945DB" w:rsidP="000B58F3">
                      <w:r w:rsidRPr="00642197">
                        <w:t xml:space="preserve">Contact person: </w:t>
                      </w:r>
                      <w:r>
                        <w:t>Ing. Martin Mana</w:t>
                      </w:r>
                      <w:r w:rsidRPr="00642197">
                        <w:t xml:space="preserve">, e-mail: </w:t>
                      </w:r>
                      <w:r>
                        <w:t>martin</w:t>
                      </w:r>
                      <w:r w:rsidRPr="00642197">
                        <w:t>.</w:t>
                      </w:r>
                      <w:r>
                        <w:t>mana</w:t>
                      </w:r>
                      <w:r w:rsidRPr="00642197">
                        <w:t>@czso.cz</w:t>
                      </w:r>
                    </w:p>
                  </w:txbxContent>
                </v:textbox>
                <w10:wrap anchorx="page" anchory="page"/>
                <w10:anchorlock/>
              </v:shape>
            </w:pict>
          </mc:Fallback>
        </mc:AlternateContent>
      </w:r>
      <w:r>
        <w:rPr>
          <w:noProof/>
          <w:lang w:val="cs-CZ"/>
        </w:rPr>
        <mc:AlternateContent>
          <mc:Choice Requires="wps">
            <w:drawing>
              <wp:anchor distT="0" distB="0" distL="114300" distR="114300" simplePos="0" relativeHeight="251654144" behindDoc="0" locked="1" layoutInCell="1" allowOverlap="1">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726E39" w:rsidRDefault="003945DB" w:rsidP="00C0283F">
                            <w:pPr>
                              <w:pStyle w:val="TLIdentifikace-sted"/>
                            </w:pPr>
                            <w:r w:rsidRPr="00726E39">
                              <w:t>Information Technologies</w:t>
                            </w:r>
                          </w:p>
                          <w:p w:rsidR="003945DB" w:rsidRPr="00726E39" w:rsidRDefault="003945DB" w:rsidP="00C0283F">
                            <w:pPr>
                              <w:pStyle w:val="TLIdentifikace-sted"/>
                            </w:pPr>
                            <w:r w:rsidRPr="00726E39">
                              <w:t>Prague, 2018</w:t>
                            </w:r>
                          </w:p>
                          <w:p w:rsidR="003945DB" w:rsidRPr="008A4C97" w:rsidRDefault="003945DB" w:rsidP="008A4C97">
                            <w:pPr>
                              <w:pStyle w:val="TLIdentifikace-sted"/>
                            </w:pPr>
                            <w:r w:rsidRPr="008A4C97">
                              <w:t xml:space="preserve">Publication Code: </w:t>
                            </w:r>
                            <w:r w:rsidRPr="00726E39">
                              <w:t>062030-18</w:t>
                            </w:r>
                          </w:p>
                          <w:p w:rsidR="003945DB" w:rsidRPr="008A4C97" w:rsidRDefault="003945DB" w:rsidP="008A4C97">
                            <w:pPr>
                              <w:pStyle w:val="TLIdentifikace-sted"/>
                            </w:pPr>
                            <w:r>
                              <w:t>Ref. No</w:t>
                            </w:r>
                            <w:r w:rsidRPr="008A4C97">
                              <w:t xml:space="preserve">: </w:t>
                            </w:r>
                            <w:r w:rsidRPr="000739AB">
                              <w:t>CSU-3823/2018-63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65pt;margin-top:368.55pt;width:403.9pt;height:13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rsidR="003945DB" w:rsidRPr="00726E39" w:rsidRDefault="003945DB" w:rsidP="00C0283F">
                      <w:pPr>
                        <w:pStyle w:val="TLIdentifikace-sted"/>
                      </w:pPr>
                      <w:r w:rsidRPr="00726E39">
                        <w:t>Information Technologies</w:t>
                      </w:r>
                    </w:p>
                    <w:p w:rsidR="003945DB" w:rsidRPr="00726E39" w:rsidRDefault="003945DB" w:rsidP="00C0283F">
                      <w:pPr>
                        <w:pStyle w:val="TLIdentifikace-sted"/>
                      </w:pPr>
                      <w:r w:rsidRPr="00726E39">
                        <w:t>Prague, 2018</w:t>
                      </w:r>
                    </w:p>
                    <w:p w:rsidR="003945DB" w:rsidRPr="008A4C97" w:rsidRDefault="003945DB" w:rsidP="008A4C97">
                      <w:pPr>
                        <w:pStyle w:val="TLIdentifikace-sted"/>
                      </w:pPr>
                      <w:r w:rsidRPr="008A4C97">
                        <w:t xml:space="preserve">Publication Code: </w:t>
                      </w:r>
                      <w:r w:rsidRPr="00726E39">
                        <w:t>062030-18</w:t>
                      </w:r>
                    </w:p>
                    <w:p w:rsidR="003945DB" w:rsidRPr="008A4C97" w:rsidRDefault="003945DB" w:rsidP="008A4C97">
                      <w:pPr>
                        <w:pStyle w:val="TLIdentifikace-sted"/>
                      </w:pPr>
                      <w:r>
                        <w:t>Ref. No</w:t>
                      </w:r>
                      <w:r w:rsidRPr="008A4C97">
                        <w:t xml:space="preserve">: </w:t>
                      </w:r>
                      <w:r w:rsidRPr="000739AB">
                        <w:t>CSU-3823/2018-63</w:t>
                      </w:r>
                    </w:p>
                  </w:txbxContent>
                </v:textbox>
                <w10:wrap anchorx="page" anchory="page"/>
                <w10:anchorlock/>
              </v:shape>
            </w:pict>
          </mc:Fallback>
        </mc:AlternateContent>
      </w:r>
      <w:r>
        <w:rPr>
          <w:noProof/>
          <w:lang w:val="cs-CZ"/>
        </w:rPr>
        <mc:AlternateContent>
          <mc:Choice Requires="wps">
            <w:drawing>
              <wp:anchor distT="0" distB="0" distL="114300" distR="114300" simplePos="0" relativeHeight="251653120" behindDoc="0" locked="1" layoutInCell="1" allowOverlap="1">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Default="003945DB" w:rsidP="00C0283F">
                            <w:pPr>
                              <w:pStyle w:val="Podnadpis"/>
                              <w:rPr>
                                <w:rFonts w:cs="Times New Roman"/>
                                <w:bCs/>
                                <w:caps/>
                                <w:color w:val="009BB4"/>
                                <w:kern w:val="28"/>
                                <w:sz w:val="56"/>
                                <w:szCs w:val="32"/>
                              </w:rPr>
                            </w:pPr>
                            <w:r w:rsidRPr="00ED21B5">
                              <w:rPr>
                                <w:rFonts w:cs="Times New Roman"/>
                                <w:bCs/>
                                <w:caps/>
                                <w:color w:val="009BB4"/>
                                <w:kern w:val="28"/>
                                <w:sz w:val="56"/>
                                <w:szCs w:val="32"/>
                              </w:rPr>
                              <w:t>Development of</w:t>
                            </w:r>
                            <w:r>
                              <w:rPr>
                                <w:rFonts w:cs="Times New Roman"/>
                                <w:bCs/>
                                <w:caps/>
                                <w:color w:val="009BB4"/>
                                <w:kern w:val="28"/>
                                <w:sz w:val="56"/>
                                <w:szCs w:val="32"/>
                              </w:rPr>
                              <w:t xml:space="preserve"> </w:t>
                            </w:r>
                          </w:p>
                          <w:p w:rsidR="003945DB" w:rsidRPr="00AE6528" w:rsidRDefault="003945DB" w:rsidP="00C0283F">
                            <w:pPr>
                              <w:pStyle w:val="Podnadpis"/>
                              <w:rPr>
                                <w:color w:val="009BB4"/>
                              </w:rPr>
                            </w:pPr>
                            <w:r>
                              <w:rPr>
                                <w:rFonts w:cs="Times New Roman"/>
                                <w:bCs/>
                                <w:caps/>
                                <w:color w:val="009BB4"/>
                                <w:kern w:val="28"/>
                                <w:sz w:val="56"/>
                                <w:szCs w:val="32"/>
                              </w:rPr>
                              <w:t>THE</w:t>
                            </w:r>
                            <w:r w:rsidRPr="00ED21B5">
                              <w:rPr>
                                <w:rFonts w:cs="Times New Roman"/>
                                <w:bCs/>
                                <w:caps/>
                                <w:color w:val="009BB4"/>
                                <w:kern w:val="28"/>
                                <w:sz w:val="56"/>
                                <w:szCs w:val="32"/>
                              </w:rPr>
                              <w:t xml:space="preserve"> Information Society in the Czech Republic and Other EU Countries</w:t>
                            </w:r>
                          </w:p>
                          <w:p w:rsidR="003945DB" w:rsidRDefault="003945DB" w:rsidP="00C0283F">
                            <w:pPr>
                              <w:pStyle w:val="Podnadpis"/>
                              <w:rPr>
                                <w:color w:val="009BB4"/>
                              </w:rPr>
                            </w:pPr>
                          </w:p>
                          <w:p w:rsidR="003945DB" w:rsidRPr="00C0283F" w:rsidRDefault="003945DB" w:rsidP="00FE30D1">
                            <w:pPr>
                              <w:pStyle w:val="Podnadpis"/>
                              <w:rPr>
                                <w:color w:val="009BB4"/>
                              </w:rPr>
                            </w:pPr>
                            <w:r>
                              <w:rPr>
                                <w:color w:val="009BB4"/>
                              </w:rPr>
                              <w:t>2018</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4.65pt;margin-top:116.25pt;width:403.9pt;height:173.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rsidR="003945DB" w:rsidRDefault="003945DB" w:rsidP="00C0283F">
                      <w:pPr>
                        <w:pStyle w:val="Podnadpis"/>
                        <w:rPr>
                          <w:rFonts w:cs="Times New Roman"/>
                          <w:bCs/>
                          <w:caps/>
                          <w:color w:val="009BB4"/>
                          <w:kern w:val="28"/>
                          <w:sz w:val="56"/>
                          <w:szCs w:val="32"/>
                        </w:rPr>
                      </w:pPr>
                      <w:r w:rsidRPr="00ED21B5">
                        <w:rPr>
                          <w:rFonts w:cs="Times New Roman"/>
                          <w:bCs/>
                          <w:caps/>
                          <w:color w:val="009BB4"/>
                          <w:kern w:val="28"/>
                          <w:sz w:val="56"/>
                          <w:szCs w:val="32"/>
                        </w:rPr>
                        <w:t>Development of</w:t>
                      </w:r>
                      <w:r>
                        <w:rPr>
                          <w:rFonts w:cs="Times New Roman"/>
                          <w:bCs/>
                          <w:caps/>
                          <w:color w:val="009BB4"/>
                          <w:kern w:val="28"/>
                          <w:sz w:val="56"/>
                          <w:szCs w:val="32"/>
                        </w:rPr>
                        <w:t xml:space="preserve"> </w:t>
                      </w:r>
                    </w:p>
                    <w:p w:rsidR="003945DB" w:rsidRPr="00AE6528" w:rsidRDefault="003945DB" w:rsidP="00C0283F">
                      <w:pPr>
                        <w:pStyle w:val="Podnadpis"/>
                        <w:rPr>
                          <w:color w:val="009BB4"/>
                        </w:rPr>
                      </w:pPr>
                      <w:r>
                        <w:rPr>
                          <w:rFonts w:cs="Times New Roman"/>
                          <w:bCs/>
                          <w:caps/>
                          <w:color w:val="009BB4"/>
                          <w:kern w:val="28"/>
                          <w:sz w:val="56"/>
                          <w:szCs w:val="32"/>
                        </w:rPr>
                        <w:t>THE</w:t>
                      </w:r>
                      <w:r w:rsidRPr="00ED21B5">
                        <w:rPr>
                          <w:rFonts w:cs="Times New Roman"/>
                          <w:bCs/>
                          <w:caps/>
                          <w:color w:val="009BB4"/>
                          <w:kern w:val="28"/>
                          <w:sz w:val="56"/>
                          <w:szCs w:val="32"/>
                        </w:rPr>
                        <w:t xml:space="preserve"> Information Society in the Czech Republic and Other EU Countries</w:t>
                      </w:r>
                    </w:p>
                    <w:p w:rsidR="003945DB" w:rsidRDefault="003945DB" w:rsidP="00C0283F">
                      <w:pPr>
                        <w:pStyle w:val="Podnadpis"/>
                        <w:rPr>
                          <w:color w:val="009BB4"/>
                        </w:rPr>
                      </w:pPr>
                    </w:p>
                    <w:p w:rsidR="003945DB" w:rsidRPr="00C0283F" w:rsidRDefault="003945DB" w:rsidP="00FE30D1">
                      <w:pPr>
                        <w:pStyle w:val="Podnadpis"/>
                        <w:rPr>
                          <w:color w:val="009BB4"/>
                        </w:rPr>
                      </w:pPr>
                      <w:r>
                        <w:rPr>
                          <w:color w:val="009BB4"/>
                        </w:rPr>
                        <w:t>2018</w:t>
                      </w:r>
                    </w:p>
                  </w:txbxContent>
                </v:textbox>
                <w10:wrap anchorx="page" anchory="page"/>
                <w10:anchorlock/>
              </v:shape>
            </w:pict>
          </mc:Fallback>
        </mc:AlternateContent>
      </w:r>
      <w:r>
        <w:rPr>
          <w:noProof/>
          <w:lang w:val="cs-CZ"/>
        </w:rPr>
        <mc:AlternateContent>
          <mc:Choice Requires="wps">
            <w:drawing>
              <wp:anchor distT="0" distB="0" distL="114300" distR="114300" simplePos="0" relativeHeight="251656192" behindDoc="0" locked="1" layoutInCell="1" allowOverlap="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5251DD" w:rsidRDefault="003945DB" w:rsidP="00900D5B">
                            <w:r w:rsidRPr="00642197">
                              <w:t xml:space="preserve">© Czech Statistical Office, </w:t>
                            </w:r>
                            <w:r>
                              <w:t>Prague</w:t>
                            </w:r>
                            <w:r w:rsidRPr="00642197">
                              <w:t xml:space="preserve">, </w:t>
                            </w:r>
                            <w:r>
                              <w:t>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4.65pt;margin-top:759.8pt;width:403.95pt;height:1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rsidR="003945DB" w:rsidRPr="005251DD" w:rsidRDefault="003945DB" w:rsidP="00900D5B">
                      <w:r w:rsidRPr="00642197">
                        <w:t xml:space="preserve">© Czech Statistical Office, </w:t>
                      </w:r>
                      <w:r>
                        <w:t>Prague</w:t>
                      </w:r>
                      <w:r w:rsidRPr="00642197">
                        <w:t xml:space="preserve">, </w:t>
                      </w:r>
                      <w:r>
                        <w:t>2018</w:t>
                      </w:r>
                    </w:p>
                  </w:txbxContent>
                </v:textbox>
                <w10:wrap anchorx="page" anchory="page"/>
                <w10:anchorlock/>
              </v:shape>
            </w:pict>
          </mc:Fallback>
        </mc:AlternateContent>
      </w:r>
      <w:r>
        <w:rPr>
          <w:noProof/>
          <w:lang w:val="cs-CZ"/>
        </w:rPr>
        <mc:AlternateContent>
          <mc:Choice Requires="wps">
            <w:drawing>
              <wp:anchor distT="4294967294" distB="4294967294" distL="114300" distR="114300" simplePos="0" relativeHeight="251651072" behindDoc="0" locked="1" layoutInCell="0" allowOverlap="1">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B9DF4" id="Přímá spojnice 33" o:spid="_x0000_s1026" style="position:absolute;z-index:251651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rPr>
          <w:noProof/>
          <w:lang w:val="cs-CZ"/>
        </w:rPr>
        <w:lastRenderedPageBreak/>
        <mc:AlternateContent>
          <mc:Choice Requires="wps">
            <w:drawing>
              <wp:anchor distT="0" distB="0" distL="114300" distR="114300" simplePos="0" relativeHeight="251657216" behindDoc="0" locked="1" layoutInCell="1" allowOverlap="1">
                <wp:simplePos x="0" y="0"/>
                <wp:positionH relativeFrom="page">
                  <wp:posOffset>723900</wp:posOffset>
                </wp:positionH>
                <wp:positionV relativeFrom="page">
                  <wp:posOffset>723900</wp:posOffset>
                </wp:positionV>
                <wp:extent cx="6119495" cy="9074785"/>
                <wp:effectExtent l="0" t="0" r="1905" b="571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074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1D563B" w:rsidRDefault="003945DB" w:rsidP="00374F1D">
                            <w:pPr>
                              <w:pStyle w:val="TLKontaktyerven"/>
                              <w:spacing w:line="240" w:lineRule="auto"/>
                            </w:pPr>
                            <w:r w:rsidRPr="001D563B">
                              <w:t>CZSO Headquarters</w:t>
                            </w:r>
                            <w:r>
                              <w:t xml:space="preserve"> </w:t>
                            </w:r>
                            <w:r w:rsidRPr="001D563B">
                              <w:t>CONTACTS</w:t>
                            </w:r>
                          </w:p>
                          <w:p w:rsidR="003945DB" w:rsidRPr="00D151BF" w:rsidRDefault="003945DB" w:rsidP="00374F1D">
                            <w:pPr>
                              <w:pStyle w:val="TLKontakty"/>
                              <w:spacing w:line="240" w:lineRule="auto"/>
                              <w:rPr>
                                <w:b w:val="0"/>
                                <w:color w:val="auto"/>
                              </w:rPr>
                            </w:pPr>
                            <w:r w:rsidRPr="00D151BF">
                              <w:t>Czech Statistical Office</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274 051 111 | </w:t>
                            </w:r>
                            <w:r w:rsidRPr="00374F1D">
                              <w:rPr>
                                <w:color w:val="auto"/>
                              </w:rPr>
                              <w:t>www.czso.cz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Information Services Department</w:t>
                            </w:r>
                          </w:p>
                          <w:p w:rsidR="003945DB" w:rsidRPr="00D151BF" w:rsidRDefault="003945DB" w:rsidP="00374F1D">
                            <w:pPr>
                              <w:pStyle w:val="TLKontakty"/>
                              <w:spacing w:line="240" w:lineRule="auto"/>
                              <w:rPr>
                                <w:b w:val="0"/>
                                <w:color w:val="auto"/>
                              </w:rPr>
                            </w:pPr>
                            <w:r w:rsidRPr="00D151BF">
                              <w:rPr>
                                <w:b w:val="0"/>
                                <w:color w:val="auto"/>
                              </w:rPr>
                              <w:t>phone: (+420) 274 052 304, (+420) 274 052 451 | e-mail: infoservis@czso.cz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Publication Shop</w:t>
                            </w:r>
                          </w:p>
                          <w:p w:rsidR="003945DB" w:rsidRPr="00D151BF" w:rsidRDefault="003945DB" w:rsidP="00374F1D">
                            <w:pPr>
                              <w:pStyle w:val="TLKontakty"/>
                              <w:spacing w:line="240" w:lineRule="auto"/>
                              <w:rPr>
                                <w:b w:val="0"/>
                                <w:color w:val="auto"/>
                              </w:rPr>
                            </w:pPr>
                            <w:r w:rsidRPr="00D151BF">
                              <w:rPr>
                                <w:b w:val="0"/>
                                <w:color w:val="auto"/>
                              </w:rPr>
                              <w:t>phone: (+420) 274 052 361 | e-mail: prodejna@czso.cz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European Data (ESDS), International Comparison</w:t>
                            </w:r>
                          </w:p>
                          <w:p w:rsidR="003945DB" w:rsidRPr="00D151BF" w:rsidRDefault="003945DB" w:rsidP="00374F1D">
                            <w:pPr>
                              <w:pStyle w:val="TLKontakty"/>
                              <w:spacing w:line="240" w:lineRule="auto"/>
                              <w:rPr>
                                <w:b w:val="0"/>
                                <w:color w:val="auto"/>
                              </w:rPr>
                            </w:pPr>
                            <w:r w:rsidRPr="00D151BF">
                              <w:rPr>
                                <w:b w:val="0"/>
                                <w:color w:val="auto"/>
                              </w:rPr>
                              <w:t>phone: (+420) 274 052 347, (+420) 274 052 757 | e-mail: esds@czso.cz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Central Statistical Library</w:t>
                            </w:r>
                          </w:p>
                          <w:p w:rsidR="003945DB" w:rsidRPr="00D151BF" w:rsidRDefault="003945DB" w:rsidP="00374F1D">
                            <w:pPr>
                              <w:pStyle w:val="TLKontakty"/>
                              <w:spacing w:line="240" w:lineRule="auto"/>
                              <w:rPr>
                                <w:b w:val="0"/>
                                <w:color w:val="auto"/>
                              </w:rPr>
                            </w:pPr>
                            <w:r w:rsidRPr="00D151BF">
                              <w:rPr>
                                <w:b w:val="0"/>
                                <w:color w:val="auto"/>
                              </w:rPr>
                              <w:t>phone: (+420) 274 052 361 | e-mail: knihovna@czso.cz</w:t>
                            </w:r>
                          </w:p>
                          <w:p w:rsidR="003945DB" w:rsidRPr="00E22A11" w:rsidRDefault="003945DB" w:rsidP="00374F1D">
                            <w:pPr>
                              <w:pStyle w:val="TLKontakty"/>
                              <w:spacing w:line="240" w:lineRule="auto"/>
                              <w:rPr>
                                <w:b w:val="0"/>
                                <w:color w:val="auto"/>
                              </w:rPr>
                            </w:pPr>
                          </w:p>
                          <w:p w:rsidR="003945DB" w:rsidRPr="001D563B" w:rsidRDefault="003945DB" w:rsidP="00374F1D">
                            <w:pPr>
                              <w:pStyle w:val="TLKontaktyerven"/>
                              <w:spacing w:line="240" w:lineRule="auto"/>
                            </w:pPr>
                            <w:r w:rsidRPr="001D563B">
                              <w:t>INFORMATION SERVICES IN REGIONS</w:t>
                            </w:r>
                          </w:p>
                          <w:p w:rsidR="003945DB" w:rsidRPr="00D151BF" w:rsidRDefault="003945DB" w:rsidP="00374F1D">
                            <w:pPr>
                              <w:pStyle w:val="TLKontakty"/>
                              <w:spacing w:line="240" w:lineRule="auto"/>
                              <w:rPr>
                                <w:b w:val="0"/>
                                <w:color w:val="auto"/>
                              </w:rPr>
                            </w:pPr>
                            <w:r w:rsidRPr="00D151BF">
                              <w:t>City of Prague</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274 052 673, (+420) 274 054 223 | e-mail: infoservispraha@czso.cz | </w:t>
                            </w:r>
                            <w:r w:rsidRPr="00374F1D">
                              <w:rPr>
                                <w:color w:val="auto"/>
                              </w:rPr>
                              <w:t>www.praha.czso.cz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Středočeský Region</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274 054 175 | e-mail: infoservisstc@czso.cz | </w:t>
                            </w:r>
                            <w:r w:rsidRPr="00374F1D">
                              <w:rPr>
                                <w:color w:val="auto"/>
                              </w:rPr>
                              <w:t>www.stredocesky.czso.cz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České Budějovice</w:t>
                            </w:r>
                            <w:r w:rsidRPr="00D151BF">
                              <w:rPr>
                                <w:b w:val="0"/>
                                <w:color w:val="auto"/>
                              </w:rPr>
                              <w:t xml:space="preserve"> | Žižkova 1, 370 77 České Budějovice,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386 718 440 | e-mail: infoserviscb@czso.cz | </w:t>
                            </w:r>
                            <w:r w:rsidRPr="00374F1D">
                              <w:rPr>
                                <w:color w:val="auto"/>
                              </w:rPr>
                              <w:t>www.cbudejovice.czso.cz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Plzeň</w:t>
                            </w:r>
                            <w:r w:rsidRPr="00D151BF">
                              <w:rPr>
                                <w:b w:val="0"/>
                                <w:color w:val="auto"/>
                              </w:rPr>
                              <w:t xml:space="preserve"> | Slovanská alej 36, 326 64 Plzeň, Czech Republic</w:t>
                            </w:r>
                          </w:p>
                          <w:p w:rsidR="003945DB" w:rsidRPr="00D151BF" w:rsidRDefault="003945DB" w:rsidP="00374F1D">
                            <w:pPr>
                              <w:pStyle w:val="TLKontakty"/>
                              <w:spacing w:line="240" w:lineRule="auto"/>
                              <w:rPr>
                                <w:b w:val="0"/>
                                <w:color w:val="auto"/>
                              </w:rPr>
                            </w:pPr>
                            <w:r w:rsidRPr="00D151BF">
                              <w:rPr>
                                <w:b w:val="0"/>
                                <w:color w:val="auto"/>
                              </w:rPr>
                              <w:t>phone: (+420) 377 612 108, (+</w:t>
                            </w:r>
                            <w:r w:rsidRPr="0012030F">
                              <w:rPr>
                                <w:b w:val="0"/>
                                <w:color w:val="auto"/>
                              </w:rPr>
                              <w:t>420) 377 612 145 | e</w:t>
                            </w:r>
                            <w:r w:rsidRPr="00D151BF">
                              <w:rPr>
                                <w:b w:val="0"/>
                                <w:color w:val="auto"/>
                              </w:rPr>
                              <w:t xml:space="preserve">-mail: infoservisplzen@czso.cz | </w:t>
                            </w:r>
                            <w:r w:rsidRPr="00374F1D">
                              <w:rPr>
                                <w:color w:val="auto"/>
                              </w:rPr>
                              <w:t>www.plzen.czso.cz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Karlovy Vary</w:t>
                            </w:r>
                            <w:r w:rsidRPr="00D151BF">
                              <w:rPr>
                                <w:b w:val="0"/>
                                <w:color w:val="auto"/>
                              </w:rPr>
                              <w:t xml:space="preserve"> | </w:t>
                            </w:r>
                            <w:r w:rsidRPr="002F2092">
                              <w:rPr>
                                <w:b w:val="0"/>
                                <w:color w:val="auto"/>
                              </w:rPr>
                              <w:t>Závodní 360/94, 360 06 Karlovy Vary</w:t>
                            </w:r>
                            <w:r w:rsidRPr="00D151BF">
                              <w:rPr>
                                <w:b w:val="0"/>
                                <w:color w:val="auto"/>
                              </w:rPr>
                              <w:t>,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353 114 529, (+420) 353 114 525 | e-mail: infoserviskv@czso.cz | </w:t>
                            </w:r>
                            <w:r w:rsidRPr="00374F1D">
                              <w:rPr>
                                <w:color w:val="auto"/>
                              </w:rPr>
                              <w:t>www.kvary.czso.cz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Ústí nad Labem</w:t>
                            </w:r>
                            <w:r w:rsidRPr="00D151BF">
                              <w:rPr>
                                <w:b w:val="0"/>
                                <w:color w:val="auto"/>
                              </w:rPr>
                              <w:t xml:space="preserve"> | Špálova 2684, 400 11 Ústí nad Labem, Czech Republic</w:t>
                            </w:r>
                          </w:p>
                          <w:p w:rsidR="003945DB" w:rsidRPr="00D151BF" w:rsidRDefault="003945DB" w:rsidP="00374F1D">
                            <w:pPr>
                              <w:pStyle w:val="TLKontakty"/>
                              <w:spacing w:line="240" w:lineRule="auto"/>
                              <w:rPr>
                                <w:b w:val="0"/>
                                <w:color w:val="auto"/>
                              </w:rPr>
                            </w:pPr>
                            <w:r w:rsidRPr="00D151BF">
                              <w:rPr>
                                <w:b w:val="0"/>
                                <w:color w:val="auto"/>
                              </w:rPr>
                              <w:t>phone: (+420) 472 706 176, (+420) 472 706 121 | e-mail: infoservisul@czso.cz</w:t>
                            </w:r>
                          </w:p>
                          <w:p w:rsidR="003945DB" w:rsidRPr="00374F1D" w:rsidRDefault="003945DB" w:rsidP="00374F1D">
                            <w:pPr>
                              <w:pStyle w:val="TLKontakty"/>
                              <w:spacing w:line="240" w:lineRule="auto"/>
                              <w:rPr>
                                <w:b w:val="0"/>
                                <w:color w:val="auto"/>
                              </w:rPr>
                            </w:pPr>
                            <w:r w:rsidRPr="00374F1D">
                              <w:rPr>
                                <w:color w:val="auto"/>
                              </w:rPr>
                              <w:t>www.ustinadlabem.czso.cz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Liberec</w:t>
                            </w:r>
                            <w:r w:rsidRPr="00D151BF">
                              <w:rPr>
                                <w:b w:val="0"/>
                                <w:color w:val="auto"/>
                              </w:rPr>
                              <w:t xml:space="preserve"> | Nám. Dr. Edvarda Beneše 585/26, 460 01 Liberec 1,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485 238 811 | e-mail: infoservislbc@czso.cz | </w:t>
                            </w:r>
                            <w:r w:rsidRPr="00E22A11">
                              <w:rPr>
                                <w:color w:val="auto"/>
                              </w:rPr>
                              <w:t>www.liberec.czso.cz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Hradec Králové</w:t>
                            </w:r>
                            <w:r w:rsidRPr="00D151BF">
                              <w:rPr>
                                <w:b w:val="0"/>
                                <w:color w:val="auto"/>
                              </w:rPr>
                              <w:t xml:space="preserve"> | Myslivečkova 914, 500 03 Hradec Králové 3, Czech Republic</w:t>
                            </w:r>
                          </w:p>
                          <w:p w:rsidR="003945DB" w:rsidRPr="00D151BF" w:rsidRDefault="003945DB" w:rsidP="00374F1D">
                            <w:pPr>
                              <w:pStyle w:val="TLKontakty"/>
                              <w:spacing w:line="240" w:lineRule="auto"/>
                              <w:rPr>
                                <w:b w:val="0"/>
                                <w:color w:val="auto"/>
                              </w:rPr>
                            </w:pPr>
                            <w:r w:rsidRPr="00D151BF">
                              <w:rPr>
                                <w:b w:val="0"/>
                                <w:color w:val="auto"/>
                              </w:rPr>
                              <w:t>phone: (+420) 495 762 322, (+420) 495 762 317 | e-mail: infoservishk@czso.cz</w:t>
                            </w:r>
                          </w:p>
                          <w:p w:rsidR="003945DB" w:rsidRPr="00E22A11" w:rsidRDefault="003945DB" w:rsidP="00374F1D">
                            <w:pPr>
                              <w:pStyle w:val="TLKontakty"/>
                              <w:spacing w:line="240" w:lineRule="auto"/>
                              <w:rPr>
                                <w:color w:val="auto"/>
                              </w:rPr>
                            </w:pPr>
                            <w:r w:rsidRPr="00E22A11">
                              <w:rPr>
                                <w:color w:val="auto"/>
                              </w:rPr>
                              <w:t>www.hradeckralove.czso.cz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Pardubice</w:t>
                            </w:r>
                            <w:r w:rsidRPr="00D151BF">
                              <w:rPr>
                                <w:b w:val="0"/>
                                <w:color w:val="auto"/>
                              </w:rPr>
                              <w:t xml:space="preserve"> | V Ráji 872, 531 53 Pardubice,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466 743 480, (+420) 466 743 418 | e-mail: infoservispa@czso.cz | </w:t>
                            </w:r>
                            <w:r w:rsidRPr="00E22A11">
                              <w:rPr>
                                <w:color w:val="auto"/>
                              </w:rPr>
                              <w:t>www.pardubice.czso.cz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Jihlava</w:t>
                            </w:r>
                            <w:r w:rsidRPr="00D151BF">
                              <w:rPr>
                                <w:b w:val="0"/>
                                <w:color w:val="auto"/>
                              </w:rPr>
                              <w:t xml:space="preserve"> | Ke Skalce 30, 586 01 Jihlava,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567 109 062, (+420) 567 109 073 | e-mail: infoservisvys@czso.cz | </w:t>
                            </w:r>
                            <w:r w:rsidRPr="0012030F">
                              <w:rPr>
                                <w:color w:val="auto"/>
                              </w:rPr>
                              <w:t>www.jihlava.czso.cz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 xml:space="preserve">Brno </w:t>
                            </w:r>
                            <w:r w:rsidRPr="00D151BF">
                              <w:rPr>
                                <w:b w:val="0"/>
                                <w:color w:val="auto"/>
                              </w:rPr>
                              <w:t>| Jezuitská 2, 601 59 Brno,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542 528 115, (+420) 542 528 200 | e-mail: infoservisbrno@czso.cz | </w:t>
                            </w:r>
                            <w:r w:rsidRPr="0012030F">
                              <w:rPr>
                                <w:color w:val="auto"/>
                              </w:rPr>
                              <w:t>www.brno.czso.cz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Olomouc</w:t>
                            </w:r>
                            <w:r w:rsidRPr="00D151BF">
                              <w:rPr>
                                <w:b w:val="0"/>
                                <w:color w:val="auto"/>
                              </w:rPr>
                              <w:t xml:space="preserve"> | Jeremenkova 1142/42, 772 11 Olomouc,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585 731 516, (+420) 585 731 511 | e-mail: infoservisolom@czso.cz | </w:t>
                            </w:r>
                            <w:r w:rsidRPr="0012030F">
                              <w:rPr>
                                <w:color w:val="auto"/>
                              </w:rPr>
                              <w:t>www.olomouc.czso.cz</w:t>
                            </w:r>
                          </w:p>
                          <w:p w:rsidR="003945DB" w:rsidRPr="00374F1D" w:rsidRDefault="003945DB" w:rsidP="00374F1D">
                            <w:pPr>
                              <w:pStyle w:val="TLKontakty"/>
                              <w:spacing w:line="240" w:lineRule="auto"/>
                              <w:rPr>
                                <w:b w:val="0"/>
                                <w:color w:val="auto"/>
                              </w:rPr>
                            </w:pPr>
                          </w:p>
                          <w:p w:rsidR="003945DB" w:rsidRPr="00374F1D" w:rsidRDefault="003945DB" w:rsidP="00374F1D">
                            <w:pPr>
                              <w:pStyle w:val="TLKontakty"/>
                              <w:spacing w:line="240" w:lineRule="auto"/>
                              <w:rPr>
                                <w:b w:val="0"/>
                                <w:color w:val="auto"/>
                              </w:rPr>
                            </w:pPr>
                            <w:r w:rsidRPr="00D151BF">
                              <w:t>Zlín</w:t>
                            </w:r>
                            <w:r w:rsidRPr="00374F1D">
                              <w:rPr>
                                <w:b w:val="0"/>
                                <w:color w:val="auto"/>
                              </w:rPr>
                              <w:t xml:space="preserve"> | tř. Tomáše Bati 1565, 761 76 Zlín, Czech Republic</w:t>
                            </w:r>
                          </w:p>
                          <w:p w:rsidR="003945DB" w:rsidRPr="0012030F" w:rsidRDefault="003945DB" w:rsidP="00374F1D">
                            <w:pPr>
                              <w:pStyle w:val="TLKontakty"/>
                              <w:spacing w:line="240" w:lineRule="auto"/>
                              <w:rPr>
                                <w:color w:val="auto"/>
                              </w:rPr>
                            </w:pPr>
                            <w:r w:rsidRPr="0012030F">
                              <w:rPr>
                                <w:b w:val="0"/>
                                <w:color w:val="auto"/>
                              </w:rPr>
                              <w:t xml:space="preserve">phone: (+420) 577 004 932, (+420) 577 004 935 | e-mail: infoservis-zl@czso.cz | </w:t>
                            </w:r>
                            <w:r w:rsidRPr="0012030F">
                              <w:rPr>
                                <w:color w:val="auto"/>
                              </w:rPr>
                              <w:t>www.zlin.czso.cz</w:t>
                            </w:r>
                          </w:p>
                          <w:p w:rsidR="003945DB" w:rsidRPr="00D151BF" w:rsidRDefault="003945DB" w:rsidP="002F2092">
                            <w:pPr>
                              <w:pStyle w:val="TLKontakty"/>
                              <w:spacing w:line="240" w:lineRule="auto"/>
                              <w:rPr>
                                <w:b w:val="0"/>
                                <w:color w:val="auto"/>
                              </w:rPr>
                            </w:pPr>
                          </w:p>
                          <w:p w:rsidR="003945DB" w:rsidRPr="00374F1D" w:rsidRDefault="003945DB" w:rsidP="002F2092">
                            <w:pPr>
                              <w:pStyle w:val="TLKontakty"/>
                              <w:spacing w:line="240" w:lineRule="auto"/>
                              <w:rPr>
                                <w:b w:val="0"/>
                                <w:color w:val="auto"/>
                              </w:rPr>
                            </w:pPr>
                            <w:r w:rsidRPr="00D151BF">
                              <w:t>Ostrava</w:t>
                            </w:r>
                            <w:r w:rsidRPr="00374F1D">
                              <w:rPr>
                                <w:b w:val="0"/>
                                <w:color w:val="auto"/>
                              </w:rPr>
                              <w:t xml:space="preserve"> | Repinova 17, 702 03 Ostrava, Czech Republic</w:t>
                            </w:r>
                          </w:p>
                          <w:p w:rsidR="003945DB" w:rsidRPr="00374F1D" w:rsidRDefault="003945DB" w:rsidP="00374F1D">
                            <w:pPr>
                              <w:pStyle w:val="TLKontakty"/>
                              <w:spacing w:line="240" w:lineRule="auto"/>
                              <w:rPr>
                                <w:b w:val="0"/>
                                <w:color w:val="auto"/>
                              </w:rPr>
                            </w:pPr>
                            <w:r w:rsidRPr="00374F1D">
                              <w:rPr>
                                <w:b w:val="0"/>
                                <w:color w:val="auto"/>
                              </w:rPr>
                              <w:t xml:space="preserve">phone: (+420) 595 131 230, (+420) 595 131 232 | e-mail: infoservis_ov@czso.cz | </w:t>
                            </w:r>
                            <w:r w:rsidRPr="00E22A11">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pt;margin-top:57pt;width:481.85pt;height:7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" filled="f" stroked="f">
                <v:textbox style="mso-fit-shape-to-text:t" inset="0,0,0,0">
                  <w:txbxContent>
                    <w:p w:rsidR="003945DB" w:rsidRPr="001D563B" w:rsidRDefault="003945DB" w:rsidP="00374F1D">
                      <w:pPr>
                        <w:pStyle w:val="TLKontaktyerven"/>
                        <w:spacing w:line="240" w:lineRule="auto"/>
                      </w:pPr>
                      <w:r w:rsidRPr="001D563B">
                        <w:t>CZSO Headquarters</w:t>
                      </w:r>
                      <w:r>
                        <w:t xml:space="preserve"> </w:t>
                      </w:r>
                      <w:r w:rsidRPr="001D563B">
                        <w:t>CONTACTS</w:t>
                      </w:r>
                    </w:p>
                    <w:p w:rsidR="003945DB" w:rsidRPr="00D151BF" w:rsidRDefault="003945DB" w:rsidP="00374F1D">
                      <w:pPr>
                        <w:pStyle w:val="TLKontakty"/>
                        <w:spacing w:line="240" w:lineRule="auto"/>
                        <w:rPr>
                          <w:b w:val="0"/>
                          <w:color w:val="auto"/>
                        </w:rPr>
                      </w:pPr>
                      <w:r w:rsidRPr="00D151BF">
                        <w:t>Czech Statistical Office</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274 051 111 | </w:t>
                      </w:r>
                      <w:r w:rsidRPr="00374F1D">
                        <w:rPr>
                          <w:color w:val="auto"/>
                        </w:rPr>
                        <w:t>www.czso.cz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Information Services Department</w:t>
                      </w:r>
                    </w:p>
                    <w:p w:rsidR="003945DB" w:rsidRPr="00D151BF" w:rsidRDefault="003945DB" w:rsidP="00374F1D">
                      <w:pPr>
                        <w:pStyle w:val="TLKontakty"/>
                        <w:spacing w:line="240" w:lineRule="auto"/>
                        <w:rPr>
                          <w:b w:val="0"/>
                          <w:color w:val="auto"/>
                        </w:rPr>
                      </w:pPr>
                      <w:r w:rsidRPr="00D151BF">
                        <w:rPr>
                          <w:b w:val="0"/>
                          <w:color w:val="auto"/>
                        </w:rPr>
                        <w:t>phone: (+420) 274 052 304, (+420) 274 052 451 | e-mail: infoservis@czso.cz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Publication Shop</w:t>
                      </w:r>
                    </w:p>
                    <w:p w:rsidR="003945DB" w:rsidRPr="00D151BF" w:rsidRDefault="003945DB" w:rsidP="00374F1D">
                      <w:pPr>
                        <w:pStyle w:val="TLKontakty"/>
                        <w:spacing w:line="240" w:lineRule="auto"/>
                        <w:rPr>
                          <w:b w:val="0"/>
                          <w:color w:val="auto"/>
                        </w:rPr>
                      </w:pPr>
                      <w:r w:rsidRPr="00D151BF">
                        <w:rPr>
                          <w:b w:val="0"/>
                          <w:color w:val="auto"/>
                        </w:rPr>
                        <w:t>phone: (+420) 274 052 361 | e-mail: prodejna@czso.cz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European Data (ESDS), International Comparison</w:t>
                      </w:r>
                    </w:p>
                    <w:p w:rsidR="003945DB" w:rsidRPr="00D151BF" w:rsidRDefault="003945DB" w:rsidP="00374F1D">
                      <w:pPr>
                        <w:pStyle w:val="TLKontakty"/>
                        <w:spacing w:line="240" w:lineRule="auto"/>
                        <w:rPr>
                          <w:b w:val="0"/>
                          <w:color w:val="auto"/>
                        </w:rPr>
                      </w:pPr>
                      <w:r w:rsidRPr="00D151BF">
                        <w:rPr>
                          <w:b w:val="0"/>
                          <w:color w:val="auto"/>
                        </w:rPr>
                        <w:t>phone: (+420) 274 052 347, (+420) 274 052 757 | e-mail: esds@czso.cz</w:t>
                      </w:r>
                    </w:p>
                    <w:p w:rsidR="003945DB" w:rsidRPr="00E22A11" w:rsidRDefault="003945DB" w:rsidP="00374F1D">
                      <w:pPr>
                        <w:pStyle w:val="TLKontakty"/>
                        <w:spacing w:line="240" w:lineRule="auto"/>
                        <w:rPr>
                          <w:b w:val="0"/>
                          <w:color w:val="auto"/>
                        </w:rPr>
                      </w:pPr>
                    </w:p>
                    <w:p w:rsidR="003945DB" w:rsidRPr="00D151BF" w:rsidRDefault="003945DB" w:rsidP="00374F1D">
                      <w:pPr>
                        <w:pStyle w:val="TLKontakty"/>
                        <w:spacing w:line="240" w:lineRule="auto"/>
                        <w:rPr>
                          <w:color w:val="auto"/>
                        </w:rPr>
                      </w:pPr>
                      <w:r w:rsidRPr="00D151BF">
                        <w:rPr>
                          <w:color w:val="auto"/>
                        </w:rPr>
                        <w:t>Central Statistical Library</w:t>
                      </w:r>
                    </w:p>
                    <w:p w:rsidR="003945DB" w:rsidRPr="00D151BF" w:rsidRDefault="003945DB" w:rsidP="00374F1D">
                      <w:pPr>
                        <w:pStyle w:val="TLKontakty"/>
                        <w:spacing w:line="240" w:lineRule="auto"/>
                        <w:rPr>
                          <w:b w:val="0"/>
                          <w:color w:val="auto"/>
                        </w:rPr>
                      </w:pPr>
                      <w:r w:rsidRPr="00D151BF">
                        <w:rPr>
                          <w:b w:val="0"/>
                          <w:color w:val="auto"/>
                        </w:rPr>
                        <w:t>phone: (+420) 274 052 361 | e-mail: knihovna@czso.cz</w:t>
                      </w:r>
                    </w:p>
                    <w:p w:rsidR="003945DB" w:rsidRPr="00E22A11" w:rsidRDefault="003945DB" w:rsidP="00374F1D">
                      <w:pPr>
                        <w:pStyle w:val="TLKontakty"/>
                        <w:spacing w:line="240" w:lineRule="auto"/>
                        <w:rPr>
                          <w:b w:val="0"/>
                          <w:color w:val="auto"/>
                        </w:rPr>
                      </w:pPr>
                    </w:p>
                    <w:p w:rsidR="003945DB" w:rsidRPr="001D563B" w:rsidRDefault="003945DB" w:rsidP="00374F1D">
                      <w:pPr>
                        <w:pStyle w:val="TLKontaktyerven"/>
                        <w:spacing w:line="240" w:lineRule="auto"/>
                      </w:pPr>
                      <w:r w:rsidRPr="001D563B">
                        <w:t>INFORMATION SERVICES IN REGIONS</w:t>
                      </w:r>
                    </w:p>
                    <w:p w:rsidR="003945DB" w:rsidRPr="00D151BF" w:rsidRDefault="003945DB" w:rsidP="00374F1D">
                      <w:pPr>
                        <w:pStyle w:val="TLKontakty"/>
                        <w:spacing w:line="240" w:lineRule="auto"/>
                        <w:rPr>
                          <w:b w:val="0"/>
                          <w:color w:val="auto"/>
                        </w:rPr>
                      </w:pPr>
                      <w:r w:rsidRPr="00D151BF">
                        <w:t>City of Prague</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274 052 673, (+420) 274 054 223 | e-mail: infoservispraha@czso.cz | </w:t>
                      </w:r>
                      <w:r w:rsidRPr="00374F1D">
                        <w:rPr>
                          <w:color w:val="auto"/>
                        </w:rPr>
                        <w:t>www.praha.czso.cz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Středočeský Region</w:t>
                      </w:r>
                      <w:r w:rsidRPr="00D151BF">
                        <w:rPr>
                          <w:b w:val="0"/>
                          <w:color w:val="auto"/>
                        </w:rPr>
                        <w:t xml:space="preserve"> | Na padesátém 81, 100 82 Praha 10,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274 054 175 | e-mail: infoservisstc@czso.cz | </w:t>
                      </w:r>
                      <w:r w:rsidRPr="00374F1D">
                        <w:rPr>
                          <w:color w:val="auto"/>
                        </w:rPr>
                        <w:t>www.stredocesky.czso.cz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České Budějovice</w:t>
                      </w:r>
                      <w:r w:rsidRPr="00D151BF">
                        <w:rPr>
                          <w:b w:val="0"/>
                          <w:color w:val="auto"/>
                        </w:rPr>
                        <w:t xml:space="preserve"> | Žižkova 1, 370 77 České Budějovice,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386 718 440 | e-mail: infoserviscb@czso.cz | </w:t>
                      </w:r>
                      <w:r w:rsidRPr="00374F1D">
                        <w:rPr>
                          <w:color w:val="auto"/>
                        </w:rPr>
                        <w:t>www.cbudejovice.czso.cz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Plzeň</w:t>
                      </w:r>
                      <w:r w:rsidRPr="00D151BF">
                        <w:rPr>
                          <w:b w:val="0"/>
                          <w:color w:val="auto"/>
                        </w:rPr>
                        <w:t xml:space="preserve"> | Slovanská alej 36, 326 64 Plzeň, Czech Republic</w:t>
                      </w:r>
                    </w:p>
                    <w:p w:rsidR="003945DB" w:rsidRPr="00D151BF" w:rsidRDefault="003945DB" w:rsidP="00374F1D">
                      <w:pPr>
                        <w:pStyle w:val="TLKontakty"/>
                        <w:spacing w:line="240" w:lineRule="auto"/>
                        <w:rPr>
                          <w:b w:val="0"/>
                          <w:color w:val="auto"/>
                        </w:rPr>
                      </w:pPr>
                      <w:r w:rsidRPr="00D151BF">
                        <w:rPr>
                          <w:b w:val="0"/>
                          <w:color w:val="auto"/>
                        </w:rPr>
                        <w:t>phone: (+420) 377 612 108, (+</w:t>
                      </w:r>
                      <w:r w:rsidRPr="0012030F">
                        <w:rPr>
                          <w:b w:val="0"/>
                          <w:color w:val="auto"/>
                        </w:rPr>
                        <w:t>420) 377 612 145 | e</w:t>
                      </w:r>
                      <w:r w:rsidRPr="00D151BF">
                        <w:rPr>
                          <w:b w:val="0"/>
                          <w:color w:val="auto"/>
                        </w:rPr>
                        <w:t xml:space="preserve">-mail: infoservisplzen@czso.cz | </w:t>
                      </w:r>
                      <w:r w:rsidRPr="00374F1D">
                        <w:rPr>
                          <w:color w:val="auto"/>
                        </w:rPr>
                        <w:t>www.plzen.czso.cz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Karlovy Vary</w:t>
                      </w:r>
                      <w:r w:rsidRPr="00D151BF">
                        <w:rPr>
                          <w:b w:val="0"/>
                          <w:color w:val="auto"/>
                        </w:rPr>
                        <w:t xml:space="preserve"> | </w:t>
                      </w:r>
                      <w:r w:rsidRPr="002F2092">
                        <w:rPr>
                          <w:b w:val="0"/>
                          <w:color w:val="auto"/>
                        </w:rPr>
                        <w:t>Závodní 360/94, 360 06 Karlovy Vary</w:t>
                      </w:r>
                      <w:r w:rsidRPr="00D151BF">
                        <w:rPr>
                          <w:b w:val="0"/>
                          <w:color w:val="auto"/>
                        </w:rPr>
                        <w:t>,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353 114 529, (+420) 353 114 525 | e-mail: infoserviskv@czso.cz | </w:t>
                      </w:r>
                      <w:r w:rsidRPr="00374F1D">
                        <w:rPr>
                          <w:color w:val="auto"/>
                        </w:rPr>
                        <w:t>www.kvary.czso.cz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Ústí nad Labem</w:t>
                      </w:r>
                      <w:r w:rsidRPr="00D151BF">
                        <w:rPr>
                          <w:b w:val="0"/>
                          <w:color w:val="auto"/>
                        </w:rPr>
                        <w:t xml:space="preserve"> | Špálova 2684, 400 11 Ústí nad Labem, Czech Republic</w:t>
                      </w:r>
                    </w:p>
                    <w:p w:rsidR="003945DB" w:rsidRPr="00D151BF" w:rsidRDefault="003945DB" w:rsidP="00374F1D">
                      <w:pPr>
                        <w:pStyle w:val="TLKontakty"/>
                        <w:spacing w:line="240" w:lineRule="auto"/>
                        <w:rPr>
                          <w:b w:val="0"/>
                          <w:color w:val="auto"/>
                        </w:rPr>
                      </w:pPr>
                      <w:r w:rsidRPr="00D151BF">
                        <w:rPr>
                          <w:b w:val="0"/>
                          <w:color w:val="auto"/>
                        </w:rPr>
                        <w:t>phone: (+420) 472 706 176, (+420) 472 706 121 | e-mail: infoservisul@czso.cz</w:t>
                      </w:r>
                    </w:p>
                    <w:p w:rsidR="003945DB" w:rsidRPr="00374F1D" w:rsidRDefault="003945DB" w:rsidP="00374F1D">
                      <w:pPr>
                        <w:pStyle w:val="TLKontakty"/>
                        <w:spacing w:line="240" w:lineRule="auto"/>
                        <w:rPr>
                          <w:b w:val="0"/>
                          <w:color w:val="auto"/>
                        </w:rPr>
                      </w:pPr>
                      <w:r w:rsidRPr="00374F1D">
                        <w:rPr>
                          <w:color w:val="auto"/>
                        </w:rPr>
                        <w:t>www.ustinadlabem.czso.cz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Liberec</w:t>
                      </w:r>
                      <w:r w:rsidRPr="00D151BF">
                        <w:rPr>
                          <w:b w:val="0"/>
                          <w:color w:val="auto"/>
                        </w:rPr>
                        <w:t xml:space="preserve"> | Nám. Dr. Edvarda Beneše 585/26, 460 01 Liberec 1,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485 238 811 | e-mail: infoservislbc@czso.cz | </w:t>
                      </w:r>
                      <w:r w:rsidRPr="00E22A11">
                        <w:rPr>
                          <w:color w:val="auto"/>
                        </w:rPr>
                        <w:t>www.liberec.czso.cz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Hradec Králové</w:t>
                      </w:r>
                      <w:r w:rsidRPr="00D151BF">
                        <w:rPr>
                          <w:b w:val="0"/>
                          <w:color w:val="auto"/>
                        </w:rPr>
                        <w:t xml:space="preserve"> | Myslivečkova 914, 500 03 Hradec Králové 3, Czech Republic</w:t>
                      </w:r>
                    </w:p>
                    <w:p w:rsidR="003945DB" w:rsidRPr="00D151BF" w:rsidRDefault="003945DB" w:rsidP="00374F1D">
                      <w:pPr>
                        <w:pStyle w:val="TLKontakty"/>
                        <w:spacing w:line="240" w:lineRule="auto"/>
                        <w:rPr>
                          <w:b w:val="0"/>
                          <w:color w:val="auto"/>
                        </w:rPr>
                      </w:pPr>
                      <w:r w:rsidRPr="00D151BF">
                        <w:rPr>
                          <w:b w:val="0"/>
                          <w:color w:val="auto"/>
                        </w:rPr>
                        <w:t>phone: (+420) 495 762 322, (+420) 495 762 317 | e-mail: infoservishk@czso.cz</w:t>
                      </w:r>
                    </w:p>
                    <w:p w:rsidR="003945DB" w:rsidRPr="00E22A11" w:rsidRDefault="003945DB" w:rsidP="00374F1D">
                      <w:pPr>
                        <w:pStyle w:val="TLKontakty"/>
                        <w:spacing w:line="240" w:lineRule="auto"/>
                        <w:rPr>
                          <w:color w:val="auto"/>
                        </w:rPr>
                      </w:pPr>
                      <w:r w:rsidRPr="00E22A11">
                        <w:rPr>
                          <w:color w:val="auto"/>
                        </w:rPr>
                        <w:t>www.hradeckralove.czso.cz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Pardubice</w:t>
                      </w:r>
                      <w:r w:rsidRPr="00D151BF">
                        <w:rPr>
                          <w:b w:val="0"/>
                          <w:color w:val="auto"/>
                        </w:rPr>
                        <w:t xml:space="preserve"> | V Ráji 872, 531 53 Pardubice, Czech Republic</w:t>
                      </w:r>
                    </w:p>
                    <w:p w:rsidR="003945DB" w:rsidRPr="00D151BF" w:rsidRDefault="003945DB" w:rsidP="00374F1D">
                      <w:pPr>
                        <w:pStyle w:val="TLKontakty"/>
                        <w:spacing w:line="240" w:lineRule="auto"/>
                        <w:rPr>
                          <w:b w:val="0"/>
                          <w:color w:val="auto"/>
                        </w:rPr>
                      </w:pPr>
                      <w:r w:rsidRPr="00D151BF">
                        <w:rPr>
                          <w:b w:val="0"/>
                          <w:color w:val="auto"/>
                        </w:rPr>
                        <w:t xml:space="preserve">phone: (+420) 466 743 480, (+420) 466 743 418 | e-mail: infoservispa@czso.cz | </w:t>
                      </w:r>
                      <w:r w:rsidRPr="00E22A11">
                        <w:rPr>
                          <w:color w:val="auto"/>
                        </w:rPr>
                        <w:t>www.pardubice.czso.cz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Jihlava</w:t>
                      </w:r>
                      <w:r w:rsidRPr="00D151BF">
                        <w:rPr>
                          <w:b w:val="0"/>
                          <w:color w:val="auto"/>
                        </w:rPr>
                        <w:t xml:space="preserve"> | Ke Skalce 30, 586 01 Jihlava,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567 109 062, (+420) 567 109 073 | e-mail: infoservisvys@czso.cz | </w:t>
                      </w:r>
                      <w:r w:rsidRPr="0012030F">
                        <w:rPr>
                          <w:color w:val="auto"/>
                        </w:rPr>
                        <w:t>www.jihlava.czso.cz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 xml:space="preserve">Brno </w:t>
                      </w:r>
                      <w:r w:rsidRPr="00D151BF">
                        <w:rPr>
                          <w:b w:val="0"/>
                          <w:color w:val="auto"/>
                        </w:rPr>
                        <w:t>| Jezuitská 2, 601 59 Brno,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542 528 115, (+420) 542 528 200 | e-mail: infoservisbrno@czso.cz | </w:t>
                      </w:r>
                      <w:r w:rsidRPr="0012030F">
                        <w:rPr>
                          <w:color w:val="auto"/>
                        </w:rPr>
                        <w:t>www.brno.czso.cz</w:t>
                      </w:r>
                    </w:p>
                    <w:p w:rsidR="003945DB" w:rsidRPr="00D151BF" w:rsidRDefault="003945DB" w:rsidP="00374F1D">
                      <w:pPr>
                        <w:pStyle w:val="TLKontakty"/>
                        <w:spacing w:line="240" w:lineRule="auto"/>
                        <w:rPr>
                          <w:b w:val="0"/>
                          <w:color w:val="auto"/>
                        </w:rPr>
                      </w:pPr>
                    </w:p>
                    <w:p w:rsidR="003945DB" w:rsidRPr="00D151BF" w:rsidRDefault="003945DB" w:rsidP="00374F1D">
                      <w:pPr>
                        <w:pStyle w:val="TLKontakty"/>
                        <w:spacing w:line="240" w:lineRule="auto"/>
                        <w:rPr>
                          <w:b w:val="0"/>
                          <w:color w:val="auto"/>
                        </w:rPr>
                      </w:pPr>
                      <w:r w:rsidRPr="00D151BF">
                        <w:t>Olomouc</w:t>
                      </w:r>
                      <w:r w:rsidRPr="00D151BF">
                        <w:rPr>
                          <w:b w:val="0"/>
                          <w:color w:val="auto"/>
                        </w:rPr>
                        <w:t xml:space="preserve"> | Jeremenkova 1142/42, 772 11 Olomouc, Czech Republic</w:t>
                      </w:r>
                    </w:p>
                    <w:p w:rsidR="003945DB" w:rsidRPr="0012030F" w:rsidRDefault="003945DB" w:rsidP="00374F1D">
                      <w:pPr>
                        <w:pStyle w:val="TLKontakty"/>
                        <w:spacing w:line="240" w:lineRule="auto"/>
                        <w:rPr>
                          <w:b w:val="0"/>
                          <w:color w:val="auto"/>
                        </w:rPr>
                      </w:pPr>
                      <w:r w:rsidRPr="0012030F">
                        <w:rPr>
                          <w:b w:val="0"/>
                          <w:color w:val="auto"/>
                        </w:rPr>
                        <w:t xml:space="preserve">phone: (+420) 585 731 516, (+420) 585 731 511 | e-mail: infoservisolom@czso.cz | </w:t>
                      </w:r>
                      <w:r w:rsidRPr="0012030F">
                        <w:rPr>
                          <w:color w:val="auto"/>
                        </w:rPr>
                        <w:t>www.olomouc.czso.cz</w:t>
                      </w:r>
                    </w:p>
                    <w:p w:rsidR="003945DB" w:rsidRPr="00374F1D" w:rsidRDefault="003945DB" w:rsidP="00374F1D">
                      <w:pPr>
                        <w:pStyle w:val="TLKontakty"/>
                        <w:spacing w:line="240" w:lineRule="auto"/>
                        <w:rPr>
                          <w:b w:val="0"/>
                          <w:color w:val="auto"/>
                        </w:rPr>
                      </w:pPr>
                    </w:p>
                    <w:p w:rsidR="003945DB" w:rsidRPr="00374F1D" w:rsidRDefault="003945DB" w:rsidP="00374F1D">
                      <w:pPr>
                        <w:pStyle w:val="TLKontakty"/>
                        <w:spacing w:line="240" w:lineRule="auto"/>
                        <w:rPr>
                          <w:b w:val="0"/>
                          <w:color w:val="auto"/>
                        </w:rPr>
                      </w:pPr>
                      <w:r w:rsidRPr="00D151BF">
                        <w:t>Zlín</w:t>
                      </w:r>
                      <w:r w:rsidRPr="00374F1D">
                        <w:rPr>
                          <w:b w:val="0"/>
                          <w:color w:val="auto"/>
                        </w:rPr>
                        <w:t xml:space="preserve"> | tř. Tomáše Bati 1565, 761 76 Zlín, Czech Republic</w:t>
                      </w:r>
                    </w:p>
                    <w:p w:rsidR="003945DB" w:rsidRPr="0012030F" w:rsidRDefault="003945DB" w:rsidP="00374F1D">
                      <w:pPr>
                        <w:pStyle w:val="TLKontakty"/>
                        <w:spacing w:line="240" w:lineRule="auto"/>
                        <w:rPr>
                          <w:color w:val="auto"/>
                        </w:rPr>
                      </w:pPr>
                      <w:r w:rsidRPr="0012030F">
                        <w:rPr>
                          <w:b w:val="0"/>
                          <w:color w:val="auto"/>
                        </w:rPr>
                        <w:t xml:space="preserve">phone: (+420) 577 004 932, (+420) 577 004 935 | e-mail: infoservis-zl@czso.cz | </w:t>
                      </w:r>
                      <w:r w:rsidRPr="0012030F">
                        <w:rPr>
                          <w:color w:val="auto"/>
                        </w:rPr>
                        <w:t>www.zlin.czso.cz</w:t>
                      </w:r>
                    </w:p>
                    <w:p w:rsidR="003945DB" w:rsidRPr="00D151BF" w:rsidRDefault="003945DB" w:rsidP="002F2092">
                      <w:pPr>
                        <w:pStyle w:val="TLKontakty"/>
                        <w:spacing w:line="240" w:lineRule="auto"/>
                        <w:rPr>
                          <w:b w:val="0"/>
                          <w:color w:val="auto"/>
                        </w:rPr>
                      </w:pPr>
                    </w:p>
                    <w:p w:rsidR="003945DB" w:rsidRPr="00374F1D" w:rsidRDefault="003945DB" w:rsidP="002F2092">
                      <w:pPr>
                        <w:pStyle w:val="TLKontakty"/>
                        <w:spacing w:line="240" w:lineRule="auto"/>
                        <w:rPr>
                          <w:b w:val="0"/>
                          <w:color w:val="auto"/>
                        </w:rPr>
                      </w:pPr>
                      <w:r w:rsidRPr="00D151BF">
                        <w:t>Ostrava</w:t>
                      </w:r>
                      <w:r w:rsidRPr="00374F1D">
                        <w:rPr>
                          <w:b w:val="0"/>
                          <w:color w:val="auto"/>
                        </w:rPr>
                        <w:t xml:space="preserve"> | Repinova 17, 702 03 Ostrava, Czech Republic</w:t>
                      </w:r>
                    </w:p>
                    <w:p w:rsidR="003945DB" w:rsidRPr="00374F1D" w:rsidRDefault="003945DB" w:rsidP="00374F1D">
                      <w:pPr>
                        <w:pStyle w:val="TLKontakty"/>
                        <w:spacing w:line="240" w:lineRule="auto"/>
                        <w:rPr>
                          <w:b w:val="0"/>
                          <w:color w:val="auto"/>
                        </w:rPr>
                      </w:pPr>
                      <w:r w:rsidRPr="00374F1D">
                        <w:rPr>
                          <w:b w:val="0"/>
                          <w:color w:val="auto"/>
                        </w:rPr>
                        <w:t xml:space="preserve">phone: (+420) 595 131 230, (+420) 595 131 232 | e-mail: infoservis_ov@czso.cz | </w:t>
                      </w:r>
                      <w:r w:rsidRPr="00E22A11">
                        <w:rPr>
                          <w:color w:val="auto"/>
                        </w:rPr>
                        <w:t>www.ostrava.czso.cz</w:t>
                      </w:r>
                    </w:p>
                  </w:txbxContent>
                </v:textbox>
                <w10:wrap anchorx="page" anchory="page"/>
                <w10:anchorlock/>
              </v:shape>
            </w:pict>
          </mc:Fallback>
        </mc:AlternateContent>
      </w:r>
      <w:r w:rsidR="00665BA4">
        <w:br w:type="page"/>
      </w:r>
      <w:r w:rsidR="00556D68">
        <w:lastRenderedPageBreak/>
        <w:br w:type="page"/>
      </w:r>
      <w:r>
        <w:rPr>
          <w:noProof/>
          <w:lang w:val="cs-CZ"/>
        </w:rPr>
        <mc:AlternateContent>
          <mc:Choice Requires="wps">
            <w:drawing>
              <wp:anchor distT="0" distB="0" distL="114300" distR="114300" simplePos="0" relativeHeight="251660288" behindDoc="0" locked="1" layoutInCell="1" allowOverlap="1">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FE30D1" w:rsidRDefault="003945DB" w:rsidP="00FE30D1">
                            <w:r w:rsidRPr="00FE30D1">
                              <w:t xml:space="preserve">ISBN </w:t>
                            </w:r>
                            <w:r w:rsidRPr="00CB0C69">
                              <w:t>987-80-250-2897-1</w:t>
                            </w:r>
                            <w:r w:rsidRPr="00FE30D1">
                              <w:br/>
                              <w:t xml:space="preserve">© Czech Statistical Office, </w:t>
                            </w:r>
                            <w:r>
                              <w:t>Prague</w:t>
                            </w:r>
                            <w:r w:rsidRPr="00FE30D1">
                              <w:t xml:space="preserve">, </w:t>
                            </w:r>
                            <w:r>
                              <w:t>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6.7pt;margin-top:747pt;width:481.9pt;height:28.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rsidR="003945DB" w:rsidRPr="00FE30D1" w:rsidRDefault="003945DB" w:rsidP="00FE30D1">
                      <w:r w:rsidRPr="00FE30D1">
                        <w:t xml:space="preserve">ISBN </w:t>
                      </w:r>
                      <w:r w:rsidRPr="00CB0C69">
                        <w:t>987-80-250-2897-1</w:t>
                      </w:r>
                      <w:r w:rsidRPr="00FE30D1">
                        <w:br/>
                        <w:t xml:space="preserve">© Czech Statistical Office, </w:t>
                      </w:r>
                      <w:r>
                        <w:t>Prague</w:t>
                      </w:r>
                      <w:r w:rsidRPr="00FE30D1">
                        <w:t xml:space="preserve">, </w:t>
                      </w:r>
                      <w:r>
                        <w:t>2018</w:t>
                      </w:r>
                    </w:p>
                  </w:txbxContent>
                </v:textbox>
                <w10:wrap anchorx="page" anchory="page"/>
                <w10:anchorlock/>
              </v:shape>
            </w:pict>
          </mc:Fallback>
        </mc:AlternateContent>
      </w:r>
      <w:r>
        <w:rPr>
          <w:noProof/>
          <w:lang w:val="cs-CZ"/>
        </w:rPr>
        <mc:AlternateContent>
          <mc:Choice Requires="wps">
            <w:drawing>
              <wp:anchor distT="0" distB="0" distL="114300" distR="114300" simplePos="0" relativeHeight="251659264" behindDoc="0" locked="1" layoutInCell="1" allowOverlap="1">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945DB" w:rsidRPr="004B2082" w:rsidRDefault="003945DB" w:rsidP="000A3A2C">
                            <w:pPr>
                              <w:rPr>
                                <w:b/>
                                <w:sz w:val="24"/>
                              </w:rPr>
                            </w:pPr>
                            <w:r w:rsidRPr="004B2082">
                              <w:rPr>
                                <w:b/>
                                <w:color w:val="0071BC"/>
                                <w:sz w:val="24"/>
                              </w:rPr>
                              <w:t xml:space="preserve">Are you interested in the latest data on inflation, GDP, population, average wages and the like? If the answer is YES, don´t hesitate to visit us at: </w:t>
                            </w:r>
                            <w:r w:rsidRPr="004B2082">
                              <w:rPr>
                                <w:b/>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95pt;margin-top:56.95pt;width:481.85pt;height:4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rsidR="003945DB" w:rsidRPr="004B2082" w:rsidRDefault="003945DB" w:rsidP="000A3A2C">
                      <w:pPr>
                        <w:rPr>
                          <w:b/>
                          <w:sz w:val="24"/>
                        </w:rPr>
                      </w:pPr>
                      <w:r w:rsidRPr="004B2082">
                        <w:rPr>
                          <w:b/>
                          <w:color w:val="0071BC"/>
                          <w:sz w:val="24"/>
                        </w:rPr>
                        <w:t xml:space="preserve">Are you interested in the latest data on inflation, GDP, population, average wages and the like? If the answer is YES, don´t hesitate to visit us at: </w:t>
                      </w:r>
                      <w:r w:rsidRPr="004B2082">
                        <w:rPr>
                          <w:b/>
                          <w:sz w:val="24"/>
                        </w:rPr>
                        <w:t>www.czso.cz</w:t>
                      </w:r>
                    </w:p>
                  </w:txbxContent>
                </v:textbox>
                <w10:wrap anchorx="page" anchory="page"/>
                <w10:anchorlock/>
              </v:shape>
            </w:pict>
          </mc:Fallback>
        </mc:AlternateContent>
      </w:r>
    </w:p>
    <w:p w:rsidR="00EE4B1B" w:rsidRPr="00900D5B" w:rsidRDefault="001F551B" w:rsidP="00900D5B">
      <w:pPr>
        <w:pStyle w:val="Obsah"/>
      </w:pPr>
      <w:r w:rsidRPr="00900D5B">
        <w:lastRenderedPageBreak/>
        <w:t>Contents</w:t>
      </w:r>
    </w:p>
    <w:p w:rsidR="00973CC5" w:rsidRDefault="00D656B7">
      <w:pPr>
        <w:pStyle w:val="Obsah1"/>
        <w:rPr>
          <w:rFonts w:asciiTheme="minorHAnsi" w:eastAsiaTheme="minorEastAsia" w:hAnsiTheme="minorHAnsi" w:cstheme="minorBidi"/>
          <w:b w:val="0"/>
          <w:sz w:val="22"/>
          <w:szCs w:val="22"/>
          <w:lang w:val="cs-CZ"/>
        </w:rPr>
      </w:pPr>
      <w:r>
        <w:fldChar w:fldCharType="begin"/>
      </w:r>
      <w:r>
        <w:instrText xml:space="preserve"> TOC \o "1-3" \h \z \u </w:instrText>
      </w:r>
      <w:r>
        <w:fldChar w:fldCharType="separate"/>
      </w:r>
      <w:hyperlink w:anchor="_Toc534711977" w:history="1">
        <w:r w:rsidR="00973CC5" w:rsidRPr="00C13543">
          <w:rPr>
            <w:rStyle w:val="Hypertextovodkaz"/>
          </w:rPr>
          <w:t>Introduction</w:t>
        </w:r>
        <w:r w:rsidR="00973CC5">
          <w:rPr>
            <w:webHidden/>
          </w:rPr>
          <w:tab/>
        </w:r>
        <w:r w:rsidR="00973CC5">
          <w:rPr>
            <w:webHidden/>
          </w:rPr>
          <w:fldChar w:fldCharType="begin"/>
        </w:r>
        <w:r w:rsidR="00973CC5">
          <w:rPr>
            <w:webHidden/>
          </w:rPr>
          <w:instrText xml:space="preserve"> PAGEREF _Toc534711977 \h </w:instrText>
        </w:r>
        <w:r w:rsidR="00973CC5">
          <w:rPr>
            <w:webHidden/>
          </w:rPr>
        </w:r>
        <w:r w:rsidR="00973CC5">
          <w:rPr>
            <w:webHidden/>
          </w:rPr>
          <w:fldChar w:fldCharType="separate"/>
        </w:r>
        <w:r w:rsidR="00973CC5">
          <w:rPr>
            <w:webHidden/>
          </w:rPr>
          <w:t>6</w:t>
        </w:r>
        <w:r w:rsidR="00973CC5">
          <w:rPr>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1978" w:history="1">
        <w:r w:rsidR="00973CC5" w:rsidRPr="00C13543">
          <w:rPr>
            <w:rStyle w:val="Hypertextovodkaz"/>
          </w:rPr>
          <w:t>Chapter A ICT Infrastructure</w:t>
        </w:r>
        <w:r w:rsidR="00973CC5">
          <w:rPr>
            <w:webHidden/>
          </w:rPr>
          <w:tab/>
        </w:r>
        <w:r w:rsidR="00973CC5">
          <w:rPr>
            <w:webHidden/>
          </w:rPr>
          <w:fldChar w:fldCharType="begin"/>
        </w:r>
        <w:r w:rsidR="00973CC5">
          <w:rPr>
            <w:webHidden/>
          </w:rPr>
          <w:instrText xml:space="preserve"> PAGEREF _Toc534711978 \h </w:instrText>
        </w:r>
        <w:r w:rsidR="00973CC5">
          <w:rPr>
            <w:webHidden/>
          </w:rPr>
        </w:r>
        <w:r w:rsidR="00973CC5">
          <w:rPr>
            <w:webHidden/>
          </w:rPr>
          <w:fldChar w:fldCharType="separate"/>
        </w:r>
        <w:r w:rsidR="00973CC5">
          <w:rPr>
            <w:webHidden/>
          </w:rPr>
          <w:t>7</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79" w:history="1">
        <w:r w:rsidR="00973CC5" w:rsidRPr="00C13543">
          <w:rPr>
            <w:rStyle w:val="Hypertextovodkaz"/>
          </w:rPr>
          <w:t>A.1 Telecommunication infrastructure</w:t>
        </w:r>
        <w:r w:rsidR="00973CC5">
          <w:rPr>
            <w:webHidden/>
          </w:rPr>
          <w:tab/>
        </w:r>
        <w:r w:rsidR="00973CC5">
          <w:rPr>
            <w:webHidden/>
          </w:rPr>
          <w:fldChar w:fldCharType="begin"/>
        </w:r>
        <w:r w:rsidR="00973CC5">
          <w:rPr>
            <w:webHidden/>
          </w:rPr>
          <w:instrText xml:space="preserve"> PAGEREF _Toc534711979 \h </w:instrText>
        </w:r>
        <w:r w:rsidR="00973CC5">
          <w:rPr>
            <w:webHidden/>
          </w:rPr>
        </w:r>
        <w:r w:rsidR="00973CC5">
          <w:rPr>
            <w:webHidden/>
          </w:rPr>
          <w:fldChar w:fldCharType="separate"/>
        </w:r>
        <w:r w:rsidR="00973CC5">
          <w:rPr>
            <w:webHidden/>
          </w:rPr>
          <w:t>7</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0" w:history="1">
        <w:r w:rsidR="00973CC5" w:rsidRPr="00C13543">
          <w:rPr>
            <w:rStyle w:val="Hypertextovodkaz"/>
            <w:noProof/>
          </w:rPr>
          <w:t>Fixed telephone network penetration – Voice subscriptions via PSTN or VoIP</w:t>
        </w:r>
        <w:r w:rsidR="00973CC5">
          <w:rPr>
            <w:noProof/>
            <w:webHidden/>
          </w:rPr>
          <w:tab/>
        </w:r>
        <w:r w:rsidR="00973CC5">
          <w:rPr>
            <w:noProof/>
            <w:webHidden/>
          </w:rPr>
          <w:fldChar w:fldCharType="begin"/>
        </w:r>
        <w:r w:rsidR="00973CC5">
          <w:rPr>
            <w:noProof/>
            <w:webHidden/>
          </w:rPr>
          <w:instrText xml:space="preserve"> PAGEREF _Toc534711980 \h </w:instrText>
        </w:r>
        <w:r w:rsidR="00973CC5">
          <w:rPr>
            <w:noProof/>
            <w:webHidden/>
          </w:rPr>
        </w:r>
        <w:r w:rsidR="00973CC5">
          <w:rPr>
            <w:noProof/>
            <w:webHidden/>
          </w:rPr>
          <w:fldChar w:fldCharType="separate"/>
        </w:r>
        <w:r w:rsidR="00973CC5">
          <w:rPr>
            <w:noProof/>
            <w:webHidden/>
          </w:rPr>
          <w:t>7</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1" w:history="1">
        <w:r w:rsidR="00973CC5" w:rsidRPr="00C13543">
          <w:rPr>
            <w:rStyle w:val="Hypertextovodkaz"/>
            <w:noProof/>
          </w:rPr>
          <w:t>Mobile telephone network penetration – Voice and M2M subscriptions</w:t>
        </w:r>
        <w:r w:rsidR="00973CC5">
          <w:rPr>
            <w:noProof/>
            <w:webHidden/>
          </w:rPr>
          <w:tab/>
        </w:r>
        <w:r w:rsidR="00973CC5">
          <w:rPr>
            <w:noProof/>
            <w:webHidden/>
          </w:rPr>
          <w:fldChar w:fldCharType="begin"/>
        </w:r>
        <w:r w:rsidR="00973CC5">
          <w:rPr>
            <w:noProof/>
            <w:webHidden/>
          </w:rPr>
          <w:instrText xml:space="preserve"> PAGEREF _Toc534711981 \h </w:instrText>
        </w:r>
        <w:r w:rsidR="00973CC5">
          <w:rPr>
            <w:noProof/>
            <w:webHidden/>
          </w:rPr>
        </w:r>
        <w:r w:rsidR="00973CC5">
          <w:rPr>
            <w:noProof/>
            <w:webHidden/>
          </w:rPr>
          <w:fldChar w:fldCharType="separate"/>
        </w:r>
        <w:r w:rsidR="00973CC5">
          <w:rPr>
            <w:noProof/>
            <w:webHidden/>
          </w:rPr>
          <w:t>10</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2" w:history="1">
        <w:r w:rsidR="00973CC5" w:rsidRPr="00C13543">
          <w:rPr>
            <w:rStyle w:val="Hypertextovodkaz"/>
            <w:noProof/>
          </w:rPr>
          <w:t>Telephone traffic in fixed and mobile telephone networks</w:t>
        </w:r>
        <w:r w:rsidR="00973CC5">
          <w:rPr>
            <w:noProof/>
            <w:webHidden/>
          </w:rPr>
          <w:tab/>
        </w:r>
        <w:r w:rsidR="00973CC5">
          <w:rPr>
            <w:noProof/>
            <w:webHidden/>
          </w:rPr>
          <w:fldChar w:fldCharType="begin"/>
        </w:r>
        <w:r w:rsidR="00973CC5">
          <w:rPr>
            <w:noProof/>
            <w:webHidden/>
          </w:rPr>
          <w:instrText xml:space="preserve"> PAGEREF _Toc534711982 \h </w:instrText>
        </w:r>
        <w:r w:rsidR="00973CC5">
          <w:rPr>
            <w:noProof/>
            <w:webHidden/>
          </w:rPr>
        </w:r>
        <w:r w:rsidR="00973CC5">
          <w:rPr>
            <w:noProof/>
            <w:webHidden/>
          </w:rPr>
          <w:fldChar w:fldCharType="separate"/>
        </w:r>
        <w:r w:rsidR="00973CC5">
          <w:rPr>
            <w:noProof/>
            <w:webHidden/>
          </w:rPr>
          <w:t>11</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83" w:history="1">
        <w:r w:rsidR="00973CC5" w:rsidRPr="00C13543">
          <w:rPr>
            <w:rStyle w:val="Hypertextovodkaz"/>
          </w:rPr>
          <w:t>A.2 Internet infrastructure</w:t>
        </w:r>
        <w:r w:rsidR="00973CC5">
          <w:rPr>
            <w:webHidden/>
          </w:rPr>
          <w:tab/>
        </w:r>
        <w:r w:rsidR="00973CC5">
          <w:rPr>
            <w:webHidden/>
          </w:rPr>
          <w:fldChar w:fldCharType="begin"/>
        </w:r>
        <w:r w:rsidR="00973CC5">
          <w:rPr>
            <w:webHidden/>
          </w:rPr>
          <w:instrText xml:space="preserve"> PAGEREF _Toc534711983 \h </w:instrText>
        </w:r>
        <w:r w:rsidR="00973CC5">
          <w:rPr>
            <w:webHidden/>
          </w:rPr>
        </w:r>
        <w:r w:rsidR="00973CC5">
          <w:rPr>
            <w:webHidden/>
          </w:rPr>
          <w:fldChar w:fldCharType="separate"/>
        </w:r>
        <w:r w:rsidR="00973CC5">
          <w:rPr>
            <w:webHidden/>
          </w:rPr>
          <w:t>13</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4" w:history="1">
        <w:r w:rsidR="00973CC5" w:rsidRPr="00C13543">
          <w:rPr>
            <w:rStyle w:val="Hypertextovodkaz"/>
            <w:noProof/>
          </w:rPr>
          <w:t>Fixed broadband penetration – Subscriptions by technology and speed</w:t>
        </w:r>
        <w:r w:rsidR="00973CC5">
          <w:rPr>
            <w:noProof/>
            <w:webHidden/>
          </w:rPr>
          <w:tab/>
        </w:r>
        <w:r w:rsidR="00973CC5">
          <w:rPr>
            <w:noProof/>
            <w:webHidden/>
          </w:rPr>
          <w:fldChar w:fldCharType="begin"/>
        </w:r>
        <w:r w:rsidR="00973CC5">
          <w:rPr>
            <w:noProof/>
            <w:webHidden/>
          </w:rPr>
          <w:instrText xml:space="preserve"> PAGEREF _Toc534711984 \h </w:instrText>
        </w:r>
        <w:r w:rsidR="00973CC5">
          <w:rPr>
            <w:noProof/>
            <w:webHidden/>
          </w:rPr>
        </w:r>
        <w:r w:rsidR="00973CC5">
          <w:rPr>
            <w:noProof/>
            <w:webHidden/>
          </w:rPr>
          <w:fldChar w:fldCharType="separate"/>
        </w:r>
        <w:r w:rsidR="00973CC5">
          <w:rPr>
            <w:noProof/>
            <w:webHidden/>
          </w:rPr>
          <w:t>13</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5" w:history="1">
        <w:r w:rsidR="00973CC5" w:rsidRPr="00C13543">
          <w:rPr>
            <w:rStyle w:val="Hypertextovodkaz"/>
            <w:noProof/>
          </w:rPr>
          <w:t>Mobile broadband penetration – Subscriptions by type of mobile connection</w:t>
        </w:r>
        <w:r w:rsidR="00973CC5">
          <w:rPr>
            <w:noProof/>
            <w:webHidden/>
          </w:rPr>
          <w:tab/>
        </w:r>
        <w:r w:rsidR="00973CC5">
          <w:rPr>
            <w:noProof/>
            <w:webHidden/>
          </w:rPr>
          <w:fldChar w:fldCharType="begin"/>
        </w:r>
        <w:r w:rsidR="00973CC5">
          <w:rPr>
            <w:noProof/>
            <w:webHidden/>
          </w:rPr>
          <w:instrText xml:space="preserve"> PAGEREF _Toc534711985 \h </w:instrText>
        </w:r>
        <w:r w:rsidR="00973CC5">
          <w:rPr>
            <w:noProof/>
            <w:webHidden/>
          </w:rPr>
        </w:r>
        <w:r w:rsidR="00973CC5">
          <w:rPr>
            <w:noProof/>
            <w:webHidden/>
          </w:rPr>
          <w:fldChar w:fldCharType="separate"/>
        </w:r>
        <w:r w:rsidR="00973CC5">
          <w:rPr>
            <w:noProof/>
            <w:webHidden/>
          </w:rPr>
          <w:t>17</w:t>
        </w:r>
        <w:r w:rsidR="00973CC5">
          <w:rPr>
            <w:noProof/>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1986" w:history="1">
        <w:r w:rsidR="00973CC5" w:rsidRPr="00C13543">
          <w:rPr>
            <w:rStyle w:val="Hypertextovodkaz"/>
          </w:rPr>
          <w:t>Chapter B Households and ICT</w:t>
        </w:r>
        <w:r w:rsidR="00973CC5">
          <w:rPr>
            <w:webHidden/>
          </w:rPr>
          <w:tab/>
        </w:r>
        <w:r w:rsidR="00973CC5">
          <w:rPr>
            <w:webHidden/>
          </w:rPr>
          <w:fldChar w:fldCharType="begin"/>
        </w:r>
        <w:r w:rsidR="00973CC5">
          <w:rPr>
            <w:webHidden/>
          </w:rPr>
          <w:instrText xml:space="preserve"> PAGEREF _Toc534711986 \h </w:instrText>
        </w:r>
        <w:r w:rsidR="00973CC5">
          <w:rPr>
            <w:webHidden/>
          </w:rPr>
        </w:r>
        <w:r w:rsidR="00973CC5">
          <w:rPr>
            <w:webHidden/>
          </w:rPr>
          <w:fldChar w:fldCharType="separate"/>
        </w:r>
        <w:r w:rsidR="00973CC5">
          <w:rPr>
            <w:webHidden/>
          </w:rPr>
          <w:t>20</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87" w:history="1">
        <w:r w:rsidR="00973CC5" w:rsidRPr="00C13543">
          <w:rPr>
            <w:rStyle w:val="Hypertextovodkaz"/>
          </w:rPr>
          <w:t>B.1 Households and telephone</w:t>
        </w:r>
        <w:r w:rsidR="00973CC5">
          <w:rPr>
            <w:webHidden/>
          </w:rPr>
          <w:tab/>
        </w:r>
        <w:r w:rsidR="00973CC5">
          <w:rPr>
            <w:webHidden/>
          </w:rPr>
          <w:fldChar w:fldCharType="begin"/>
        </w:r>
        <w:r w:rsidR="00973CC5">
          <w:rPr>
            <w:webHidden/>
          </w:rPr>
          <w:instrText xml:space="preserve"> PAGEREF _Toc534711987 \h </w:instrText>
        </w:r>
        <w:r w:rsidR="00973CC5">
          <w:rPr>
            <w:webHidden/>
          </w:rPr>
        </w:r>
        <w:r w:rsidR="00973CC5">
          <w:rPr>
            <w:webHidden/>
          </w:rPr>
          <w:fldChar w:fldCharType="separate"/>
        </w:r>
        <w:r w:rsidR="00973CC5">
          <w:rPr>
            <w:webHidden/>
          </w:rPr>
          <w:t>20</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8" w:history="1">
        <w:r w:rsidR="00973CC5" w:rsidRPr="00C13543">
          <w:rPr>
            <w:rStyle w:val="Hypertextovodkaz"/>
            <w:noProof/>
          </w:rPr>
          <w:t>Households with a fixed telephone</w:t>
        </w:r>
        <w:r w:rsidR="00973CC5">
          <w:rPr>
            <w:noProof/>
            <w:webHidden/>
          </w:rPr>
          <w:tab/>
        </w:r>
        <w:r w:rsidR="00973CC5">
          <w:rPr>
            <w:noProof/>
            <w:webHidden/>
          </w:rPr>
          <w:fldChar w:fldCharType="begin"/>
        </w:r>
        <w:r w:rsidR="00973CC5">
          <w:rPr>
            <w:noProof/>
            <w:webHidden/>
          </w:rPr>
          <w:instrText xml:space="preserve"> PAGEREF _Toc534711988 \h </w:instrText>
        </w:r>
        <w:r w:rsidR="00973CC5">
          <w:rPr>
            <w:noProof/>
            <w:webHidden/>
          </w:rPr>
        </w:r>
        <w:r w:rsidR="00973CC5">
          <w:rPr>
            <w:noProof/>
            <w:webHidden/>
          </w:rPr>
          <w:fldChar w:fldCharType="separate"/>
        </w:r>
        <w:r w:rsidR="00973CC5">
          <w:rPr>
            <w:noProof/>
            <w:webHidden/>
          </w:rPr>
          <w:t>20</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89" w:history="1">
        <w:r w:rsidR="00973CC5" w:rsidRPr="00C13543">
          <w:rPr>
            <w:rStyle w:val="Hypertextovodkaz"/>
            <w:noProof/>
          </w:rPr>
          <w:t>Households with a mobile telephone</w:t>
        </w:r>
        <w:r w:rsidR="00973CC5">
          <w:rPr>
            <w:noProof/>
            <w:webHidden/>
          </w:rPr>
          <w:tab/>
        </w:r>
        <w:r w:rsidR="00973CC5">
          <w:rPr>
            <w:noProof/>
            <w:webHidden/>
          </w:rPr>
          <w:fldChar w:fldCharType="begin"/>
        </w:r>
        <w:r w:rsidR="00973CC5">
          <w:rPr>
            <w:noProof/>
            <w:webHidden/>
          </w:rPr>
          <w:instrText xml:space="preserve"> PAGEREF _Toc534711989 \h </w:instrText>
        </w:r>
        <w:r w:rsidR="00973CC5">
          <w:rPr>
            <w:noProof/>
            <w:webHidden/>
          </w:rPr>
        </w:r>
        <w:r w:rsidR="00973CC5">
          <w:rPr>
            <w:noProof/>
            <w:webHidden/>
          </w:rPr>
          <w:fldChar w:fldCharType="separate"/>
        </w:r>
        <w:r w:rsidR="00973CC5">
          <w:rPr>
            <w:noProof/>
            <w:webHidden/>
          </w:rPr>
          <w:t>21</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0" w:history="1">
        <w:r w:rsidR="00973CC5" w:rsidRPr="00C13543">
          <w:rPr>
            <w:rStyle w:val="Hypertextovodkaz"/>
            <w:noProof/>
          </w:rPr>
          <w:t>Households telecommunication expenditures</w:t>
        </w:r>
        <w:r w:rsidR="00973CC5">
          <w:rPr>
            <w:noProof/>
            <w:webHidden/>
          </w:rPr>
          <w:tab/>
        </w:r>
        <w:r w:rsidR="00973CC5">
          <w:rPr>
            <w:noProof/>
            <w:webHidden/>
          </w:rPr>
          <w:fldChar w:fldCharType="begin"/>
        </w:r>
        <w:r w:rsidR="00973CC5">
          <w:rPr>
            <w:noProof/>
            <w:webHidden/>
          </w:rPr>
          <w:instrText xml:space="preserve"> PAGEREF _Toc534711990 \h </w:instrText>
        </w:r>
        <w:r w:rsidR="00973CC5">
          <w:rPr>
            <w:noProof/>
            <w:webHidden/>
          </w:rPr>
        </w:r>
        <w:r w:rsidR="00973CC5">
          <w:rPr>
            <w:noProof/>
            <w:webHidden/>
          </w:rPr>
          <w:fldChar w:fldCharType="separate"/>
        </w:r>
        <w:r w:rsidR="00973CC5">
          <w:rPr>
            <w:noProof/>
            <w:webHidden/>
          </w:rPr>
          <w:t>22</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91" w:history="1">
        <w:r w:rsidR="00973CC5" w:rsidRPr="00C13543">
          <w:rPr>
            <w:rStyle w:val="Hypertextovodkaz"/>
          </w:rPr>
          <w:t>B.2 Households and computers</w:t>
        </w:r>
        <w:r w:rsidR="00973CC5">
          <w:rPr>
            <w:webHidden/>
          </w:rPr>
          <w:tab/>
        </w:r>
        <w:r w:rsidR="00973CC5">
          <w:rPr>
            <w:webHidden/>
          </w:rPr>
          <w:fldChar w:fldCharType="begin"/>
        </w:r>
        <w:r w:rsidR="00973CC5">
          <w:rPr>
            <w:webHidden/>
          </w:rPr>
          <w:instrText xml:space="preserve"> PAGEREF _Toc534711991 \h </w:instrText>
        </w:r>
        <w:r w:rsidR="00973CC5">
          <w:rPr>
            <w:webHidden/>
          </w:rPr>
        </w:r>
        <w:r w:rsidR="00973CC5">
          <w:rPr>
            <w:webHidden/>
          </w:rPr>
          <w:fldChar w:fldCharType="separate"/>
        </w:r>
        <w:r w:rsidR="00973CC5">
          <w:rPr>
            <w:webHidden/>
          </w:rPr>
          <w:t>24</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2" w:history="1">
        <w:r w:rsidR="00973CC5" w:rsidRPr="00C13543">
          <w:rPr>
            <w:rStyle w:val="Hypertextovodkaz"/>
            <w:noProof/>
          </w:rPr>
          <w:t>Households with a computer – Main figures</w:t>
        </w:r>
        <w:r w:rsidR="00973CC5">
          <w:rPr>
            <w:noProof/>
            <w:webHidden/>
          </w:rPr>
          <w:tab/>
        </w:r>
        <w:r w:rsidR="00973CC5">
          <w:rPr>
            <w:noProof/>
            <w:webHidden/>
          </w:rPr>
          <w:fldChar w:fldCharType="begin"/>
        </w:r>
        <w:r w:rsidR="00973CC5">
          <w:rPr>
            <w:noProof/>
            <w:webHidden/>
          </w:rPr>
          <w:instrText xml:space="preserve"> PAGEREF _Toc534711992 \h </w:instrText>
        </w:r>
        <w:r w:rsidR="00973CC5">
          <w:rPr>
            <w:noProof/>
            <w:webHidden/>
          </w:rPr>
        </w:r>
        <w:r w:rsidR="00973CC5">
          <w:rPr>
            <w:noProof/>
            <w:webHidden/>
          </w:rPr>
          <w:fldChar w:fldCharType="separate"/>
        </w:r>
        <w:r w:rsidR="00973CC5">
          <w:rPr>
            <w:noProof/>
            <w:webHidden/>
          </w:rPr>
          <w:t>24</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3" w:history="1">
        <w:r w:rsidR="00973CC5" w:rsidRPr="00C13543">
          <w:rPr>
            <w:rStyle w:val="Hypertextovodkaz"/>
            <w:noProof/>
          </w:rPr>
          <w:t>Type and number of computers used at home</w:t>
        </w:r>
        <w:r w:rsidR="00973CC5">
          <w:rPr>
            <w:noProof/>
            <w:webHidden/>
          </w:rPr>
          <w:tab/>
        </w:r>
        <w:r w:rsidR="00973CC5">
          <w:rPr>
            <w:noProof/>
            <w:webHidden/>
          </w:rPr>
          <w:fldChar w:fldCharType="begin"/>
        </w:r>
        <w:r w:rsidR="00973CC5">
          <w:rPr>
            <w:noProof/>
            <w:webHidden/>
          </w:rPr>
          <w:instrText xml:space="preserve"> PAGEREF _Toc534711993 \h </w:instrText>
        </w:r>
        <w:r w:rsidR="00973CC5">
          <w:rPr>
            <w:noProof/>
            <w:webHidden/>
          </w:rPr>
        </w:r>
        <w:r w:rsidR="00973CC5">
          <w:rPr>
            <w:noProof/>
            <w:webHidden/>
          </w:rPr>
          <w:fldChar w:fldCharType="separate"/>
        </w:r>
        <w:r w:rsidR="00973CC5">
          <w:rPr>
            <w:noProof/>
            <w:webHidden/>
          </w:rPr>
          <w:t>25</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94" w:history="1">
        <w:r w:rsidR="00973CC5" w:rsidRPr="00C13543">
          <w:rPr>
            <w:rStyle w:val="Hypertextovodkaz"/>
          </w:rPr>
          <w:t>B.3 Households and the internet</w:t>
        </w:r>
        <w:r w:rsidR="00973CC5">
          <w:rPr>
            <w:webHidden/>
          </w:rPr>
          <w:tab/>
        </w:r>
        <w:r w:rsidR="00973CC5">
          <w:rPr>
            <w:webHidden/>
          </w:rPr>
          <w:fldChar w:fldCharType="begin"/>
        </w:r>
        <w:r w:rsidR="00973CC5">
          <w:rPr>
            <w:webHidden/>
          </w:rPr>
          <w:instrText xml:space="preserve"> PAGEREF _Toc534711994 \h </w:instrText>
        </w:r>
        <w:r w:rsidR="00973CC5">
          <w:rPr>
            <w:webHidden/>
          </w:rPr>
        </w:r>
        <w:r w:rsidR="00973CC5">
          <w:rPr>
            <w:webHidden/>
          </w:rPr>
          <w:fldChar w:fldCharType="separate"/>
        </w:r>
        <w:r w:rsidR="00973CC5">
          <w:rPr>
            <w:webHidden/>
          </w:rPr>
          <w:t>26</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5" w:history="1">
        <w:r w:rsidR="00973CC5" w:rsidRPr="00C13543">
          <w:rPr>
            <w:rStyle w:val="Hypertextovodkaz"/>
            <w:noProof/>
          </w:rPr>
          <w:t>Households with the internet – Main figures</w:t>
        </w:r>
        <w:r w:rsidR="00973CC5">
          <w:rPr>
            <w:noProof/>
            <w:webHidden/>
          </w:rPr>
          <w:tab/>
        </w:r>
        <w:r w:rsidR="00973CC5">
          <w:rPr>
            <w:noProof/>
            <w:webHidden/>
          </w:rPr>
          <w:fldChar w:fldCharType="begin"/>
        </w:r>
        <w:r w:rsidR="00973CC5">
          <w:rPr>
            <w:noProof/>
            <w:webHidden/>
          </w:rPr>
          <w:instrText xml:space="preserve"> PAGEREF _Toc534711995 \h </w:instrText>
        </w:r>
        <w:r w:rsidR="00973CC5">
          <w:rPr>
            <w:noProof/>
            <w:webHidden/>
          </w:rPr>
        </w:r>
        <w:r w:rsidR="00973CC5">
          <w:rPr>
            <w:noProof/>
            <w:webHidden/>
          </w:rPr>
          <w:fldChar w:fldCharType="separate"/>
        </w:r>
        <w:r w:rsidR="00973CC5">
          <w:rPr>
            <w:noProof/>
            <w:webHidden/>
          </w:rPr>
          <w:t>26</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6" w:history="1">
        <w:r w:rsidR="00973CC5" w:rsidRPr="00C13543">
          <w:rPr>
            <w:rStyle w:val="Hypertextovodkaz"/>
            <w:noProof/>
          </w:rPr>
          <w:t>Type of connection used by households to access the internet at home</w:t>
        </w:r>
        <w:r w:rsidR="00973CC5">
          <w:rPr>
            <w:noProof/>
            <w:webHidden/>
          </w:rPr>
          <w:tab/>
        </w:r>
        <w:r w:rsidR="00973CC5">
          <w:rPr>
            <w:noProof/>
            <w:webHidden/>
          </w:rPr>
          <w:fldChar w:fldCharType="begin"/>
        </w:r>
        <w:r w:rsidR="00973CC5">
          <w:rPr>
            <w:noProof/>
            <w:webHidden/>
          </w:rPr>
          <w:instrText xml:space="preserve"> PAGEREF _Toc534711996 \h </w:instrText>
        </w:r>
        <w:r w:rsidR="00973CC5">
          <w:rPr>
            <w:noProof/>
            <w:webHidden/>
          </w:rPr>
        </w:r>
        <w:r w:rsidR="00973CC5">
          <w:rPr>
            <w:noProof/>
            <w:webHidden/>
          </w:rPr>
          <w:fldChar w:fldCharType="separate"/>
        </w:r>
        <w:r w:rsidR="00973CC5">
          <w:rPr>
            <w:noProof/>
            <w:webHidden/>
          </w:rPr>
          <w:t>29</w:t>
        </w:r>
        <w:r w:rsidR="00973CC5">
          <w:rPr>
            <w:noProof/>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1997" w:history="1">
        <w:r w:rsidR="00973CC5" w:rsidRPr="00C13543">
          <w:rPr>
            <w:rStyle w:val="Hypertextovodkaz"/>
          </w:rPr>
          <w:t>Chapter C Individuals and ICT</w:t>
        </w:r>
        <w:r w:rsidR="00973CC5">
          <w:rPr>
            <w:webHidden/>
          </w:rPr>
          <w:tab/>
        </w:r>
        <w:r w:rsidR="00973CC5">
          <w:rPr>
            <w:webHidden/>
          </w:rPr>
          <w:fldChar w:fldCharType="begin"/>
        </w:r>
        <w:r w:rsidR="00973CC5">
          <w:rPr>
            <w:webHidden/>
          </w:rPr>
          <w:instrText xml:space="preserve"> PAGEREF _Toc534711997 \h </w:instrText>
        </w:r>
        <w:r w:rsidR="00973CC5">
          <w:rPr>
            <w:webHidden/>
          </w:rPr>
        </w:r>
        <w:r w:rsidR="00973CC5">
          <w:rPr>
            <w:webHidden/>
          </w:rPr>
          <w:fldChar w:fldCharType="separate"/>
        </w:r>
        <w:r w:rsidR="00973CC5">
          <w:rPr>
            <w:webHidden/>
          </w:rPr>
          <w:t>30</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1998" w:history="1">
        <w:r w:rsidR="00973CC5" w:rsidRPr="00C13543">
          <w:rPr>
            <w:rStyle w:val="Hypertextovodkaz"/>
          </w:rPr>
          <w:t>C.1 Individuals and a computer</w:t>
        </w:r>
        <w:r w:rsidR="00973CC5">
          <w:rPr>
            <w:webHidden/>
          </w:rPr>
          <w:tab/>
        </w:r>
        <w:r w:rsidR="00973CC5">
          <w:rPr>
            <w:webHidden/>
          </w:rPr>
          <w:fldChar w:fldCharType="begin"/>
        </w:r>
        <w:r w:rsidR="00973CC5">
          <w:rPr>
            <w:webHidden/>
          </w:rPr>
          <w:instrText xml:space="preserve"> PAGEREF _Toc534711998 \h </w:instrText>
        </w:r>
        <w:r w:rsidR="00973CC5">
          <w:rPr>
            <w:webHidden/>
          </w:rPr>
        </w:r>
        <w:r w:rsidR="00973CC5">
          <w:rPr>
            <w:webHidden/>
          </w:rPr>
          <w:fldChar w:fldCharType="separate"/>
        </w:r>
        <w:r w:rsidR="00973CC5">
          <w:rPr>
            <w:webHidden/>
          </w:rPr>
          <w:t>30</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1999" w:history="1">
        <w:r w:rsidR="00973CC5" w:rsidRPr="00C13543">
          <w:rPr>
            <w:rStyle w:val="Hypertextovodkaz"/>
            <w:noProof/>
          </w:rPr>
          <w:t>Computer users – Main figures</w:t>
        </w:r>
        <w:r w:rsidR="00973CC5">
          <w:rPr>
            <w:noProof/>
            <w:webHidden/>
          </w:rPr>
          <w:tab/>
        </w:r>
        <w:r w:rsidR="00973CC5">
          <w:rPr>
            <w:noProof/>
            <w:webHidden/>
          </w:rPr>
          <w:fldChar w:fldCharType="begin"/>
        </w:r>
        <w:r w:rsidR="00973CC5">
          <w:rPr>
            <w:noProof/>
            <w:webHidden/>
          </w:rPr>
          <w:instrText xml:space="preserve"> PAGEREF _Toc534711999 \h </w:instrText>
        </w:r>
        <w:r w:rsidR="00973CC5">
          <w:rPr>
            <w:noProof/>
            <w:webHidden/>
          </w:rPr>
        </w:r>
        <w:r w:rsidR="00973CC5">
          <w:rPr>
            <w:noProof/>
            <w:webHidden/>
          </w:rPr>
          <w:fldChar w:fldCharType="separate"/>
        </w:r>
        <w:r w:rsidR="00973CC5">
          <w:rPr>
            <w:noProof/>
            <w:webHidden/>
          </w:rPr>
          <w:t>30</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0" w:history="1">
        <w:r w:rsidR="00973CC5" w:rsidRPr="00C13543">
          <w:rPr>
            <w:rStyle w:val="Hypertextovodkaz"/>
            <w:noProof/>
          </w:rPr>
          <w:t>Type of computers used by individuals</w:t>
        </w:r>
        <w:r w:rsidR="00973CC5">
          <w:rPr>
            <w:noProof/>
            <w:webHidden/>
          </w:rPr>
          <w:tab/>
        </w:r>
        <w:r w:rsidR="00973CC5">
          <w:rPr>
            <w:noProof/>
            <w:webHidden/>
          </w:rPr>
          <w:fldChar w:fldCharType="begin"/>
        </w:r>
        <w:r w:rsidR="00973CC5">
          <w:rPr>
            <w:noProof/>
            <w:webHidden/>
          </w:rPr>
          <w:instrText xml:space="preserve"> PAGEREF _Toc534712000 \h </w:instrText>
        </w:r>
        <w:r w:rsidR="00973CC5">
          <w:rPr>
            <w:noProof/>
            <w:webHidden/>
          </w:rPr>
        </w:r>
        <w:r w:rsidR="00973CC5">
          <w:rPr>
            <w:noProof/>
            <w:webHidden/>
          </w:rPr>
          <w:fldChar w:fldCharType="separate"/>
        </w:r>
        <w:r w:rsidR="00973CC5">
          <w:rPr>
            <w:noProof/>
            <w:webHidden/>
          </w:rPr>
          <w:t>31</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01" w:history="1">
        <w:r w:rsidR="00973CC5" w:rsidRPr="00C13543">
          <w:rPr>
            <w:rStyle w:val="Hypertextovodkaz"/>
          </w:rPr>
          <w:t>C.2 Individuals and the internet</w:t>
        </w:r>
        <w:r w:rsidR="00973CC5">
          <w:rPr>
            <w:webHidden/>
          </w:rPr>
          <w:tab/>
        </w:r>
        <w:r w:rsidR="00973CC5">
          <w:rPr>
            <w:webHidden/>
          </w:rPr>
          <w:fldChar w:fldCharType="begin"/>
        </w:r>
        <w:r w:rsidR="00973CC5">
          <w:rPr>
            <w:webHidden/>
          </w:rPr>
          <w:instrText xml:space="preserve"> PAGEREF _Toc534712001 \h </w:instrText>
        </w:r>
        <w:r w:rsidR="00973CC5">
          <w:rPr>
            <w:webHidden/>
          </w:rPr>
        </w:r>
        <w:r w:rsidR="00973CC5">
          <w:rPr>
            <w:webHidden/>
          </w:rPr>
          <w:fldChar w:fldCharType="separate"/>
        </w:r>
        <w:r w:rsidR="00973CC5">
          <w:rPr>
            <w:webHidden/>
          </w:rPr>
          <w:t>32</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2" w:history="1">
        <w:r w:rsidR="00973CC5" w:rsidRPr="00C13543">
          <w:rPr>
            <w:rStyle w:val="Hypertextovodkaz"/>
            <w:noProof/>
          </w:rPr>
          <w:t>Internet users – Main figures</w:t>
        </w:r>
        <w:r w:rsidR="00973CC5">
          <w:rPr>
            <w:noProof/>
            <w:webHidden/>
          </w:rPr>
          <w:tab/>
        </w:r>
        <w:r w:rsidR="00973CC5">
          <w:rPr>
            <w:noProof/>
            <w:webHidden/>
          </w:rPr>
          <w:fldChar w:fldCharType="begin"/>
        </w:r>
        <w:r w:rsidR="00973CC5">
          <w:rPr>
            <w:noProof/>
            <w:webHidden/>
          </w:rPr>
          <w:instrText xml:space="preserve"> PAGEREF _Toc534712002 \h </w:instrText>
        </w:r>
        <w:r w:rsidR="00973CC5">
          <w:rPr>
            <w:noProof/>
            <w:webHidden/>
          </w:rPr>
        </w:r>
        <w:r w:rsidR="00973CC5">
          <w:rPr>
            <w:noProof/>
            <w:webHidden/>
          </w:rPr>
          <w:fldChar w:fldCharType="separate"/>
        </w:r>
        <w:r w:rsidR="00973CC5">
          <w:rPr>
            <w:noProof/>
            <w:webHidden/>
          </w:rPr>
          <w:t>32</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3" w:history="1">
        <w:r w:rsidR="00973CC5" w:rsidRPr="00C13543">
          <w:rPr>
            <w:rStyle w:val="Hypertextovodkaz"/>
            <w:noProof/>
          </w:rPr>
          <w:t>Non-internet users</w:t>
        </w:r>
        <w:r w:rsidR="00973CC5">
          <w:rPr>
            <w:noProof/>
            <w:webHidden/>
          </w:rPr>
          <w:tab/>
        </w:r>
        <w:r w:rsidR="00973CC5">
          <w:rPr>
            <w:noProof/>
            <w:webHidden/>
          </w:rPr>
          <w:fldChar w:fldCharType="begin"/>
        </w:r>
        <w:r w:rsidR="00973CC5">
          <w:rPr>
            <w:noProof/>
            <w:webHidden/>
          </w:rPr>
          <w:instrText xml:space="preserve"> PAGEREF _Toc534712003 \h </w:instrText>
        </w:r>
        <w:r w:rsidR="00973CC5">
          <w:rPr>
            <w:noProof/>
            <w:webHidden/>
          </w:rPr>
        </w:r>
        <w:r w:rsidR="00973CC5">
          <w:rPr>
            <w:noProof/>
            <w:webHidden/>
          </w:rPr>
          <w:fldChar w:fldCharType="separate"/>
        </w:r>
        <w:r w:rsidR="00973CC5">
          <w:rPr>
            <w:noProof/>
            <w:webHidden/>
          </w:rPr>
          <w:t>34</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4" w:history="1">
        <w:r w:rsidR="00973CC5" w:rsidRPr="00C13543">
          <w:rPr>
            <w:rStyle w:val="Hypertextovodkaz"/>
            <w:noProof/>
          </w:rPr>
          <w:t>Regular and daily internet users</w:t>
        </w:r>
        <w:r w:rsidR="00973CC5">
          <w:rPr>
            <w:noProof/>
            <w:webHidden/>
          </w:rPr>
          <w:tab/>
        </w:r>
        <w:r w:rsidR="00973CC5">
          <w:rPr>
            <w:noProof/>
            <w:webHidden/>
          </w:rPr>
          <w:fldChar w:fldCharType="begin"/>
        </w:r>
        <w:r w:rsidR="00973CC5">
          <w:rPr>
            <w:noProof/>
            <w:webHidden/>
          </w:rPr>
          <w:instrText xml:space="preserve"> PAGEREF _Toc534712004 \h </w:instrText>
        </w:r>
        <w:r w:rsidR="00973CC5">
          <w:rPr>
            <w:noProof/>
            <w:webHidden/>
          </w:rPr>
        </w:r>
        <w:r w:rsidR="00973CC5">
          <w:rPr>
            <w:noProof/>
            <w:webHidden/>
          </w:rPr>
          <w:fldChar w:fldCharType="separate"/>
        </w:r>
        <w:r w:rsidR="00973CC5">
          <w:rPr>
            <w:noProof/>
            <w:webHidden/>
          </w:rPr>
          <w:t>35</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5" w:history="1">
        <w:r w:rsidR="00973CC5" w:rsidRPr="00C13543">
          <w:rPr>
            <w:rStyle w:val="Hypertextovodkaz"/>
            <w:noProof/>
          </w:rPr>
          <w:t>Mobile phone internet users – Main figures</w:t>
        </w:r>
        <w:r w:rsidR="00973CC5">
          <w:rPr>
            <w:noProof/>
            <w:webHidden/>
          </w:rPr>
          <w:tab/>
        </w:r>
        <w:r w:rsidR="00973CC5">
          <w:rPr>
            <w:noProof/>
            <w:webHidden/>
          </w:rPr>
          <w:fldChar w:fldCharType="begin"/>
        </w:r>
        <w:r w:rsidR="00973CC5">
          <w:rPr>
            <w:noProof/>
            <w:webHidden/>
          </w:rPr>
          <w:instrText xml:space="preserve"> PAGEREF _Toc534712005 \h </w:instrText>
        </w:r>
        <w:r w:rsidR="00973CC5">
          <w:rPr>
            <w:noProof/>
            <w:webHidden/>
          </w:rPr>
        </w:r>
        <w:r w:rsidR="00973CC5">
          <w:rPr>
            <w:noProof/>
            <w:webHidden/>
          </w:rPr>
          <w:fldChar w:fldCharType="separate"/>
        </w:r>
        <w:r w:rsidR="00973CC5">
          <w:rPr>
            <w:noProof/>
            <w:webHidden/>
          </w:rPr>
          <w:t>35</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6" w:history="1">
        <w:r w:rsidR="00973CC5" w:rsidRPr="00C13543">
          <w:rPr>
            <w:rStyle w:val="Hypertextovodkaz"/>
            <w:noProof/>
          </w:rPr>
          <w:t>Type of connection used by mobile phone internet users</w:t>
        </w:r>
        <w:r w:rsidR="00973CC5">
          <w:rPr>
            <w:noProof/>
            <w:webHidden/>
          </w:rPr>
          <w:tab/>
        </w:r>
        <w:r w:rsidR="00973CC5">
          <w:rPr>
            <w:noProof/>
            <w:webHidden/>
          </w:rPr>
          <w:fldChar w:fldCharType="begin"/>
        </w:r>
        <w:r w:rsidR="00973CC5">
          <w:rPr>
            <w:noProof/>
            <w:webHidden/>
          </w:rPr>
          <w:instrText xml:space="preserve"> PAGEREF _Toc534712006 \h </w:instrText>
        </w:r>
        <w:r w:rsidR="00973CC5">
          <w:rPr>
            <w:noProof/>
            <w:webHidden/>
          </w:rPr>
        </w:r>
        <w:r w:rsidR="00973CC5">
          <w:rPr>
            <w:noProof/>
            <w:webHidden/>
          </w:rPr>
          <w:fldChar w:fldCharType="separate"/>
        </w:r>
        <w:r w:rsidR="00973CC5">
          <w:rPr>
            <w:noProof/>
            <w:webHidden/>
          </w:rPr>
          <w:t>37</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7" w:history="1">
        <w:r w:rsidR="00973CC5" w:rsidRPr="00C13543">
          <w:rPr>
            <w:rStyle w:val="Hypertextovodkaz"/>
            <w:noProof/>
          </w:rPr>
          <w:t>Use of the internet on portable computers away from home</w:t>
        </w:r>
        <w:r w:rsidR="00973CC5">
          <w:rPr>
            <w:noProof/>
            <w:webHidden/>
          </w:rPr>
          <w:tab/>
        </w:r>
        <w:r w:rsidR="00973CC5">
          <w:rPr>
            <w:noProof/>
            <w:webHidden/>
          </w:rPr>
          <w:fldChar w:fldCharType="begin"/>
        </w:r>
        <w:r w:rsidR="00973CC5">
          <w:rPr>
            <w:noProof/>
            <w:webHidden/>
          </w:rPr>
          <w:instrText xml:space="preserve"> PAGEREF _Toc534712007 \h </w:instrText>
        </w:r>
        <w:r w:rsidR="00973CC5">
          <w:rPr>
            <w:noProof/>
            <w:webHidden/>
          </w:rPr>
        </w:r>
        <w:r w:rsidR="00973CC5">
          <w:rPr>
            <w:noProof/>
            <w:webHidden/>
          </w:rPr>
          <w:fldChar w:fldCharType="separate"/>
        </w:r>
        <w:r w:rsidR="00973CC5">
          <w:rPr>
            <w:noProof/>
            <w:webHidden/>
          </w:rPr>
          <w:t>37</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08" w:history="1">
        <w:r w:rsidR="00973CC5" w:rsidRPr="00C13543">
          <w:rPr>
            <w:rStyle w:val="Hypertextovodkaz"/>
            <w:noProof/>
          </w:rPr>
          <w:t>Internet users among elderly people</w:t>
        </w:r>
        <w:r w:rsidR="00973CC5">
          <w:rPr>
            <w:noProof/>
            <w:webHidden/>
          </w:rPr>
          <w:tab/>
        </w:r>
        <w:r w:rsidR="00973CC5">
          <w:rPr>
            <w:noProof/>
            <w:webHidden/>
          </w:rPr>
          <w:fldChar w:fldCharType="begin"/>
        </w:r>
        <w:r w:rsidR="00973CC5">
          <w:rPr>
            <w:noProof/>
            <w:webHidden/>
          </w:rPr>
          <w:instrText xml:space="preserve"> PAGEREF _Toc534712008 \h </w:instrText>
        </w:r>
        <w:r w:rsidR="00973CC5">
          <w:rPr>
            <w:noProof/>
            <w:webHidden/>
          </w:rPr>
        </w:r>
        <w:r w:rsidR="00973CC5">
          <w:rPr>
            <w:noProof/>
            <w:webHidden/>
          </w:rPr>
          <w:fldChar w:fldCharType="separate"/>
        </w:r>
        <w:r w:rsidR="00973CC5">
          <w:rPr>
            <w:noProof/>
            <w:webHidden/>
          </w:rPr>
          <w:t>38</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09" w:history="1">
        <w:r w:rsidR="00973CC5" w:rsidRPr="00C13543">
          <w:rPr>
            <w:rStyle w:val="Hypertextovodkaz"/>
          </w:rPr>
          <w:t>C.3 Internet activities – Purpose of internet use by individuals</w:t>
        </w:r>
        <w:r w:rsidR="00973CC5">
          <w:rPr>
            <w:webHidden/>
          </w:rPr>
          <w:tab/>
        </w:r>
        <w:r w:rsidR="00973CC5">
          <w:rPr>
            <w:webHidden/>
          </w:rPr>
          <w:fldChar w:fldCharType="begin"/>
        </w:r>
        <w:r w:rsidR="00973CC5">
          <w:rPr>
            <w:webHidden/>
          </w:rPr>
          <w:instrText xml:space="preserve"> PAGEREF _Toc534712009 \h </w:instrText>
        </w:r>
        <w:r w:rsidR="00973CC5">
          <w:rPr>
            <w:webHidden/>
          </w:rPr>
        </w:r>
        <w:r w:rsidR="00973CC5">
          <w:rPr>
            <w:webHidden/>
          </w:rPr>
          <w:fldChar w:fldCharType="separate"/>
        </w:r>
        <w:r w:rsidR="00973CC5">
          <w:rPr>
            <w:webHidden/>
          </w:rPr>
          <w:t>40</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0" w:history="1">
        <w:r w:rsidR="00973CC5" w:rsidRPr="00C13543">
          <w:rPr>
            <w:rStyle w:val="Hypertextovodkaz"/>
            <w:noProof/>
          </w:rPr>
          <w:t>Internet use for communication</w:t>
        </w:r>
        <w:r w:rsidR="00973CC5">
          <w:rPr>
            <w:noProof/>
            <w:webHidden/>
          </w:rPr>
          <w:tab/>
        </w:r>
        <w:r w:rsidR="00973CC5">
          <w:rPr>
            <w:noProof/>
            <w:webHidden/>
          </w:rPr>
          <w:fldChar w:fldCharType="begin"/>
        </w:r>
        <w:r w:rsidR="00973CC5">
          <w:rPr>
            <w:noProof/>
            <w:webHidden/>
          </w:rPr>
          <w:instrText xml:space="preserve"> PAGEREF _Toc534712010 \h </w:instrText>
        </w:r>
        <w:r w:rsidR="00973CC5">
          <w:rPr>
            <w:noProof/>
            <w:webHidden/>
          </w:rPr>
        </w:r>
        <w:r w:rsidR="00973CC5">
          <w:rPr>
            <w:noProof/>
            <w:webHidden/>
          </w:rPr>
          <w:fldChar w:fldCharType="separate"/>
        </w:r>
        <w:r w:rsidR="00973CC5">
          <w:rPr>
            <w:noProof/>
            <w:webHidden/>
          </w:rPr>
          <w:t>40</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1" w:history="1">
        <w:r w:rsidR="00973CC5" w:rsidRPr="00C13543">
          <w:rPr>
            <w:rStyle w:val="Hypertextovodkaz"/>
            <w:noProof/>
          </w:rPr>
          <w:t>Participating in online social networks</w:t>
        </w:r>
        <w:r w:rsidR="00973CC5">
          <w:rPr>
            <w:noProof/>
            <w:webHidden/>
          </w:rPr>
          <w:tab/>
        </w:r>
        <w:r w:rsidR="00973CC5">
          <w:rPr>
            <w:noProof/>
            <w:webHidden/>
          </w:rPr>
          <w:fldChar w:fldCharType="begin"/>
        </w:r>
        <w:r w:rsidR="00973CC5">
          <w:rPr>
            <w:noProof/>
            <w:webHidden/>
          </w:rPr>
          <w:instrText xml:space="preserve"> PAGEREF _Toc534712011 \h </w:instrText>
        </w:r>
        <w:r w:rsidR="00973CC5">
          <w:rPr>
            <w:noProof/>
            <w:webHidden/>
          </w:rPr>
        </w:r>
        <w:r w:rsidR="00973CC5">
          <w:rPr>
            <w:noProof/>
            <w:webHidden/>
          </w:rPr>
          <w:fldChar w:fldCharType="separate"/>
        </w:r>
        <w:r w:rsidR="00973CC5">
          <w:rPr>
            <w:noProof/>
            <w:webHidden/>
          </w:rPr>
          <w:t>41</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2" w:history="1">
        <w:r w:rsidR="00973CC5" w:rsidRPr="00C13543">
          <w:rPr>
            <w:rStyle w:val="Hypertextovodkaz"/>
            <w:noProof/>
          </w:rPr>
          <w:t>Internet use for entertainment</w:t>
        </w:r>
        <w:r w:rsidR="00973CC5">
          <w:rPr>
            <w:noProof/>
            <w:webHidden/>
          </w:rPr>
          <w:tab/>
        </w:r>
        <w:r w:rsidR="00973CC5">
          <w:rPr>
            <w:noProof/>
            <w:webHidden/>
          </w:rPr>
          <w:fldChar w:fldCharType="begin"/>
        </w:r>
        <w:r w:rsidR="00973CC5">
          <w:rPr>
            <w:noProof/>
            <w:webHidden/>
          </w:rPr>
          <w:instrText xml:space="preserve"> PAGEREF _Toc534712012 \h </w:instrText>
        </w:r>
        <w:r w:rsidR="00973CC5">
          <w:rPr>
            <w:noProof/>
            <w:webHidden/>
          </w:rPr>
        </w:r>
        <w:r w:rsidR="00973CC5">
          <w:rPr>
            <w:noProof/>
            <w:webHidden/>
          </w:rPr>
          <w:fldChar w:fldCharType="separate"/>
        </w:r>
        <w:r w:rsidR="00973CC5">
          <w:rPr>
            <w:noProof/>
            <w:webHidden/>
          </w:rPr>
          <w:t>42</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3" w:history="1">
        <w:r w:rsidR="00973CC5" w:rsidRPr="00C13543">
          <w:rPr>
            <w:rStyle w:val="Hypertextovodkaz"/>
            <w:noProof/>
          </w:rPr>
          <w:t>Watching videos on the internet</w:t>
        </w:r>
        <w:r w:rsidR="00973CC5">
          <w:rPr>
            <w:noProof/>
            <w:webHidden/>
          </w:rPr>
          <w:tab/>
        </w:r>
        <w:r w:rsidR="00973CC5">
          <w:rPr>
            <w:noProof/>
            <w:webHidden/>
          </w:rPr>
          <w:fldChar w:fldCharType="begin"/>
        </w:r>
        <w:r w:rsidR="00973CC5">
          <w:rPr>
            <w:noProof/>
            <w:webHidden/>
          </w:rPr>
          <w:instrText xml:space="preserve"> PAGEREF _Toc534712013 \h </w:instrText>
        </w:r>
        <w:r w:rsidR="00973CC5">
          <w:rPr>
            <w:noProof/>
            <w:webHidden/>
          </w:rPr>
        </w:r>
        <w:r w:rsidR="00973CC5">
          <w:rPr>
            <w:noProof/>
            <w:webHidden/>
          </w:rPr>
          <w:fldChar w:fldCharType="separate"/>
        </w:r>
        <w:r w:rsidR="00973CC5">
          <w:rPr>
            <w:noProof/>
            <w:webHidden/>
          </w:rPr>
          <w:t>43</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4" w:history="1">
        <w:r w:rsidR="00973CC5" w:rsidRPr="00C13543">
          <w:rPr>
            <w:rStyle w:val="Hypertextovodkaz"/>
            <w:noProof/>
          </w:rPr>
          <w:t>Internet use for travelling and accommodation</w:t>
        </w:r>
        <w:r w:rsidR="00973CC5">
          <w:rPr>
            <w:noProof/>
            <w:webHidden/>
          </w:rPr>
          <w:tab/>
        </w:r>
        <w:r w:rsidR="00973CC5">
          <w:rPr>
            <w:noProof/>
            <w:webHidden/>
          </w:rPr>
          <w:fldChar w:fldCharType="begin"/>
        </w:r>
        <w:r w:rsidR="00973CC5">
          <w:rPr>
            <w:noProof/>
            <w:webHidden/>
          </w:rPr>
          <w:instrText xml:space="preserve"> PAGEREF _Toc534712014 \h </w:instrText>
        </w:r>
        <w:r w:rsidR="00973CC5">
          <w:rPr>
            <w:noProof/>
            <w:webHidden/>
          </w:rPr>
        </w:r>
        <w:r w:rsidR="00973CC5">
          <w:rPr>
            <w:noProof/>
            <w:webHidden/>
          </w:rPr>
          <w:fldChar w:fldCharType="separate"/>
        </w:r>
        <w:r w:rsidR="00973CC5">
          <w:rPr>
            <w:noProof/>
            <w:webHidden/>
          </w:rPr>
          <w:t>44</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5" w:history="1">
        <w:r w:rsidR="00973CC5" w:rsidRPr="00C13543">
          <w:rPr>
            <w:rStyle w:val="Hypertextovodkaz"/>
            <w:noProof/>
          </w:rPr>
          <w:t>Use of cloud computing and internet banking by individuals</w:t>
        </w:r>
        <w:r w:rsidR="00973CC5">
          <w:rPr>
            <w:noProof/>
            <w:webHidden/>
          </w:rPr>
          <w:tab/>
        </w:r>
        <w:r w:rsidR="00973CC5">
          <w:rPr>
            <w:noProof/>
            <w:webHidden/>
          </w:rPr>
          <w:fldChar w:fldCharType="begin"/>
        </w:r>
        <w:r w:rsidR="00973CC5">
          <w:rPr>
            <w:noProof/>
            <w:webHidden/>
          </w:rPr>
          <w:instrText xml:space="preserve"> PAGEREF _Toc534712015 \h </w:instrText>
        </w:r>
        <w:r w:rsidR="00973CC5">
          <w:rPr>
            <w:noProof/>
            <w:webHidden/>
          </w:rPr>
        </w:r>
        <w:r w:rsidR="00973CC5">
          <w:rPr>
            <w:noProof/>
            <w:webHidden/>
          </w:rPr>
          <w:fldChar w:fldCharType="separate"/>
        </w:r>
        <w:r w:rsidR="00973CC5">
          <w:rPr>
            <w:noProof/>
            <w:webHidden/>
          </w:rPr>
          <w:t>46</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16" w:history="1">
        <w:r w:rsidR="00973CC5" w:rsidRPr="00C13543">
          <w:rPr>
            <w:rStyle w:val="Hypertextovodkaz"/>
          </w:rPr>
          <w:t>C.4 Purchasing over the internet</w:t>
        </w:r>
        <w:r w:rsidR="00973CC5">
          <w:rPr>
            <w:webHidden/>
          </w:rPr>
          <w:tab/>
        </w:r>
        <w:r w:rsidR="00973CC5">
          <w:rPr>
            <w:webHidden/>
          </w:rPr>
          <w:fldChar w:fldCharType="begin"/>
        </w:r>
        <w:r w:rsidR="00973CC5">
          <w:rPr>
            <w:webHidden/>
          </w:rPr>
          <w:instrText xml:space="preserve"> PAGEREF _Toc534712016 \h </w:instrText>
        </w:r>
        <w:r w:rsidR="00973CC5">
          <w:rPr>
            <w:webHidden/>
          </w:rPr>
        </w:r>
        <w:r w:rsidR="00973CC5">
          <w:rPr>
            <w:webHidden/>
          </w:rPr>
          <w:fldChar w:fldCharType="separate"/>
        </w:r>
        <w:r w:rsidR="00973CC5">
          <w:rPr>
            <w:webHidden/>
          </w:rPr>
          <w:t>48</w:t>
        </w:r>
        <w:r w:rsidR="00973CC5">
          <w:rPr>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2017" w:history="1">
        <w:r w:rsidR="00973CC5" w:rsidRPr="00C13543">
          <w:rPr>
            <w:rStyle w:val="Hypertextovodkaz"/>
          </w:rPr>
          <w:t>Chapter D Enterprises and ICT</w:t>
        </w:r>
        <w:r w:rsidR="00973CC5">
          <w:rPr>
            <w:webHidden/>
          </w:rPr>
          <w:tab/>
        </w:r>
        <w:r w:rsidR="00973CC5">
          <w:rPr>
            <w:webHidden/>
          </w:rPr>
          <w:fldChar w:fldCharType="begin"/>
        </w:r>
        <w:r w:rsidR="00973CC5">
          <w:rPr>
            <w:webHidden/>
          </w:rPr>
          <w:instrText xml:space="preserve"> PAGEREF _Toc534712017 \h </w:instrText>
        </w:r>
        <w:r w:rsidR="00973CC5">
          <w:rPr>
            <w:webHidden/>
          </w:rPr>
        </w:r>
        <w:r w:rsidR="00973CC5">
          <w:rPr>
            <w:webHidden/>
          </w:rPr>
          <w:fldChar w:fldCharType="separate"/>
        </w:r>
        <w:r w:rsidR="00973CC5">
          <w:rPr>
            <w:webHidden/>
          </w:rPr>
          <w:t>50</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18" w:history="1">
        <w:r w:rsidR="00973CC5" w:rsidRPr="00C13543">
          <w:rPr>
            <w:rStyle w:val="Hypertextovodkaz"/>
          </w:rPr>
          <w:t>D.1 Enterprises and computer networks</w:t>
        </w:r>
        <w:r w:rsidR="00973CC5">
          <w:rPr>
            <w:webHidden/>
          </w:rPr>
          <w:tab/>
        </w:r>
        <w:r w:rsidR="00973CC5">
          <w:rPr>
            <w:webHidden/>
          </w:rPr>
          <w:fldChar w:fldCharType="begin"/>
        </w:r>
        <w:r w:rsidR="00973CC5">
          <w:rPr>
            <w:webHidden/>
          </w:rPr>
          <w:instrText xml:space="preserve"> PAGEREF _Toc534712018 \h </w:instrText>
        </w:r>
        <w:r w:rsidR="00973CC5">
          <w:rPr>
            <w:webHidden/>
          </w:rPr>
        </w:r>
        <w:r w:rsidR="00973CC5">
          <w:rPr>
            <w:webHidden/>
          </w:rPr>
          <w:fldChar w:fldCharType="separate"/>
        </w:r>
        <w:r w:rsidR="00973CC5">
          <w:rPr>
            <w:webHidden/>
          </w:rPr>
          <w:t>50</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19" w:history="1">
        <w:r w:rsidR="00973CC5" w:rsidRPr="00C13543">
          <w:rPr>
            <w:rStyle w:val="Hypertextovodkaz"/>
            <w:noProof/>
          </w:rPr>
          <w:t>Use of internal computer network</w:t>
        </w:r>
        <w:r w:rsidR="00973CC5">
          <w:rPr>
            <w:noProof/>
            <w:webHidden/>
          </w:rPr>
          <w:tab/>
        </w:r>
        <w:r w:rsidR="00973CC5">
          <w:rPr>
            <w:noProof/>
            <w:webHidden/>
          </w:rPr>
          <w:fldChar w:fldCharType="begin"/>
        </w:r>
        <w:r w:rsidR="00973CC5">
          <w:rPr>
            <w:noProof/>
            <w:webHidden/>
          </w:rPr>
          <w:instrText xml:space="preserve"> PAGEREF _Toc534712019 \h </w:instrText>
        </w:r>
        <w:r w:rsidR="00973CC5">
          <w:rPr>
            <w:noProof/>
            <w:webHidden/>
          </w:rPr>
        </w:r>
        <w:r w:rsidR="00973CC5">
          <w:rPr>
            <w:noProof/>
            <w:webHidden/>
          </w:rPr>
          <w:fldChar w:fldCharType="separate"/>
        </w:r>
        <w:r w:rsidR="00973CC5">
          <w:rPr>
            <w:noProof/>
            <w:webHidden/>
          </w:rPr>
          <w:t>50</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0" w:history="1">
        <w:r w:rsidR="00973CC5" w:rsidRPr="00C13543">
          <w:rPr>
            <w:rStyle w:val="Hypertextovodkaz"/>
            <w:noProof/>
          </w:rPr>
          <w:t>Enterprises with intranet and extranet</w:t>
        </w:r>
        <w:r w:rsidR="00973CC5">
          <w:rPr>
            <w:noProof/>
            <w:webHidden/>
          </w:rPr>
          <w:tab/>
        </w:r>
        <w:r w:rsidR="00973CC5">
          <w:rPr>
            <w:noProof/>
            <w:webHidden/>
          </w:rPr>
          <w:fldChar w:fldCharType="begin"/>
        </w:r>
        <w:r w:rsidR="00973CC5">
          <w:rPr>
            <w:noProof/>
            <w:webHidden/>
          </w:rPr>
          <w:instrText xml:space="preserve"> PAGEREF _Toc534712020 \h </w:instrText>
        </w:r>
        <w:r w:rsidR="00973CC5">
          <w:rPr>
            <w:noProof/>
            <w:webHidden/>
          </w:rPr>
        </w:r>
        <w:r w:rsidR="00973CC5">
          <w:rPr>
            <w:noProof/>
            <w:webHidden/>
          </w:rPr>
          <w:fldChar w:fldCharType="separate"/>
        </w:r>
        <w:r w:rsidR="00973CC5">
          <w:rPr>
            <w:noProof/>
            <w:webHidden/>
          </w:rPr>
          <w:t>50</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21" w:history="1">
        <w:r w:rsidR="00973CC5" w:rsidRPr="00C13543">
          <w:rPr>
            <w:rStyle w:val="Hypertextovodkaz"/>
          </w:rPr>
          <w:t>D.2 Enterprises with access to the internet</w:t>
        </w:r>
        <w:r w:rsidR="00973CC5">
          <w:rPr>
            <w:webHidden/>
          </w:rPr>
          <w:tab/>
        </w:r>
        <w:r w:rsidR="00973CC5">
          <w:rPr>
            <w:webHidden/>
          </w:rPr>
          <w:fldChar w:fldCharType="begin"/>
        </w:r>
        <w:r w:rsidR="00973CC5">
          <w:rPr>
            <w:webHidden/>
          </w:rPr>
          <w:instrText xml:space="preserve"> PAGEREF _Toc534712021 \h </w:instrText>
        </w:r>
        <w:r w:rsidR="00973CC5">
          <w:rPr>
            <w:webHidden/>
          </w:rPr>
        </w:r>
        <w:r w:rsidR="00973CC5">
          <w:rPr>
            <w:webHidden/>
          </w:rPr>
          <w:fldChar w:fldCharType="separate"/>
        </w:r>
        <w:r w:rsidR="00973CC5">
          <w:rPr>
            <w:webHidden/>
          </w:rPr>
          <w:t>51</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2" w:history="1">
        <w:r w:rsidR="00973CC5" w:rsidRPr="00C13543">
          <w:rPr>
            <w:rStyle w:val="Hypertextovodkaz"/>
            <w:noProof/>
          </w:rPr>
          <w:t>Type of internet connection used by enterprises</w:t>
        </w:r>
        <w:r w:rsidR="00973CC5">
          <w:rPr>
            <w:noProof/>
            <w:webHidden/>
          </w:rPr>
          <w:tab/>
        </w:r>
        <w:r w:rsidR="00973CC5">
          <w:rPr>
            <w:noProof/>
            <w:webHidden/>
          </w:rPr>
          <w:fldChar w:fldCharType="begin"/>
        </w:r>
        <w:r w:rsidR="00973CC5">
          <w:rPr>
            <w:noProof/>
            <w:webHidden/>
          </w:rPr>
          <w:instrText xml:space="preserve"> PAGEREF _Toc534712022 \h </w:instrText>
        </w:r>
        <w:r w:rsidR="00973CC5">
          <w:rPr>
            <w:noProof/>
            <w:webHidden/>
          </w:rPr>
        </w:r>
        <w:r w:rsidR="00973CC5">
          <w:rPr>
            <w:noProof/>
            <w:webHidden/>
          </w:rPr>
          <w:fldChar w:fldCharType="separate"/>
        </w:r>
        <w:r w:rsidR="00973CC5">
          <w:rPr>
            <w:noProof/>
            <w:webHidden/>
          </w:rPr>
          <w:t>52</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3" w:history="1">
        <w:r w:rsidR="00973CC5" w:rsidRPr="00C13543">
          <w:rPr>
            <w:rStyle w:val="Hypertextovodkaz"/>
            <w:noProof/>
          </w:rPr>
          <w:t>Speed of internet connection used by enterprises</w:t>
        </w:r>
        <w:r w:rsidR="00973CC5">
          <w:rPr>
            <w:noProof/>
            <w:webHidden/>
          </w:rPr>
          <w:tab/>
        </w:r>
        <w:r w:rsidR="00973CC5">
          <w:rPr>
            <w:noProof/>
            <w:webHidden/>
          </w:rPr>
          <w:fldChar w:fldCharType="begin"/>
        </w:r>
        <w:r w:rsidR="00973CC5">
          <w:rPr>
            <w:noProof/>
            <w:webHidden/>
          </w:rPr>
          <w:instrText xml:space="preserve"> PAGEREF _Toc534712023 \h </w:instrText>
        </w:r>
        <w:r w:rsidR="00973CC5">
          <w:rPr>
            <w:noProof/>
            <w:webHidden/>
          </w:rPr>
        </w:r>
        <w:r w:rsidR="00973CC5">
          <w:rPr>
            <w:noProof/>
            <w:webHidden/>
          </w:rPr>
          <w:fldChar w:fldCharType="separate"/>
        </w:r>
        <w:r w:rsidR="00973CC5">
          <w:rPr>
            <w:noProof/>
            <w:webHidden/>
          </w:rPr>
          <w:t>52</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24" w:history="1">
        <w:r w:rsidR="00973CC5" w:rsidRPr="00C13543">
          <w:rPr>
            <w:rStyle w:val="Hypertextovodkaz"/>
          </w:rPr>
          <w:t>D.3 Enterprises with a website</w:t>
        </w:r>
        <w:r w:rsidR="00973CC5">
          <w:rPr>
            <w:webHidden/>
          </w:rPr>
          <w:tab/>
        </w:r>
        <w:r w:rsidR="00973CC5">
          <w:rPr>
            <w:webHidden/>
          </w:rPr>
          <w:fldChar w:fldCharType="begin"/>
        </w:r>
        <w:r w:rsidR="00973CC5">
          <w:rPr>
            <w:webHidden/>
          </w:rPr>
          <w:instrText xml:space="preserve"> PAGEREF _Toc534712024 \h </w:instrText>
        </w:r>
        <w:r w:rsidR="00973CC5">
          <w:rPr>
            <w:webHidden/>
          </w:rPr>
        </w:r>
        <w:r w:rsidR="00973CC5">
          <w:rPr>
            <w:webHidden/>
          </w:rPr>
          <w:fldChar w:fldCharType="separate"/>
        </w:r>
        <w:r w:rsidR="00973CC5">
          <w:rPr>
            <w:webHidden/>
          </w:rPr>
          <w:t>54</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5" w:history="1">
        <w:r w:rsidR="00973CC5" w:rsidRPr="00C13543">
          <w:rPr>
            <w:rStyle w:val="Hypertextovodkaz"/>
            <w:noProof/>
          </w:rPr>
          <w:t>Language version and type of domain used by enterprises on their website</w:t>
        </w:r>
        <w:r w:rsidR="00973CC5">
          <w:rPr>
            <w:noProof/>
            <w:webHidden/>
          </w:rPr>
          <w:tab/>
        </w:r>
        <w:r w:rsidR="00973CC5">
          <w:rPr>
            <w:noProof/>
            <w:webHidden/>
          </w:rPr>
          <w:fldChar w:fldCharType="begin"/>
        </w:r>
        <w:r w:rsidR="00973CC5">
          <w:rPr>
            <w:noProof/>
            <w:webHidden/>
          </w:rPr>
          <w:instrText xml:space="preserve"> PAGEREF _Toc534712025 \h </w:instrText>
        </w:r>
        <w:r w:rsidR="00973CC5">
          <w:rPr>
            <w:noProof/>
            <w:webHidden/>
          </w:rPr>
        </w:r>
        <w:r w:rsidR="00973CC5">
          <w:rPr>
            <w:noProof/>
            <w:webHidden/>
          </w:rPr>
          <w:fldChar w:fldCharType="separate"/>
        </w:r>
        <w:r w:rsidR="00973CC5">
          <w:rPr>
            <w:noProof/>
            <w:webHidden/>
          </w:rPr>
          <w:t>55</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6" w:history="1">
        <w:r w:rsidR="00973CC5" w:rsidRPr="00C13543">
          <w:rPr>
            <w:rStyle w:val="Hypertextovodkaz"/>
            <w:noProof/>
          </w:rPr>
          <w:t>Applications available on enterprises’ website</w:t>
        </w:r>
        <w:r w:rsidR="00973CC5">
          <w:rPr>
            <w:noProof/>
            <w:webHidden/>
          </w:rPr>
          <w:tab/>
        </w:r>
        <w:r w:rsidR="00973CC5">
          <w:rPr>
            <w:noProof/>
            <w:webHidden/>
          </w:rPr>
          <w:fldChar w:fldCharType="begin"/>
        </w:r>
        <w:r w:rsidR="00973CC5">
          <w:rPr>
            <w:noProof/>
            <w:webHidden/>
          </w:rPr>
          <w:instrText xml:space="preserve"> PAGEREF _Toc534712026 \h </w:instrText>
        </w:r>
        <w:r w:rsidR="00973CC5">
          <w:rPr>
            <w:noProof/>
            <w:webHidden/>
          </w:rPr>
        </w:r>
        <w:r w:rsidR="00973CC5">
          <w:rPr>
            <w:noProof/>
            <w:webHidden/>
          </w:rPr>
          <w:fldChar w:fldCharType="separate"/>
        </w:r>
        <w:r w:rsidR="00973CC5">
          <w:rPr>
            <w:noProof/>
            <w:webHidden/>
          </w:rPr>
          <w:t>56</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7" w:history="1">
        <w:r w:rsidR="00973CC5" w:rsidRPr="00C13543">
          <w:rPr>
            <w:rStyle w:val="Hypertextovodkaz"/>
            <w:noProof/>
          </w:rPr>
          <w:t>Enterprises selling via their websites</w:t>
        </w:r>
        <w:r w:rsidR="00973CC5">
          <w:rPr>
            <w:noProof/>
            <w:webHidden/>
          </w:rPr>
          <w:tab/>
        </w:r>
        <w:r w:rsidR="00973CC5">
          <w:rPr>
            <w:noProof/>
            <w:webHidden/>
          </w:rPr>
          <w:fldChar w:fldCharType="begin"/>
        </w:r>
        <w:r w:rsidR="00973CC5">
          <w:rPr>
            <w:noProof/>
            <w:webHidden/>
          </w:rPr>
          <w:instrText xml:space="preserve"> PAGEREF _Toc534712027 \h </w:instrText>
        </w:r>
        <w:r w:rsidR="00973CC5">
          <w:rPr>
            <w:noProof/>
            <w:webHidden/>
          </w:rPr>
        </w:r>
        <w:r w:rsidR="00973CC5">
          <w:rPr>
            <w:noProof/>
            <w:webHidden/>
          </w:rPr>
          <w:fldChar w:fldCharType="separate"/>
        </w:r>
        <w:r w:rsidR="00973CC5">
          <w:rPr>
            <w:noProof/>
            <w:webHidden/>
          </w:rPr>
          <w:t>57</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28" w:history="1">
        <w:r w:rsidR="00973CC5" w:rsidRPr="00C13543">
          <w:rPr>
            <w:rStyle w:val="Hypertextovodkaz"/>
          </w:rPr>
          <w:t>D.4 Use of selected internet applications and services by enterprises</w:t>
        </w:r>
        <w:r w:rsidR="00973CC5">
          <w:rPr>
            <w:webHidden/>
          </w:rPr>
          <w:tab/>
        </w:r>
        <w:r w:rsidR="00973CC5">
          <w:rPr>
            <w:webHidden/>
          </w:rPr>
          <w:fldChar w:fldCharType="begin"/>
        </w:r>
        <w:r w:rsidR="00973CC5">
          <w:rPr>
            <w:webHidden/>
          </w:rPr>
          <w:instrText xml:space="preserve"> PAGEREF _Toc534712028 \h </w:instrText>
        </w:r>
        <w:r w:rsidR="00973CC5">
          <w:rPr>
            <w:webHidden/>
          </w:rPr>
        </w:r>
        <w:r w:rsidR="00973CC5">
          <w:rPr>
            <w:webHidden/>
          </w:rPr>
          <w:fldChar w:fldCharType="separate"/>
        </w:r>
        <w:r w:rsidR="00973CC5">
          <w:rPr>
            <w:webHidden/>
          </w:rPr>
          <w:t>58</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29" w:history="1">
        <w:r w:rsidR="00973CC5" w:rsidRPr="00C13543">
          <w:rPr>
            <w:rStyle w:val="Hypertextovodkaz"/>
            <w:noProof/>
          </w:rPr>
          <w:t>Enterprises and social media</w:t>
        </w:r>
        <w:r w:rsidR="00973CC5">
          <w:rPr>
            <w:noProof/>
            <w:webHidden/>
          </w:rPr>
          <w:tab/>
        </w:r>
        <w:r w:rsidR="00973CC5">
          <w:rPr>
            <w:noProof/>
            <w:webHidden/>
          </w:rPr>
          <w:fldChar w:fldCharType="begin"/>
        </w:r>
        <w:r w:rsidR="00973CC5">
          <w:rPr>
            <w:noProof/>
            <w:webHidden/>
          </w:rPr>
          <w:instrText xml:space="preserve"> PAGEREF _Toc534712029 \h </w:instrText>
        </w:r>
        <w:r w:rsidR="00973CC5">
          <w:rPr>
            <w:noProof/>
            <w:webHidden/>
          </w:rPr>
        </w:r>
        <w:r w:rsidR="00973CC5">
          <w:rPr>
            <w:noProof/>
            <w:webHidden/>
          </w:rPr>
          <w:fldChar w:fldCharType="separate"/>
        </w:r>
        <w:r w:rsidR="00973CC5">
          <w:rPr>
            <w:noProof/>
            <w:webHidden/>
          </w:rPr>
          <w:t>58</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0" w:history="1">
        <w:r w:rsidR="00973CC5" w:rsidRPr="00C13543">
          <w:rPr>
            <w:rStyle w:val="Hypertextovodkaz"/>
            <w:noProof/>
          </w:rPr>
          <w:t>Enterprises using paid cloud computing services</w:t>
        </w:r>
        <w:r w:rsidR="00973CC5">
          <w:rPr>
            <w:noProof/>
            <w:webHidden/>
          </w:rPr>
          <w:tab/>
        </w:r>
        <w:r w:rsidR="00973CC5">
          <w:rPr>
            <w:noProof/>
            <w:webHidden/>
          </w:rPr>
          <w:fldChar w:fldCharType="begin"/>
        </w:r>
        <w:r w:rsidR="00973CC5">
          <w:rPr>
            <w:noProof/>
            <w:webHidden/>
          </w:rPr>
          <w:instrText xml:space="preserve"> PAGEREF _Toc534712030 \h </w:instrText>
        </w:r>
        <w:r w:rsidR="00973CC5">
          <w:rPr>
            <w:noProof/>
            <w:webHidden/>
          </w:rPr>
        </w:r>
        <w:r w:rsidR="00973CC5">
          <w:rPr>
            <w:noProof/>
            <w:webHidden/>
          </w:rPr>
          <w:fldChar w:fldCharType="separate"/>
        </w:r>
        <w:r w:rsidR="00973CC5">
          <w:rPr>
            <w:noProof/>
            <w:webHidden/>
          </w:rPr>
          <w:t>61</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1" w:history="1">
        <w:r w:rsidR="00973CC5" w:rsidRPr="00C13543">
          <w:rPr>
            <w:rStyle w:val="Hypertextovodkaz"/>
            <w:noProof/>
          </w:rPr>
          <w:t>Enterprises using selected software applications</w:t>
        </w:r>
        <w:r w:rsidR="00973CC5">
          <w:rPr>
            <w:noProof/>
            <w:webHidden/>
          </w:rPr>
          <w:tab/>
        </w:r>
        <w:r w:rsidR="00973CC5">
          <w:rPr>
            <w:noProof/>
            <w:webHidden/>
          </w:rPr>
          <w:fldChar w:fldCharType="begin"/>
        </w:r>
        <w:r w:rsidR="00973CC5">
          <w:rPr>
            <w:noProof/>
            <w:webHidden/>
          </w:rPr>
          <w:instrText xml:space="preserve"> PAGEREF _Toc534712031 \h </w:instrText>
        </w:r>
        <w:r w:rsidR="00973CC5">
          <w:rPr>
            <w:noProof/>
            <w:webHidden/>
          </w:rPr>
        </w:r>
        <w:r w:rsidR="00973CC5">
          <w:rPr>
            <w:noProof/>
            <w:webHidden/>
          </w:rPr>
          <w:fldChar w:fldCharType="separate"/>
        </w:r>
        <w:r w:rsidR="00973CC5">
          <w:rPr>
            <w:noProof/>
            <w:webHidden/>
          </w:rPr>
          <w:t>63</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32" w:history="1">
        <w:r w:rsidR="00973CC5" w:rsidRPr="00C13543">
          <w:rPr>
            <w:rStyle w:val="Hypertextovodkaz"/>
          </w:rPr>
          <w:t>D.5 Enterprises using electronic invoicing and commerce</w:t>
        </w:r>
        <w:r w:rsidR="00973CC5">
          <w:rPr>
            <w:webHidden/>
          </w:rPr>
          <w:tab/>
        </w:r>
        <w:r w:rsidR="00973CC5">
          <w:rPr>
            <w:webHidden/>
          </w:rPr>
          <w:fldChar w:fldCharType="begin"/>
        </w:r>
        <w:r w:rsidR="00973CC5">
          <w:rPr>
            <w:webHidden/>
          </w:rPr>
          <w:instrText xml:space="preserve"> PAGEREF _Toc534712032 \h </w:instrText>
        </w:r>
        <w:r w:rsidR="00973CC5">
          <w:rPr>
            <w:webHidden/>
          </w:rPr>
        </w:r>
        <w:r w:rsidR="00973CC5">
          <w:rPr>
            <w:webHidden/>
          </w:rPr>
          <w:fldChar w:fldCharType="separate"/>
        </w:r>
        <w:r w:rsidR="00973CC5">
          <w:rPr>
            <w:webHidden/>
          </w:rPr>
          <w:t>65</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3" w:history="1">
        <w:r w:rsidR="00973CC5" w:rsidRPr="00C13543">
          <w:rPr>
            <w:rStyle w:val="Hypertextovodkaz"/>
            <w:noProof/>
          </w:rPr>
          <w:t>Use of electronic invoicing by enterprises</w:t>
        </w:r>
        <w:r w:rsidR="00973CC5">
          <w:rPr>
            <w:noProof/>
            <w:webHidden/>
          </w:rPr>
          <w:tab/>
        </w:r>
        <w:r w:rsidR="00973CC5">
          <w:rPr>
            <w:noProof/>
            <w:webHidden/>
          </w:rPr>
          <w:fldChar w:fldCharType="begin"/>
        </w:r>
        <w:r w:rsidR="00973CC5">
          <w:rPr>
            <w:noProof/>
            <w:webHidden/>
          </w:rPr>
          <w:instrText xml:space="preserve"> PAGEREF _Toc534712033 \h </w:instrText>
        </w:r>
        <w:r w:rsidR="00973CC5">
          <w:rPr>
            <w:noProof/>
            <w:webHidden/>
          </w:rPr>
        </w:r>
        <w:r w:rsidR="00973CC5">
          <w:rPr>
            <w:noProof/>
            <w:webHidden/>
          </w:rPr>
          <w:fldChar w:fldCharType="separate"/>
        </w:r>
        <w:r w:rsidR="00973CC5">
          <w:rPr>
            <w:noProof/>
            <w:webHidden/>
          </w:rPr>
          <w:t>65</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4" w:history="1">
        <w:r w:rsidR="00973CC5" w:rsidRPr="00C13543">
          <w:rPr>
            <w:rStyle w:val="Hypertextovodkaz"/>
            <w:noProof/>
          </w:rPr>
          <w:t>Enterprises buying online and value of their electronic purchases</w:t>
        </w:r>
        <w:r w:rsidR="00973CC5">
          <w:rPr>
            <w:noProof/>
            <w:webHidden/>
          </w:rPr>
          <w:tab/>
        </w:r>
        <w:r w:rsidR="00973CC5">
          <w:rPr>
            <w:noProof/>
            <w:webHidden/>
          </w:rPr>
          <w:fldChar w:fldCharType="begin"/>
        </w:r>
        <w:r w:rsidR="00973CC5">
          <w:rPr>
            <w:noProof/>
            <w:webHidden/>
          </w:rPr>
          <w:instrText xml:space="preserve"> PAGEREF _Toc534712034 \h </w:instrText>
        </w:r>
        <w:r w:rsidR="00973CC5">
          <w:rPr>
            <w:noProof/>
            <w:webHidden/>
          </w:rPr>
        </w:r>
        <w:r w:rsidR="00973CC5">
          <w:rPr>
            <w:noProof/>
            <w:webHidden/>
          </w:rPr>
          <w:fldChar w:fldCharType="separate"/>
        </w:r>
        <w:r w:rsidR="00973CC5">
          <w:rPr>
            <w:noProof/>
            <w:webHidden/>
          </w:rPr>
          <w:t>67</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5" w:history="1">
        <w:r w:rsidR="00973CC5" w:rsidRPr="00C13543">
          <w:rPr>
            <w:rStyle w:val="Hypertextovodkaz"/>
            <w:noProof/>
          </w:rPr>
          <w:t>Enterprises selling online and value of their electronic sales</w:t>
        </w:r>
        <w:r w:rsidR="00973CC5">
          <w:rPr>
            <w:noProof/>
            <w:webHidden/>
          </w:rPr>
          <w:tab/>
        </w:r>
        <w:r w:rsidR="00973CC5">
          <w:rPr>
            <w:noProof/>
            <w:webHidden/>
          </w:rPr>
          <w:fldChar w:fldCharType="begin"/>
        </w:r>
        <w:r w:rsidR="00973CC5">
          <w:rPr>
            <w:noProof/>
            <w:webHidden/>
          </w:rPr>
          <w:instrText xml:space="preserve"> PAGEREF _Toc534712035 \h </w:instrText>
        </w:r>
        <w:r w:rsidR="00973CC5">
          <w:rPr>
            <w:noProof/>
            <w:webHidden/>
          </w:rPr>
        </w:r>
        <w:r w:rsidR="00973CC5">
          <w:rPr>
            <w:noProof/>
            <w:webHidden/>
          </w:rPr>
          <w:fldChar w:fldCharType="separate"/>
        </w:r>
        <w:r w:rsidR="00973CC5">
          <w:rPr>
            <w:noProof/>
            <w:webHidden/>
          </w:rPr>
          <w:t>69</w:t>
        </w:r>
        <w:r w:rsidR="00973CC5">
          <w:rPr>
            <w:noProof/>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36" w:history="1">
        <w:r w:rsidR="00973CC5" w:rsidRPr="00C13543">
          <w:rPr>
            <w:rStyle w:val="Hypertextovodkaz"/>
          </w:rPr>
          <w:t>D.6 Employees and ICT</w:t>
        </w:r>
        <w:r w:rsidR="00973CC5">
          <w:rPr>
            <w:webHidden/>
          </w:rPr>
          <w:tab/>
        </w:r>
        <w:r w:rsidR="00973CC5">
          <w:rPr>
            <w:webHidden/>
          </w:rPr>
          <w:fldChar w:fldCharType="begin"/>
        </w:r>
        <w:r w:rsidR="00973CC5">
          <w:rPr>
            <w:webHidden/>
          </w:rPr>
          <w:instrText xml:space="preserve"> PAGEREF _Toc534712036 \h </w:instrText>
        </w:r>
        <w:r w:rsidR="00973CC5">
          <w:rPr>
            <w:webHidden/>
          </w:rPr>
        </w:r>
        <w:r w:rsidR="00973CC5">
          <w:rPr>
            <w:webHidden/>
          </w:rPr>
          <w:fldChar w:fldCharType="separate"/>
        </w:r>
        <w:r w:rsidR="00973CC5">
          <w:rPr>
            <w:webHidden/>
          </w:rPr>
          <w:t>71</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7" w:history="1">
        <w:r w:rsidR="00973CC5" w:rsidRPr="00C13543">
          <w:rPr>
            <w:rStyle w:val="Hypertextovodkaz"/>
            <w:noProof/>
          </w:rPr>
          <w:t>Employees using selected information technologies</w:t>
        </w:r>
        <w:r w:rsidR="00973CC5">
          <w:rPr>
            <w:noProof/>
            <w:webHidden/>
          </w:rPr>
          <w:tab/>
        </w:r>
        <w:r w:rsidR="00973CC5">
          <w:rPr>
            <w:noProof/>
            <w:webHidden/>
          </w:rPr>
          <w:fldChar w:fldCharType="begin"/>
        </w:r>
        <w:r w:rsidR="00973CC5">
          <w:rPr>
            <w:noProof/>
            <w:webHidden/>
          </w:rPr>
          <w:instrText xml:space="preserve"> PAGEREF _Toc534712037 \h </w:instrText>
        </w:r>
        <w:r w:rsidR="00973CC5">
          <w:rPr>
            <w:noProof/>
            <w:webHidden/>
          </w:rPr>
        </w:r>
        <w:r w:rsidR="00973CC5">
          <w:rPr>
            <w:noProof/>
            <w:webHidden/>
          </w:rPr>
          <w:fldChar w:fldCharType="separate"/>
        </w:r>
        <w:r w:rsidR="00973CC5">
          <w:rPr>
            <w:noProof/>
            <w:webHidden/>
          </w:rPr>
          <w:t>71</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8" w:history="1">
        <w:r w:rsidR="00973CC5" w:rsidRPr="00C13543">
          <w:rPr>
            <w:rStyle w:val="Hypertextovodkaz"/>
            <w:noProof/>
          </w:rPr>
          <w:t>ICT training provided to employees</w:t>
        </w:r>
        <w:r w:rsidR="00973CC5">
          <w:rPr>
            <w:noProof/>
            <w:webHidden/>
          </w:rPr>
          <w:tab/>
        </w:r>
        <w:r w:rsidR="00973CC5">
          <w:rPr>
            <w:noProof/>
            <w:webHidden/>
          </w:rPr>
          <w:fldChar w:fldCharType="begin"/>
        </w:r>
        <w:r w:rsidR="00973CC5">
          <w:rPr>
            <w:noProof/>
            <w:webHidden/>
          </w:rPr>
          <w:instrText xml:space="preserve"> PAGEREF _Toc534712038 \h </w:instrText>
        </w:r>
        <w:r w:rsidR="00973CC5">
          <w:rPr>
            <w:noProof/>
            <w:webHidden/>
          </w:rPr>
        </w:r>
        <w:r w:rsidR="00973CC5">
          <w:rPr>
            <w:noProof/>
            <w:webHidden/>
          </w:rPr>
          <w:fldChar w:fldCharType="separate"/>
        </w:r>
        <w:r w:rsidR="00973CC5">
          <w:rPr>
            <w:noProof/>
            <w:webHidden/>
          </w:rPr>
          <w:t>72</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39" w:history="1">
        <w:r w:rsidR="00973CC5" w:rsidRPr="00C13543">
          <w:rPr>
            <w:rStyle w:val="Hypertextovodkaz"/>
            <w:noProof/>
          </w:rPr>
          <w:t>Enterprises employing ICT specialists</w:t>
        </w:r>
        <w:r w:rsidR="00973CC5">
          <w:rPr>
            <w:noProof/>
            <w:webHidden/>
          </w:rPr>
          <w:tab/>
        </w:r>
        <w:r w:rsidR="00973CC5">
          <w:rPr>
            <w:noProof/>
            <w:webHidden/>
          </w:rPr>
          <w:fldChar w:fldCharType="begin"/>
        </w:r>
        <w:r w:rsidR="00973CC5">
          <w:rPr>
            <w:noProof/>
            <w:webHidden/>
          </w:rPr>
          <w:instrText xml:space="preserve"> PAGEREF _Toc534712039 \h </w:instrText>
        </w:r>
        <w:r w:rsidR="00973CC5">
          <w:rPr>
            <w:noProof/>
            <w:webHidden/>
          </w:rPr>
        </w:r>
        <w:r w:rsidR="00973CC5">
          <w:rPr>
            <w:noProof/>
            <w:webHidden/>
          </w:rPr>
          <w:fldChar w:fldCharType="separate"/>
        </w:r>
        <w:r w:rsidR="00973CC5">
          <w:rPr>
            <w:noProof/>
            <w:webHidden/>
          </w:rPr>
          <w:t>72</w:t>
        </w:r>
        <w:r w:rsidR="00973CC5">
          <w:rPr>
            <w:noProof/>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2040" w:history="1">
        <w:r w:rsidR="00973CC5" w:rsidRPr="00C13543">
          <w:rPr>
            <w:rStyle w:val="Hypertextovodkaz"/>
          </w:rPr>
          <w:t>Chapter E Government and ICT</w:t>
        </w:r>
        <w:r w:rsidR="00973CC5">
          <w:rPr>
            <w:webHidden/>
          </w:rPr>
          <w:tab/>
        </w:r>
        <w:r w:rsidR="00973CC5">
          <w:rPr>
            <w:webHidden/>
          </w:rPr>
          <w:fldChar w:fldCharType="begin"/>
        </w:r>
        <w:r w:rsidR="00973CC5">
          <w:rPr>
            <w:webHidden/>
          </w:rPr>
          <w:instrText xml:space="preserve"> PAGEREF _Toc534712040 \h </w:instrText>
        </w:r>
        <w:r w:rsidR="00973CC5">
          <w:rPr>
            <w:webHidden/>
          </w:rPr>
        </w:r>
        <w:r w:rsidR="00973CC5">
          <w:rPr>
            <w:webHidden/>
          </w:rPr>
          <w:fldChar w:fldCharType="separate"/>
        </w:r>
        <w:r w:rsidR="00973CC5">
          <w:rPr>
            <w:webHidden/>
          </w:rPr>
          <w:t>74</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1" w:history="1">
        <w:r w:rsidR="00973CC5" w:rsidRPr="00C13543">
          <w:rPr>
            <w:rStyle w:val="Hypertextovodkaz"/>
          </w:rPr>
          <w:t>E.1 Use of Czech POINT for Government Services</w:t>
        </w:r>
        <w:r w:rsidR="00973CC5">
          <w:rPr>
            <w:webHidden/>
          </w:rPr>
          <w:tab/>
        </w:r>
        <w:r w:rsidR="00973CC5">
          <w:rPr>
            <w:webHidden/>
          </w:rPr>
          <w:fldChar w:fldCharType="begin"/>
        </w:r>
        <w:r w:rsidR="00973CC5">
          <w:rPr>
            <w:webHidden/>
          </w:rPr>
          <w:instrText xml:space="preserve"> PAGEREF _Toc534712041 \h </w:instrText>
        </w:r>
        <w:r w:rsidR="00973CC5">
          <w:rPr>
            <w:webHidden/>
          </w:rPr>
        </w:r>
        <w:r w:rsidR="00973CC5">
          <w:rPr>
            <w:webHidden/>
          </w:rPr>
          <w:fldChar w:fldCharType="separate"/>
        </w:r>
        <w:r w:rsidR="00973CC5">
          <w:rPr>
            <w:webHidden/>
          </w:rPr>
          <w:t>75</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2" w:history="1">
        <w:r w:rsidR="00973CC5" w:rsidRPr="00C13543">
          <w:rPr>
            <w:rStyle w:val="Hypertextovodkaz"/>
          </w:rPr>
          <w:t>E.2 Use of Data Boxes for Communication with Public Authorities</w:t>
        </w:r>
        <w:r w:rsidR="00973CC5">
          <w:rPr>
            <w:webHidden/>
          </w:rPr>
          <w:tab/>
        </w:r>
        <w:r w:rsidR="00973CC5">
          <w:rPr>
            <w:webHidden/>
          </w:rPr>
          <w:fldChar w:fldCharType="begin"/>
        </w:r>
        <w:r w:rsidR="00973CC5">
          <w:rPr>
            <w:webHidden/>
          </w:rPr>
          <w:instrText xml:space="preserve"> PAGEREF _Toc534712042 \h </w:instrText>
        </w:r>
        <w:r w:rsidR="00973CC5">
          <w:rPr>
            <w:webHidden/>
          </w:rPr>
        </w:r>
        <w:r w:rsidR="00973CC5">
          <w:rPr>
            <w:webHidden/>
          </w:rPr>
          <w:fldChar w:fldCharType="separate"/>
        </w:r>
        <w:r w:rsidR="00973CC5">
          <w:rPr>
            <w:webHidden/>
          </w:rPr>
          <w:t>77</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3" w:history="1">
        <w:r w:rsidR="00973CC5" w:rsidRPr="00C13543">
          <w:rPr>
            <w:rStyle w:val="Hypertextovodkaz"/>
          </w:rPr>
          <w:t>E.3 Electronic Tax Returns</w:t>
        </w:r>
        <w:r w:rsidR="00973CC5">
          <w:rPr>
            <w:webHidden/>
          </w:rPr>
          <w:tab/>
        </w:r>
        <w:r w:rsidR="00973CC5">
          <w:rPr>
            <w:webHidden/>
          </w:rPr>
          <w:fldChar w:fldCharType="begin"/>
        </w:r>
        <w:r w:rsidR="00973CC5">
          <w:rPr>
            <w:webHidden/>
          </w:rPr>
          <w:instrText xml:space="preserve"> PAGEREF _Toc534712043 \h </w:instrText>
        </w:r>
        <w:r w:rsidR="00973CC5">
          <w:rPr>
            <w:webHidden/>
          </w:rPr>
        </w:r>
        <w:r w:rsidR="00973CC5">
          <w:rPr>
            <w:webHidden/>
          </w:rPr>
          <w:fldChar w:fldCharType="separate"/>
        </w:r>
        <w:r w:rsidR="00973CC5">
          <w:rPr>
            <w:webHidden/>
          </w:rPr>
          <w:t>78</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4" w:history="1">
        <w:r w:rsidR="00973CC5" w:rsidRPr="00C13543">
          <w:rPr>
            <w:rStyle w:val="Hypertextovodkaz"/>
          </w:rPr>
          <w:t>E.4 Use of eGovernment services by individuals</w:t>
        </w:r>
        <w:r w:rsidR="00973CC5">
          <w:rPr>
            <w:webHidden/>
          </w:rPr>
          <w:tab/>
        </w:r>
        <w:r w:rsidR="00973CC5">
          <w:rPr>
            <w:webHidden/>
          </w:rPr>
          <w:fldChar w:fldCharType="begin"/>
        </w:r>
        <w:r w:rsidR="00973CC5">
          <w:rPr>
            <w:webHidden/>
          </w:rPr>
          <w:instrText xml:space="preserve"> PAGEREF _Toc534712044 \h </w:instrText>
        </w:r>
        <w:r w:rsidR="00973CC5">
          <w:rPr>
            <w:webHidden/>
          </w:rPr>
        </w:r>
        <w:r w:rsidR="00973CC5">
          <w:rPr>
            <w:webHidden/>
          </w:rPr>
          <w:fldChar w:fldCharType="separate"/>
        </w:r>
        <w:r w:rsidR="00973CC5">
          <w:rPr>
            <w:webHidden/>
          </w:rPr>
          <w:t>80</w:t>
        </w:r>
        <w:r w:rsidR="00973CC5">
          <w:rPr>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2045" w:history="1">
        <w:r w:rsidR="00973CC5" w:rsidRPr="00C13543">
          <w:rPr>
            <w:rStyle w:val="Hypertextovodkaz"/>
          </w:rPr>
          <w:t>Chapter F Education and ICT</w:t>
        </w:r>
        <w:r w:rsidR="00973CC5">
          <w:rPr>
            <w:webHidden/>
          </w:rPr>
          <w:tab/>
        </w:r>
        <w:r w:rsidR="00973CC5">
          <w:rPr>
            <w:webHidden/>
          </w:rPr>
          <w:fldChar w:fldCharType="begin"/>
        </w:r>
        <w:r w:rsidR="00973CC5">
          <w:rPr>
            <w:webHidden/>
          </w:rPr>
          <w:instrText xml:space="preserve"> PAGEREF _Toc534712045 \h </w:instrText>
        </w:r>
        <w:r w:rsidR="00973CC5">
          <w:rPr>
            <w:webHidden/>
          </w:rPr>
        </w:r>
        <w:r w:rsidR="00973CC5">
          <w:rPr>
            <w:webHidden/>
          </w:rPr>
          <w:fldChar w:fldCharType="separate"/>
        </w:r>
        <w:r w:rsidR="00973CC5">
          <w:rPr>
            <w:webHidden/>
          </w:rPr>
          <w:t>82</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6" w:history="1">
        <w:r w:rsidR="00973CC5" w:rsidRPr="00C13543">
          <w:rPr>
            <w:rStyle w:val="Hypertextovodkaz"/>
          </w:rPr>
          <w:t>F.1 ICT at schools</w:t>
        </w:r>
        <w:r w:rsidR="00973CC5">
          <w:rPr>
            <w:webHidden/>
          </w:rPr>
          <w:tab/>
        </w:r>
        <w:r w:rsidR="00973CC5">
          <w:rPr>
            <w:webHidden/>
          </w:rPr>
          <w:fldChar w:fldCharType="begin"/>
        </w:r>
        <w:r w:rsidR="00973CC5">
          <w:rPr>
            <w:webHidden/>
          </w:rPr>
          <w:instrText xml:space="preserve"> PAGEREF _Toc534712046 \h </w:instrText>
        </w:r>
        <w:r w:rsidR="00973CC5">
          <w:rPr>
            <w:webHidden/>
          </w:rPr>
        </w:r>
        <w:r w:rsidR="00973CC5">
          <w:rPr>
            <w:webHidden/>
          </w:rPr>
          <w:fldChar w:fldCharType="separate"/>
        </w:r>
        <w:r w:rsidR="00973CC5">
          <w:rPr>
            <w:webHidden/>
          </w:rPr>
          <w:t>82</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7" w:history="1">
        <w:r w:rsidR="00973CC5" w:rsidRPr="00C13543">
          <w:rPr>
            <w:rStyle w:val="Hypertextovodkaz"/>
          </w:rPr>
          <w:t>F.2 Access of 15-year-old pupils to ICT</w:t>
        </w:r>
        <w:r w:rsidR="00973CC5">
          <w:rPr>
            <w:webHidden/>
          </w:rPr>
          <w:tab/>
        </w:r>
        <w:r w:rsidR="00973CC5">
          <w:rPr>
            <w:webHidden/>
          </w:rPr>
          <w:fldChar w:fldCharType="begin"/>
        </w:r>
        <w:r w:rsidR="00973CC5">
          <w:rPr>
            <w:webHidden/>
          </w:rPr>
          <w:instrText xml:space="preserve"> PAGEREF _Toc534712047 \h </w:instrText>
        </w:r>
        <w:r w:rsidR="00973CC5">
          <w:rPr>
            <w:webHidden/>
          </w:rPr>
        </w:r>
        <w:r w:rsidR="00973CC5">
          <w:rPr>
            <w:webHidden/>
          </w:rPr>
          <w:fldChar w:fldCharType="separate"/>
        </w:r>
        <w:r w:rsidR="00973CC5">
          <w:rPr>
            <w:webHidden/>
          </w:rPr>
          <w:t>84</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8" w:history="1">
        <w:r w:rsidR="00973CC5" w:rsidRPr="00C13543">
          <w:rPr>
            <w:rStyle w:val="Hypertextovodkaz"/>
          </w:rPr>
          <w:t>F.3 Internet use by students aged 16+</w:t>
        </w:r>
        <w:r w:rsidR="00973CC5">
          <w:rPr>
            <w:webHidden/>
          </w:rPr>
          <w:tab/>
        </w:r>
        <w:r w:rsidR="00973CC5">
          <w:rPr>
            <w:webHidden/>
          </w:rPr>
          <w:fldChar w:fldCharType="begin"/>
        </w:r>
        <w:r w:rsidR="00973CC5">
          <w:rPr>
            <w:webHidden/>
          </w:rPr>
          <w:instrText xml:space="preserve"> PAGEREF _Toc534712048 \h </w:instrText>
        </w:r>
        <w:r w:rsidR="00973CC5">
          <w:rPr>
            <w:webHidden/>
          </w:rPr>
        </w:r>
        <w:r w:rsidR="00973CC5">
          <w:rPr>
            <w:webHidden/>
          </w:rPr>
          <w:fldChar w:fldCharType="separate"/>
        </w:r>
        <w:r w:rsidR="00973CC5">
          <w:rPr>
            <w:webHidden/>
          </w:rPr>
          <w:t>85</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49" w:history="1">
        <w:r w:rsidR="00973CC5" w:rsidRPr="00C13543">
          <w:rPr>
            <w:rStyle w:val="Hypertextovodkaz"/>
          </w:rPr>
          <w:t>F.4 Digital skills</w:t>
        </w:r>
        <w:r w:rsidR="00973CC5">
          <w:rPr>
            <w:webHidden/>
          </w:rPr>
          <w:tab/>
        </w:r>
        <w:r w:rsidR="00973CC5">
          <w:rPr>
            <w:webHidden/>
          </w:rPr>
          <w:fldChar w:fldCharType="begin"/>
        </w:r>
        <w:r w:rsidR="00973CC5">
          <w:rPr>
            <w:webHidden/>
          </w:rPr>
          <w:instrText xml:space="preserve"> PAGEREF _Toc534712049 \h </w:instrText>
        </w:r>
        <w:r w:rsidR="00973CC5">
          <w:rPr>
            <w:webHidden/>
          </w:rPr>
        </w:r>
        <w:r w:rsidR="00973CC5">
          <w:rPr>
            <w:webHidden/>
          </w:rPr>
          <w:fldChar w:fldCharType="separate"/>
        </w:r>
        <w:r w:rsidR="00973CC5">
          <w:rPr>
            <w:webHidden/>
          </w:rPr>
          <w:t>86</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0" w:history="1">
        <w:r w:rsidR="00973CC5" w:rsidRPr="00C13543">
          <w:rPr>
            <w:rStyle w:val="Hypertextovodkaz"/>
          </w:rPr>
          <w:t>F.5 Students and graduates in ICT field of education</w:t>
        </w:r>
        <w:r w:rsidR="00973CC5">
          <w:rPr>
            <w:webHidden/>
          </w:rPr>
          <w:tab/>
        </w:r>
        <w:r w:rsidR="00973CC5">
          <w:rPr>
            <w:webHidden/>
          </w:rPr>
          <w:fldChar w:fldCharType="begin"/>
        </w:r>
        <w:r w:rsidR="00973CC5">
          <w:rPr>
            <w:webHidden/>
          </w:rPr>
          <w:instrText xml:space="preserve"> PAGEREF _Toc534712050 \h </w:instrText>
        </w:r>
        <w:r w:rsidR="00973CC5">
          <w:rPr>
            <w:webHidden/>
          </w:rPr>
        </w:r>
        <w:r w:rsidR="00973CC5">
          <w:rPr>
            <w:webHidden/>
          </w:rPr>
          <w:fldChar w:fldCharType="separate"/>
        </w:r>
        <w:r w:rsidR="00973CC5">
          <w:rPr>
            <w:webHidden/>
          </w:rPr>
          <w:t>88</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1" w:history="1">
        <w:r w:rsidR="00973CC5" w:rsidRPr="00C13543">
          <w:rPr>
            <w:rStyle w:val="Hypertextovodkaz"/>
          </w:rPr>
          <w:t>F.6 ICT professionals</w:t>
        </w:r>
        <w:r w:rsidR="00973CC5">
          <w:rPr>
            <w:webHidden/>
          </w:rPr>
          <w:tab/>
        </w:r>
        <w:r w:rsidR="00973CC5">
          <w:rPr>
            <w:webHidden/>
          </w:rPr>
          <w:fldChar w:fldCharType="begin"/>
        </w:r>
        <w:r w:rsidR="00973CC5">
          <w:rPr>
            <w:webHidden/>
          </w:rPr>
          <w:instrText xml:space="preserve"> PAGEREF _Toc534712051 \h </w:instrText>
        </w:r>
        <w:r w:rsidR="00973CC5">
          <w:rPr>
            <w:webHidden/>
          </w:rPr>
        </w:r>
        <w:r w:rsidR="00973CC5">
          <w:rPr>
            <w:webHidden/>
          </w:rPr>
          <w:fldChar w:fldCharType="separate"/>
        </w:r>
        <w:r w:rsidR="00973CC5">
          <w:rPr>
            <w:webHidden/>
          </w:rPr>
          <w:t>89</w:t>
        </w:r>
        <w:r w:rsidR="00973CC5">
          <w:rPr>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2052" w:history="1">
        <w:r w:rsidR="00973CC5" w:rsidRPr="00C13543">
          <w:rPr>
            <w:rStyle w:val="Hypertextovodkaz"/>
          </w:rPr>
          <w:t>Chapter G Health and ICT</w:t>
        </w:r>
        <w:r w:rsidR="00973CC5">
          <w:rPr>
            <w:webHidden/>
          </w:rPr>
          <w:tab/>
        </w:r>
        <w:r w:rsidR="00973CC5">
          <w:rPr>
            <w:webHidden/>
          </w:rPr>
          <w:fldChar w:fldCharType="begin"/>
        </w:r>
        <w:r w:rsidR="00973CC5">
          <w:rPr>
            <w:webHidden/>
          </w:rPr>
          <w:instrText xml:space="preserve"> PAGEREF _Toc534712052 \h </w:instrText>
        </w:r>
        <w:r w:rsidR="00973CC5">
          <w:rPr>
            <w:webHidden/>
          </w:rPr>
        </w:r>
        <w:r w:rsidR="00973CC5">
          <w:rPr>
            <w:webHidden/>
          </w:rPr>
          <w:fldChar w:fldCharType="separate"/>
        </w:r>
        <w:r w:rsidR="00973CC5">
          <w:rPr>
            <w:webHidden/>
          </w:rPr>
          <w:t>90</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3" w:history="1">
        <w:r w:rsidR="00973CC5" w:rsidRPr="00C13543">
          <w:rPr>
            <w:rStyle w:val="Hypertextovodkaz"/>
          </w:rPr>
          <w:t>G.1 Practices of physicians with access to selected ICTs</w:t>
        </w:r>
        <w:r w:rsidR="00973CC5">
          <w:rPr>
            <w:webHidden/>
          </w:rPr>
          <w:tab/>
        </w:r>
        <w:r w:rsidR="00973CC5">
          <w:rPr>
            <w:webHidden/>
          </w:rPr>
          <w:fldChar w:fldCharType="begin"/>
        </w:r>
        <w:r w:rsidR="00973CC5">
          <w:rPr>
            <w:webHidden/>
          </w:rPr>
          <w:instrText xml:space="preserve"> PAGEREF _Toc534712053 \h </w:instrText>
        </w:r>
        <w:r w:rsidR="00973CC5">
          <w:rPr>
            <w:webHidden/>
          </w:rPr>
        </w:r>
        <w:r w:rsidR="00973CC5">
          <w:rPr>
            <w:webHidden/>
          </w:rPr>
          <w:fldChar w:fldCharType="separate"/>
        </w:r>
        <w:r w:rsidR="00973CC5">
          <w:rPr>
            <w:webHidden/>
          </w:rPr>
          <w:t>90</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4" w:history="1">
        <w:r w:rsidR="00973CC5" w:rsidRPr="00C13543">
          <w:rPr>
            <w:rStyle w:val="Hypertextovodkaz"/>
          </w:rPr>
          <w:t>G.2 Online services offered by independent physicians on their website</w:t>
        </w:r>
        <w:r w:rsidR="00973CC5">
          <w:rPr>
            <w:webHidden/>
          </w:rPr>
          <w:tab/>
        </w:r>
        <w:r w:rsidR="00973CC5">
          <w:rPr>
            <w:webHidden/>
          </w:rPr>
          <w:fldChar w:fldCharType="begin"/>
        </w:r>
        <w:r w:rsidR="00973CC5">
          <w:rPr>
            <w:webHidden/>
          </w:rPr>
          <w:instrText xml:space="preserve"> PAGEREF _Toc534712054 \h </w:instrText>
        </w:r>
        <w:r w:rsidR="00973CC5">
          <w:rPr>
            <w:webHidden/>
          </w:rPr>
        </w:r>
        <w:r w:rsidR="00973CC5">
          <w:rPr>
            <w:webHidden/>
          </w:rPr>
          <w:fldChar w:fldCharType="separate"/>
        </w:r>
        <w:r w:rsidR="00973CC5">
          <w:rPr>
            <w:webHidden/>
          </w:rPr>
          <w:t>91</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5" w:history="1">
        <w:r w:rsidR="00973CC5" w:rsidRPr="00C13543">
          <w:rPr>
            <w:rStyle w:val="Hypertextovodkaz"/>
          </w:rPr>
          <w:t>G.3 Keeping electronic health records</w:t>
        </w:r>
        <w:r w:rsidR="00973CC5">
          <w:rPr>
            <w:webHidden/>
          </w:rPr>
          <w:tab/>
        </w:r>
        <w:r w:rsidR="00973CC5">
          <w:rPr>
            <w:webHidden/>
          </w:rPr>
          <w:fldChar w:fldCharType="begin"/>
        </w:r>
        <w:r w:rsidR="00973CC5">
          <w:rPr>
            <w:webHidden/>
          </w:rPr>
          <w:instrText xml:space="preserve"> PAGEREF _Toc534712055 \h </w:instrText>
        </w:r>
        <w:r w:rsidR="00973CC5">
          <w:rPr>
            <w:webHidden/>
          </w:rPr>
        </w:r>
        <w:r w:rsidR="00973CC5">
          <w:rPr>
            <w:webHidden/>
          </w:rPr>
          <w:fldChar w:fldCharType="separate"/>
        </w:r>
        <w:r w:rsidR="00973CC5">
          <w:rPr>
            <w:webHidden/>
          </w:rPr>
          <w:t>92</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6" w:history="1">
        <w:r w:rsidR="00973CC5" w:rsidRPr="00C13543">
          <w:rPr>
            <w:rStyle w:val="Hypertextovodkaz"/>
          </w:rPr>
          <w:t>G.4 Electronic information healthcare systems</w:t>
        </w:r>
        <w:r w:rsidR="00973CC5">
          <w:rPr>
            <w:webHidden/>
          </w:rPr>
          <w:tab/>
        </w:r>
        <w:r w:rsidR="00973CC5">
          <w:rPr>
            <w:webHidden/>
          </w:rPr>
          <w:fldChar w:fldCharType="begin"/>
        </w:r>
        <w:r w:rsidR="00973CC5">
          <w:rPr>
            <w:webHidden/>
          </w:rPr>
          <w:instrText xml:space="preserve"> PAGEREF _Toc534712056 \h </w:instrText>
        </w:r>
        <w:r w:rsidR="00973CC5">
          <w:rPr>
            <w:webHidden/>
          </w:rPr>
        </w:r>
        <w:r w:rsidR="00973CC5">
          <w:rPr>
            <w:webHidden/>
          </w:rPr>
          <w:fldChar w:fldCharType="separate"/>
        </w:r>
        <w:r w:rsidR="00973CC5">
          <w:rPr>
            <w:webHidden/>
          </w:rPr>
          <w:t>93</w:t>
        </w:r>
        <w:r w:rsidR="00973CC5">
          <w:rPr>
            <w:webHidden/>
          </w:rPr>
          <w:fldChar w:fldCharType="end"/>
        </w:r>
      </w:hyperlink>
    </w:p>
    <w:p w:rsidR="00973CC5" w:rsidRDefault="004E3FD8">
      <w:pPr>
        <w:pStyle w:val="Obsah2"/>
        <w:rPr>
          <w:rFonts w:asciiTheme="minorHAnsi" w:eastAsiaTheme="minorEastAsia" w:hAnsiTheme="minorHAnsi" w:cstheme="minorBidi"/>
          <w:b w:val="0"/>
          <w:sz w:val="22"/>
          <w:szCs w:val="22"/>
          <w:lang w:val="cs-CZ"/>
        </w:rPr>
      </w:pPr>
      <w:hyperlink w:anchor="_Toc534712057" w:history="1">
        <w:r w:rsidR="00973CC5" w:rsidRPr="00C13543">
          <w:rPr>
            <w:rStyle w:val="Hypertextovodkaz"/>
          </w:rPr>
          <w:t>G.5 Internet usage by individuals with respect to health</w:t>
        </w:r>
        <w:r w:rsidR="00973CC5">
          <w:rPr>
            <w:webHidden/>
          </w:rPr>
          <w:tab/>
        </w:r>
        <w:r w:rsidR="00973CC5">
          <w:rPr>
            <w:webHidden/>
          </w:rPr>
          <w:fldChar w:fldCharType="begin"/>
        </w:r>
        <w:r w:rsidR="00973CC5">
          <w:rPr>
            <w:webHidden/>
          </w:rPr>
          <w:instrText xml:space="preserve"> PAGEREF _Toc534712057 \h </w:instrText>
        </w:r>
        <w:r w:rsidR="00973CC5">
          <w:rPr>
            <w:webHidden/>
          </w:rPr>
        </w:r>
        <w:r w:rsidR="00973CC5">
          <w:rPr>
            <w:webHidden/>
          </w:rPr>
          <w:fldChar w:fldCharType="separate"/>
        </w:r>
        <w:r w:rsidR="00973CC5">
          <w:rPr>
            <w:webHidden/>
          </w:rPr>
          <w:t>95</w:t>
        </w:r>
        <w:r w:rsidR="00973CC5">
          <w:rPr>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58" w:history="1">
        <w:r w:rsidR="00973CC5" w:rsidRPr="00C13543">
          <w:rPr>
            <w:rStyle w:val="Hypertextovodkaz"/>
            <w:noProof/>
          </w:rPr>
          <w:t>Health-related information seeking</w:t>
        </w:r>
        <w:r w:rsidR="00973CC5">
          <w:rPr>
            <w:noProof/>
            <w:webHidden/>
          </w:rPr>
          <w:tab/>
        </w:r>
        <w:r w:rsidR="00973CC5">
          <w:rPr>
            <w:noProof/>
            <w:webHidden/>
          </w:rPr>
          <w:fldChar w:fldCharType="begin"/>
        </w:r>
        <w:r w:rsidR="00973CC5">
          <w:rPr>
            <w:noProof/>
            <w:webHidden/>
          </w:rPr>
          <w:instrText xml:space="preserve"> PAGEREF _Toc534712058 \h </w:instrText>
        </w:r>
        <w:r w:rsidR="00973CC5">
          <w:rPr>
            <w:noProof/>
            <w:webHidden/>
          </w:rPr>
        </w:r>
        <w:r w:rsidR="00973CC5">
          <w:rPr>
            <w:noProof/>
            <w:webHidden/>
          </w:rPr>
          <w:fldChar w:fldCharType="separate"/>
        </w:r>
        <w:r w:rsidR="00973CC5">
          <w:rPr>
            <w:noProof/>
            <w:webHidden/>
          </w:rPr>
          <w:t>95</w:t>
        </w:r>
        <w:r w:rsidR="00973CC5">
          <w:rPr>
            <w:noProof/>
            <w:webHidden/>
          </w:rPr>
          <w:fldChar w:fldCharType="end"/>
        </w:r>
      </w:hyperlink>
    </w:p>
    <w:p w:rsidR="00973CC5" w:rsidRDefault="004E3FD8">
      <w:pPr>
        <w:pStyle w:val="Obsah3"/>
        <w:rPr>
          <w:rFonts w:asciiTheme="minorHAnsi" w:eastAsiaTheme="minorEastAsia" w:hAnsiTheme="minorHAnsi" w:cstheme="minorBidi"/>
          <w:noProof/>
          <w:sz w:val="22"/>
          <w:szCs w:val="22"/>
          <w:lang w:val="cs-CZ"/>
        </w:rPr>
      </w:pPr>
      <w:hyperlink w:anchor="_Toc534712059" w:history="1">
        <w:r w:rsidR="00973CC5" w:rsidRPr="00C13543">
          <w:rPr>
            <w:rStyle w:val="Hypertextovodkaz"/>
            <w:noProof/>
          </w:rPr>
          <w:t>Using online consultation and appointment system with a physician</w:t>
        </w:r>
        <w:r w:rsidR="00973CC5">
          <w:rPr>
            <w:noProof/>
            <w:webHidden/>
          </w:rPr>
          <w:tab/>
        </w:r>
        <w:r w:rsidR="00973CC5">
          <w:rPr>
            <w:noProof/>
            <w:webHidden/>
          </w:rPr>
          <w:fldChar w:fldCharType="begin"/>
        </w:r>
        <w:r w:rsidR="00973CC5">
          <w:rPr>
            <w:noProof/>
            <w:webHidden/>
          </w:rPr>
          <w:instrText xml:space="preserve"> PAGEREF _Toc534712059 \h </w:instrText>
        </w:r>
        <w:r w:rsidR="00973CC5">
          <w:rPr>
            <w:noProof/>
            <w:webHidden/>
          </w:rPr>
        </w:r>
        <w:r w:rsidR="00973CC5">
          <w:rPr>
            <w:noProof/>
            <w:webHidden/>
          </w:rPr>
          <w:fldChar w:fldCharType="separate"/>
        </w:r>
        <w:r w:rsidR="00973CC5">
          <w:rPr>
            <w:noProof/>
            <w:webHidden/>
          </w:rPr>
          <w:t>97</w:t>
        </w:r>
        <w:r w:rsidR="00973CC5">
          <w:rPr>
            <w:noProof/>
            <w:webHidden/>
          </w:rPr>
          <w:fldChar w:fldCharType="end"/>
        </w:r>
      </w:hyperlink>
    </w:p>
    <w:p w:rsidR="00973CC5" w:rsidRDefault="004E3FD8">
      <w:pPr>
        <w:pStyle w:val="Obsah1"/>
        <w:rPr>
          <w:rFonts w:asciiTheme="minorHAnsi" w:eastAsiaTheme="minorEastAsia" w:hAnsiTheme="minorHAnsi" w:cstheme="minorBidi"/>
          <w:b w:val="0"/>
          <w:sz w:val="22"/>
          <w:szCs w:val="22"/>
          <w:lang w:val="cs-CZ"/>
        </w:rPr>
      </w:pPr>
      <w:hyperlink w:anchor="_Toc534712060" w:history="1">
        <w:r w:rsidR="00973CC5" w:rsidRPr="00C13543">
          <w:rPr>
            <w:rStyle w:val="Hypertextovodkaz"/>
          </w:rPr>
          <w:t>List of figures</w:t>
        </w:r>
        <w:r w:rsidR="00973CC5">
          <w:rPr>
            <w:webHidden/>
          </w:rPr>
          <w:tab/>
        </w:r>
        <w:r w:rsidR="00973CC5">
          <w:rPr>
            <w:webHidden/>
          </w:rPr>
          <w:fldChar w:fldCharType="begin"/>
        </w:r>
        <w:r w:rsidR="00973CC5">
          <w:rPr>
            <w:webHidden/>
          </w:rPr>
          <w:instrText xml:space="preserve"> PAGEREF _Toc534712060 \h </w:instrText>
        </w:r>
        <w:r w:rsidR="00973CC5">
          <w:rPr>
            <w:webHidden/>
          </w:rPr>
        </w:r>
        <w:r w:rsidR="00973CC5">
          <w:rPr>
            <w:webHidden/>
          </w:rPr>
          <w:fldChar w:fldCharType="separate"/>
        </w:r>
        <w:r w:rsidR="00973CC5">
          <w:rPr>
            <w:webHidden/>
          </w:rPr>
          <w:t>99</w:t>
        </w:r>
        <w:r w:rsidR="00973CC5">
          <w:rPr>
            <w:webHidden/>
          </w:rPr>
          <w:fldChar w:fldCharType="end"/>
        </w:r>
      </w:hyperlink>
    </w:p>
    <w:p w:rsidR="00D656B7" w:rsidRPr="00970B85" w:rsidRDefault="00D656B7" w:rsidP="00D656B7">
      <w:pPr>
        <w:pStyle w:val="Obsahpoloky"/>
      </w:pPr>
      <w:r>
        <w:fldChar w:fldCharType="end"/>
      </w:r>
      <w:r w:rsidR="00087F2B" w:rsidRPr="00900D5B">
        <w:br w:type="page"/>
      </w:r>
      <w:bookmarkStart w:id="1" w:name="_Toc533697478"/>
    </w:p>
    <w:p w:rsidR="00874476" w:rsidRPr="00970B85" w:rsidRDefault="00874476" w:rsidP="00874476">
      <w:pPr>
        <w:pStyle w:val="Nadpis1"/>
      </w:pPr>
      <w:bookmarkStart w:id="2" w:name="_Toc534711977"/>
      <w:r w:rsidRPr="00970B85">
        <w:lastRenderedPageBreak/>
        <w:t>Introduction</w:t>
      </w:r>
      <w:bookmarkEnd w:id="1"/>
      <w:bookmarkEnd w:id="2"/>
    </w:p>
    <w:p w:rsidR="00874476" w:rsidRDefault="00874476" w:rsidP="00874476">
      <w:pPr>
        <w:pStyle w:val="Zkladntext"/>
        <w:spacing w:before="0" w:after="120" w:line="264" w:lineRule="auto"/>
        <w:rPr>
          <w:sz w:val="20"/>
          <w:lang w:val="en-GB"/>
        </w:rPr>
      </w:pPr>
      <w:r w:rsidRPr="00970B85">
        <w:rPr>
          <w:sz w:val="20"/>
          <w:lang w:val="en-GB"/>
        </w:rPr>
        <w:t xml:space="preserve">At the end of March, the Czech Statistical Office published its summary publication </w:t>
      </w:r>
      <w:r w:rsidRPr="00D74C98">
        <w:rPr>
          <w:b/>
          <w:sz w:val="20"/>
          <w:lang w:val="en-GB"/>
        </w:rPr>
        <w:t>“</w:t>
      </w:r>
      <w:r w:rsidRPr="00236C47">
        <w:rPr>
          <w:b/>
          <w:sz w:val="20"/>
          <w:lang w:val="en-GB"/>
        </w:rPr>
        <w:t>Information Society in</w:t>
      </w:r>
      <w:r>
        <w:rPr>
          <w:b/>
          <w:sz w:val="20"/>
          <w:lang w:val="en-GB"/>
        </w:rPr>
        <w:t> </w:t>
      </w:r>
      <w:r w:rsidRPr="00236C47">
        <w:rPr>
          <w:b/>
          <w:sz w:val="20"/>
          <w:lang w:val="en-GB"/>
        </w:rPr>
        <w:t>Figures 2018</w:t>
      </w:r>
      <w:r w:rsidRPr="00D74C98">
        <w:rPr>
          <w:b/>
          <w:sz w:val="20"/>
          <w:lang w:val="en-GB"/>
        </w:rPr>
        <w:t>”</w:t>
      </w:r>
      <w:r w:rsidRPr="00970B85">
        <w:rPr>
          <w:sz w:val="20"/>
          <w:lang w:val="en-GB"/>
        </w:rPr>
        <w:t xml:space="preserve">, which brings the newest information on the development of </w:t>
      </w:r>
      <w:r w:rsidRPr="00970B85">
        <w:rPr>
          <w:b/>
          <w:sz w:val="20"/>
          <w:lang w:val="en-GB"/>
        </w:rPr>
        <w:t>information and digital society</w:t>
      </w:r>
      <w:r w:rsidRPr="00970B85">
        <w:rPr>
          <w:sz w:val="20"/>
          <w:lang w:val="en-GB"/>
        </w:rPr>
        <w:t xml:space="preserve"> in the Czech Republic and other EU countries by means </w:t>
      </w:r>
      <w:r>
        <w:rPr>
          <w:sz w:val="20"/>
          <w:lang w:val="en-GB"/>
        </w:rPr>
        <w:t xml:space="preserve">set </w:t>
      </w:r>
      <w:r w:rsidRPr="00970B85">
        <w:rPr>
          <w:sz w:val="20"/>
          <w:lang w:val="en-GB"/>
        </w:rPr>
        <w:t xml:space="preserve">of tables and </w:t>
      </w:r>
      <w:r>
        <w:rPr>
          <w:sz w:val="20"/>
          <w:lang w:val="en-GB"/>
        </w:rPr>
        <w:t xml:space="preserve">figures </w:t>
      </w:r>
      <w:r w:rsidRPr="00970B85">
        <w:rPr>
          <w:sz w:val="20"/>
          <w:lang w:val="en-GB"/>
        </w:rPr>
        <w:t xml:space="preserve">outputs. </w:t>
      </w:r>
    </w:p>
    <w:p w:rsidR="00874476" w:rsidRDefault="00874476" w:rsidP="00874476">
      <w:pPr>
        <w:pStyle w:val="Zkladntext"/>
        <w:spacing w:before="0" w:after="120" w:line="264" w:lineRule="auto"/>
        <w:rPr>
          <w:sz w:val="20"/>
          <w:lang w:val="en-GB"/>
        </w:rPr>
      </w:pPr>
      <w:r w:rsidRPr="00970B85">
        <w:rPr>
          <w:sz w:val="20"/>
          <w:lang w:val="en-GB"/>
        </w:rPr>
        <w:t xml:space="preserve">In this </w:t>
      </w:r>
      <w:r>
        <w:rPr>
          <w:sz w:val="20"/>
          <w:lang w:val="en-GB"/>
        </w:rPr>
        <w:t>data publication</w:t>
      </w:r>
      <w:r w:rsidRPr="00970B85">
        <w:rPr>
          <w:sz w:val="20"/>
          <w:lang w:val="en-GB"/>
        </w:rPr>
        <w:t xml:space="preserve"> you will find </w:t>
      </w:r>
      <w:r>
        <w:rPr>
          <w:sz w:val="20"/>
          <w:lang w:val="en-GB"/>
        </w:rPr>
        <w:t xml:space="preserve">on </w:t>
      </w:r>
      <w:r w:rsidRPr="00F220AD">
        <w:rPr>
          <w:sz w:val="20"/>
          <w:lang w:val="en-GB"/>
        </w:rPr>
        <w:t xml:space="preserve">its 170 pages, 86 tables and 260 graphs </w:t>
      </w:r>
      <w:r>
        <w:rPr>
          <w:sz w:val="20"/>
          <w:lang w:val="en-GB"/>
        </w:rPr>
        <w:t xml:space="preserve">that </w:t>
      </w:r>
      <w:r w:rsidRPr="00F220AD">
        <w:rPr>
          <w:sz w:val="20"/>
          <w:lang w:val="en-GB"/>
        </w:rPr>
        <w:t xml:space="preserve">contain </w:t>
      </w:r>
      <w:r w:rsidRPr="00970B85">
        <w:rPr>
          <w:sz w:val="20"/>
          <w:lang w:val="en-GB"/>
        </w:rPr>
        <w:t xml:space="preserve">the newest data mainly concerning the </w:t>
      </w:r>
      <w:r w:rsidRPr="00970B85">
        <w:rPr>
          <w:b/>
          <w:sz w:val="20"/>
          <w:lang w:val="en-GB"/>
        </w:rPr>
        <w:t>internet usage by individuals and enterprises</w:t>
      </w:r>
      <w:r w:rsidRPr="00970B85">
        <w:rPr>
          <w:sz w:val="20"/>
          <w:lang w:val="en-GB"/>
        </w:rPr>
        <w:t>, as w</w:t>
      </w:r>
      <w:r w:rsidRPr="006C7759">
        <w:rPr>
          <w:sz w:val="20"/>
          <w:lang w:val="en-GB"/>
        </w:rPr>
        <w:t>e</w:t>
      </w:r>
      <w:r w:rsidRPr="00970B85">
        <w:rPr>
          <w:sz w:val="20"/>
          <w:lang w:val="en-GB"/>
        </w:rPr>
        <w:t xml:space="preserve">ll as by </w:t>
      </w:r>
      <w:r w:rsidRPr="00970B85">
        <w:rPr>
          <w:b/>
          <w:sz w:val="20"/>
          <w:lang w:val="en-GB"/>
        </w:rPr>
        <w:t>public administration</w:t>
      </w:r>
      <w:r w:rsidRPr="00970B85">
        <w:rPr>
          <w:sz w:val="20"/>
          <w:lang w:val="en-GB"/>
        </w:rPr>
        <w:t xml:space="preserve">, </w:t>
      </w:r>
      <w:r w:rsidRPr="00970B85">
        <w:rPr>
          <w:b/>
          <w:sz w:val="20"/>
          <w:lang w:val="en-GB"/>
        </w:rPr>
        <w:t>education</w:t>
      </w:r>
      <w:r w:rsidRPr="00970B85">
        <w:rPr>
          <w:sz w:val="20"/>
          <w:lang w:val="en-GB"/>
        </w:rPr>
        <w:t xml:space="preserve"> or </w:t>
      </w:r>
      <w:r w:rsidRPr="00970B85">
        <w:rPr>
          <w:b/>
          <w:sz w:val="20"/>
          <w:lang w:val="en-GB"/>
        </w:rPr>
        <w:t>healthcare</w:t>
      </w:r>
      <w:r w:rsidRPr="00970B85">
        <w:rPr>
          <w:sz w:val="20"/>
          <w:lang w:val="en-GB"/>
        </w:rPr>
        <w:t>. It also includes data</w:t>
      </w:r>
      <w:r>
        <w:rPr>
          <w:sz w:val="20"/>
          <w:lang w:val="en-GB"/>
        </w:rPr>
        <w:t xml:space="preserve"> and information </w:t>
      </w:r>
      <w:r w:rsidRPr="00970B85">
        <w:rPr>
          <w:sz w:val="20"/>
          <w:lang w:val="en-GB"/>
        </w:rPr>
        <w:t xml:space="preserve">concerning the </w:t>
      </w:r>
      <w:r w:rsidRPr="00970B85">
        <w:rPr>
          <w:b/>
          <w:sz w:val="20"/>
          <w:lang w:val="en-GB"/>
        </w:rPr>
        <w:t>telecommunication and internet infrastructure</w:t>
      </w:r>
      <w:r w:rsidRPr="00970B85">
        <w:rPr>
          <w:sz w:val="20"/>
          <w:lang w:val="en-GB"/>
        </w:rPr>
        <w:t>. Each chapter is supplemented by brief guidance and</w:t>
      </w:r>
      <w:r>
        <w:rPr>
          <w:sz w:val="20"/>
          <w:lang w:val="en-GB"/>
        </w:rPr>
        <w:t> </w:t>
      </w:r>
      <w:r w:rsidRPr="00970B85">
        <w:rPr>
          <w:sz w:val="20"/>
          <w:lang w:val="en-GB"/>
        </w:rPr>
        <w:t>commentaries to the figures. This includes the most interesting findings concerning the information society in</w:t>
      </w:r>
      <w:r>
        <w:rPr>
          <w:sz w:val="20"/>
          <w:lang w:val="en-GB"/>
        </w:rPr>
        <w:t> </w:t>
      </w:r>
      <w:r w:rsidRPr="00970B85">
        <w:rPr>
          <w:sz w:val="20"/>
          <w:lang w:val="en-GB"/>
        </w:rPr>
        <w:t xml:space="preserve">the Czech Republic and other EU countries. </w:t>
      </w:r>
    </w:p>
    <w:p w:rsidR="00874476" w:rsidRPr="00776859" w:rsidRDefault="00874476" w:rsidP="00874476">
      <w:pPr>
        <w:pStyle w:val="Zkladntext"/>
        <w:spacing w:before="0" w:after="120" w:line="264" w:lineRule="auto"/>
        <w:rPr>
          <w:rStyle w:val="Hypertextovodkaz"/>
          <w:color w:val="auto"/>
          <w:sz w:val="20"/>
        </w:rPr>
      </w:pPr>
      <w:r w:rsidRPr="00970B85">
        <w:rPr>
          <w:sz w:val="20"/>
          <w:lang w:val="en-GB"/>
        </w:rPr>
        <w:t xml:space="preserve">The complete version of </w:t>
      </w:r>
      <w:r w:rsidRPr="00970B85">
        <w:rPr>
          <w:i/>
          <w:sz w:val="20"/>
          <w:lang w:val="en-GB"/>
        </w:rPr>
        <w:t>Information Society in Figures</w:t>
      </w:r>
      <w:r w:rsidRPr="00970B85">
        <w:rPr>
          <w:sz w:val="20"/>
          <w:lang w:val="en-GB"/>
        </w:rPr>
        <w:t xml:space="preserve"> </w:t>
      </w:r>
      <w:r w:rsidRPr="00970B85">
        <w:rPr>
          <w:b/>
          <w:sz w:val="20"/>
          <w:lang w:val="en-GB"/>
        </w:rPr>
        <w:t xml:space="preserve">may be downloaded for free </w:t>
      </w:r>
      <w:r w:rsidRPr="00970B85">
        <w:rPr>
          <w:sz w:val="20"/>
          <w:lang w:val="en-GB"/>
        </w:rPr>
        <w:t xml:space="preserve">here: </w:t>
      </w:r>
      <w:r w:rsidRPr="00776859">
        <w:rPr>
          <w:rStyle w:val="Hypertextovodkaz"/>
          <w:color w:val="auto"/>
          <w:sz w:val="20"/>
          <w:u w:val="none"/>
        </w:rPr>
        <w:t>https://www.czso.cz/csu/czso/information-society-in-figures</w:t>
      </w:r>
    </w:p>
    <w:p w:rsidR="00874476" w:rsidRPr="00970B85" w:rsidRDefault="00874476" w:rsidP="00874476">
      <w:pPr>
        <w:pStyle w:val="Zkladntext"/>
        <w:spacing w:before="0" w:after="120" w:line="264" w:lineRule="auto"/>
        <w:rPr>
          <w:sz w:val="20"/>
          <w:lang w:val="en-GB"/>
        </w:rPr>
      </w:pPr>
      <w:r w:rsidRPr="00970B85">
        <w:rPr>
          <w:sz w:val="20"/>
          <w:lang w:val="en-GB"/>
        </w:rPr>
        <w:t>The publication is followed by th</w:t>
      </w:r>
      <w:r>
        <w:rPr>
          <w:sz w:val="20"/>
          <w:lang w:val="en-GB"/>
        </w:rPr>
        <w:t xml:space="preserve">is </w:t>
      </w:r>
      <w:r w:rsidRPr="00E51BC1">
        <w:rPr>
          <w:sz w:val="20"/>
          <w:lang w:val="en-GB"/>
        </w:rPr>
        <w:t xml:space="preserve">summarized text commentary </w:t>
      </w:r>
      <w:r>
        <w:rPr>
          <w:sz w:val="20"/>
          <w:lang w:val="en-GB"/>
        </w:rPr>
        <w:t>“</w:t>
      </w:r>
      <w:r w:rsidRPr="0040240C">
        <w:rPr>
          <w:sz w:val="20"/>
          <w:lang w:val="en-GB"/>
        </w:rPr>
        <w:t xml:space="preserve">Development of </w:t>
      </w:r>
      <w:r>
        <w:rPr>
          <w:sz w:val="20"/>
          <w:lang w:val="en-GB"/>
        </w:rPr>
        <w:t xml:space="preserve">the </w:t>
      </w:r>
      <w:r w:rsidRPr="0040240C">
        <w:rPr>
          <w:sz w:val="20"/>
          <w:lang w:val="en-GB"/>
        </w:rPr>
        <w:t>Information Society in</w:t>
      </w:r>
      <w:r>
        <w:rPr>
          <w:sz w:val="20"/>
          <w:lang w:val="en-GB"/>
        </w:rPr>
        <w:t> </w:t>
      </w:r>
      <w:r w:rsidRPr="0040240C">
        <w:rPr>
          <w:sz w:val="20"/>
          <w:lang w:val="en-GB"/>
        </w:rPr>
        <w:t>the Czech Republic and Other EU Countries</w:t>
      </w:r>
      <w:r>
        <w:rPr>
          <w:sz w:val="20"/>
          <w:lang w:val="en-GB"/>
        </w:rPr>
        <w:t>”</w:t>
      </w:r>
      <w:r w:rsidRPr="00970B85">
        <w:rPr>
          <w:sz w:val="20"/>
          <w:lang w:val="en-GB"/>
        </w:rPr>
        <w:t xml:space="preserve"> you are reading right now</w:t>
      </w:r>
      <w:r>
        <w:rPr>
          <w:sz w:val="20"/>
          <w:lang w:val="en-GB"/>
        </w:rPr>
        <w:t xml:space="preserve">. This text summary </w:t>
      </w:r>
      <w:r w:rsidRPr="00970B85">
        <w:rPr>
          <w:sz w:val="20"/>
          <w:lang w:val="en-GB"/>
        </w:rPr>
        <w:t>mainly reflects the data contents of the Information Society in Figures 2018, however, some of the information is elabor</w:t>
      </w:r>
      <w:r>
        <w:rPr>
          <w:sz w:val="20"/>
          <w:lang w:val="en-GB"/>
        </w:rPr>
        <w:t>ated further. The report places</w:t>
      </w:r>
      <w:r w:rsidRPr="00970B85">
        <w:rPr>
          <w:sz w:val="20"/>
          <w:lang w:val="en-GB"/>
        </w:rPr>
        <w:t xml:space="preserve"> emphasis not only on the developmental point of view (in some cases the time series begin since the early 1990s), but also on attempts to capture the latest trends in a highly changing and innovative ICT environment. At the same time, there are international comparisons for selected indicators within the EU countries.</w:t>
      </w:r>
    </w:p>
    <w:p w:rsidR="00874476" w:rsidRPr="00970B85" w:rsidRDefault="00874476" w:rsidP="00874476">
      <w:pPr>
        <w:pStyle w:val="Zkladntext"/>
        <w:spacing w:before="0" w:after="120" w:line="264" w:lineRule="auto"/>
        <w:rPr>
          <w:sz w:val="20"/>
          <w:lang w:val="en-GB"/>
        </w:rPr>
      </w:pPr>
      <w:r w:rsidRPr="00970B85">
        <w:rPr>
          <w:sz w:val="20"/>
          <w:lang w:val="en-GB"/>
        </w:rPr>
        <w:t>The data provided in this publication arises mainly from</w:t>
      </w:r>
      <w:r>
        <w:rPr>
          <w:sz w:val="20"/>
          <w:lang w:val="en-GB"/>
        </w:rPr>
        <w:t xml:space="preserve"> the</w:t>
      </w:r>
      <w:r w:rsidRPr="00970B85">
        <w:rPr>
          <w:sz w:val="20"/>
          <w:lang w:val="en-GB"/>
        </w:rPr>
        <w:t xml:space="preserve"> </w:t>
      </w:r>
      <w:r w:rsidRPr="00970B85">
        <w:rPr>
          <w:b/>
          <w:sz w:val="20"/>
          <w:lang w:val="en-GB"/>
        </w:rPr>
        <w:t>official yearly investigation of the Czech Statistical Office</w:t>
      </w:r>
      <w:r>
        <w:rPr>
          <w:sz w:val="20"/>
          <w:lang w:val="en-GB"/>
        </w:rPr>
        <w:t>, which</w:t>
      </w:r>
      <w:r w:rsidRPr="00970B85">
        <w:rPr>
          <w:sz w:val="20"/>
          <w:lang w:val="en-GB"/>
        </w:rPr>
        <w:t xml:space="preserve"> is performed in accordance with the Regulation of the European Parliament and</w:t>
      </w:r>
      <w:r>
        <w:rPr>
          <w:sz w:val="20"/>
          <w:lang w:val="en-GB"/>
        </w:rPr>
        <w:t> </w:t>
      </w:r>
      <w:r w:rsidRPr="00970B85">
        <w:rPr>
          <w:sz w:val="20"/>
          <w:lang w:val="en-GB"/>
        </w:rPr>
        <w:t>Council (ES) No. 808/2004 concerning Community statistics on the ICT usage among individuals and</w:t>
      </w:r>
      <w:r>
        <w:rPr>
          <w:sz w:val="20"/>
          <w:lang w:val="en-GB"/>
        </w:rPr>
        <w:t> </w:t>
      </w:r>
      <w:r w:rsidRPr="00970B85">
        <w:rPr>
          <w:sz w:val="20"/>
          <w:lang w:val="en-GB"/>
        </w:rPr>
        <w:t xml:space="preserve">enterprises. The detailed result of this year’s publication of the aforementioned investigation is available at the website of CZSO: </w:t>
      </w:r>
      <w:r w:rsidRPr="00776859">
        <w:rPr>
          <w:rStyle w:val="Hypertextovodkaz"/>
          <w:color w:val="auto"/>
          <w:sz w:val="20"/>
          <w:u w:val="none"/>
          <w:lang w:val="en-GB"/>
        </w:rPr>
        <w:t>https://www.czso.cz/csu/czso/vyuzivani_informacnich_technologii</w:t>
      </w:r>
    </w:p>
    <w:p w:rsidR="00874476" w:rsidRPr="00970B85" w:rsidRDefault="00874476" w:rsidP="00874476">
      <w:pPr>
        <w:pStyle w:val="Zkladntext"/>
        <w:spacing w:before="0" w:after="120" w:line="264" w:lineRule="auto"/>
        <w:rPr>
          <w:sz w:val="20"/>
          <w:lang w:val="en-GB"/>
        </w:rPr>
      </w:pPr>
      <w:r w:rsidRPr="00970B85">
        <w:rPr>
          <w:sz w:val="20"/>
          <w:lang w:val="en-GB"/>
        </w:rPr>
        <w:t xml:space="preserve">The </w:t>
      </w:r>
      <w:r w:rsidRPr="007A6A43">
        <w:rPr>
          <w:b/>
          <w:sz w:val="20"/>
          <w:lang w:val="en-GB"/>
        </w:rPr>
        <w:t>international comparison</w:t>
      </w:r>
      <w:r w:rsidRPr="00970B85">
        <w:rPr>
          <w:sz w:val="20"/>
          <w:lang w:val="en-GB"/>
        </w:rPr>
        <w:t xml:space="preserve"> arises from data resources of Eurostat, the International Telecommunication Union (ITU), and the Organisation for Economic Cooperation and Development.</w:t>
      </w:r>
    </w:p>
    <w:p w:rsidR="00874476" w:rsidRPr="00970B85" w:rsidRDefault="00874476" w:rsidP="00874476">
      <w:pPr>
        <w:pStyle w:val="Zkladntext"/>
        <w:spacing w:before="0" w:after="120" w:line="264" w:lineRule="auto"/>
        <w:rPr>
          <w:sz w:val="20"/>
          <w:lang w:val="en-GB"/>
        </w:rPr>
      </w:pPr>
      <w:r w:rsidRPr="00970B85">
        <w:rPr>
          <w:sz w:val="20"/>
          <w:lang w:val="en-GB"/>
        </w:rPr>
        <w:t xml:space="preserve">Furthermore, </w:t>
      </w:r>
      <w:r w:rsidRPr="007A6A43">
        <w:rPr>
          <w:b/>
          <w:sz w:val="20"/>
          <w:lang w:val="en-GB"/>
        </w:rPr>
        <w:t>administrative data sources</w:t>
      </w:r>
      <w:r w:rsidRPr="00970B85">
        <w:rPr>
          <w:sz w:val="20"/>
          <w:lang w:val="en-GB"/>
        </w:rPr>
        <w:t xml:space="preserve"> were used for the needs of the publication; these incl</w:t>
      </w:r>
      <w:r>
        <w:rPr>
          <w:sz w:val="20"/>
          <w:lang w:val="en-GB"/>
        </w:rPr>
        <w:t>uded</w:t>
      </w:r>
      <w:r w:rsidRPr="00970B85">
        <w:rPr>
          <w:sz w:val="20"/>
          <w:lang w:val="en-GB"/>
        </w:rPr>
        <w:t xml:space="preserve"> for</w:t>
      </w:r>
      <w:r>
        <w:rPr>
          <w:sz w:val="20"/>
          <w:lang w:val="en-GB"/>
        </w:rPr>
        <w:t> </w:t>
      </w:r>
      <w:r w:rsidRPr="00970B85">
        <w:rPr>
          <w:sz w:val="20"/>
          <w:lang w:val="en-GB"/>
        </w:rPr>
        <w:t>instance</w:t>
      </w:r>
      <w:r>
        <w:rPr>
          <w:sz w:val="20"/>
          <w:lang w:val="en-GB"/>
        </w:rPr>
        <w:t>:</w:t>
      </w:r>
      <w:r w:rsidRPr="00970B85">
        <w:rPr>
          <w:sz w:val="20"/>
          <w:lang w:val="en-GB"/>
        </w:rPr>
        <w:t xml:space="preserve"> Ministry of the Interior, Ministry of Education, Youth and Sports, Czech Financial Administration, Czech School Inspection, </w:t>
      </w:r>
      <w:r>
        <w:rPr>
          <w:sz w:val="20"/>
          <w:lang w:val="en-GB"/>
        </w:rPr>
        <w:t>among</w:t>
      </w:r>
      <w:r w:rsidRPr="00970B85">
        <w:rPr>
          <w:sz w:val="20"/>
          <w:lang w:val="en-GB"/>
        </w:rPr>
        <w:t xml:space="preserve"> others.</w:t>
      </w:r>
    </w:p>
    <w:p w:rsidR="00874476" w:rsidRPr="00776859" w:rsidRDefault="00874476" w:rsidP="00874476">
      <w:pPr>
        <w:pStyle w:val="Zkladntext"/>
        <w:spacing w:before="0" w:after="120" w:line="264" w:lineRule="auto"/>
        <w:rPr>
          <w:rStyle w:val="Hypertextovodkaz"/>
          <w:b/>
          <w:color w:val="auto"/>
          <w:sz w:val="20"/>
          <w:lang w:val="en-GB"/>
        </w:rPr>
      </w:pPr>
      <w:r w:rsidRPr="00970B85">
        <w:rPr>
          <w:sz w:val="20"/>
          <w:lang w:val="en-GB"/>
        </w:rPr>
        <w:t>Over a long period of time, the CZSO has not only been monitoring the ICT usage in individual spheres of</w:t>
      </w:r>
      <w:r>
        <w:rPr>
          <w:sz w:val="20"/>
          <w:lang w:val="en-GB"/>
        </w:rPr>
        <w:t> </w:t>
      </w:r>
      <w:r w:rsidRPr="00970B85">
        <w:rPr>
          <w:sz w:val="20"/>
          <w:lang w:val="en-GB"/>
        </w:rPr>
        <w:t xml:space="preserve">the society, but also the production of these technologies including the data related to investment, foreign trading, and qualified human resources in this field. This data has been processed in the publication named </w:t>
      </w:r>
      <w:r w:rsidRPr="00970B85">
        <w:rPr>
          <w:b/>
          <w:i/>
          <w:sz w:val="20"/>
          <w:lang w:val="en-GB"/>
        </w:rPr>
        <w:t>Information Economy in Figures</w:t>
      </w:r>
      <w:r w:rsidRPr="00970B85">
        <w:rPr>
          <w:sz w:val="20"/>
          <w:lang w:val="en-GB"/>
        </w:rPr>
        <w:t xml:space="preserve">. Its up-to-date version is available under the following link: </w:t>
      </w:r>
      <w:hyperlink r:id="rId14" w:history="1">
        <w:r w:rsidRPr="00776859">
          <w:rPr>
            <w:rStyle w:val="Hypertextovodkaz"/>
            <w:color w:val="auto"/>
            <w:sz w:val="20"/>
            <w:u w:val="none"/>
          </w:rPr>
          <w:t>https://www.czso.cz/csu/czso/information_economy_in_figures</w:t>
        </w:r>
      </w:hyperlink>
    </w:p>
    <w:p w:rsidR="00874476" w:rsidRDefault="00874476" w:rsidP="00874476">
      <w:pPr>
        <w:pStyle w:val="Zkladntext"/>
        <w:spacing w:before="0" w:after="120" w:line="264" w:lineRule="auto"/>
        <w:rPr>
          <w:rStyle w:val="Hypertextovodkaz"/>
          <w:color w:val="auto"/>
          <w:sz w:val="20"/>
          <w:szCs w:val="20"/>
          <w:u w:val="none"/>
          <w:lang w:val="en-GB"/>
        </w:rPr>
      </w:pPr>
      <w:r w:rsidRPr="00970B85">
        <w:rPr>
          <w:rStyle w:val="Hypertextovodkaz"/>
          <w:color w:val="auto"/>
          <w:sz w:val="20"/>
          <w:szCs w:val="20"/>
          <w:u w:val="none"/>
          <w:lang w:val="en-GB"/>
        </w:rPr>
        <w:t>We believe that the statistics provided here will provide readers with valuable information. If you have any questions or comments about the published data, please do not hesitate to contact us. We also welcome any suggestions for improving our statistics.</w:t>
      </w:r>
    </w:p>
    <w:p w:rsidR="00874476" w:rsidRDefault="00874476">
      <w:pPr>
        <w:spacing w:after="0" w:line="240" w:lineRule="auto"/>
        <w:rPr>
          <w:rStyle w:val="Hypertextovodkaz"/>
          <w:color w:val="auto"/>
          <w:szCs w:val="20"/>
          <w:u w:val="none"/>
        </w:rPr>
      </w:pPr>
      <w:r>
        <w:rPr>
          <w:rStyle w:val="Hypertextovodkaz"/>
          <w:color w:val="auto"/>
          <w:szCs w:val="20"/>
          <w:u w:val="none"/>
        </w:rPr>
        <w:br w:type="page"/>
      </w:r>
    </w:p>
    <w:p w:rsidR="00874476" w:rsidRPr="00970B85" w:rsidRDefault="00874476" w:rsidP="00874476">
      <w:pPr>
        <w:pStyle w:val="Nadpis1"/>
      </w:pPr>
      <w:bookmarkStart w:id="3" w:name="_Toc533697479"/>
      <w:bookmarkStart w:id="4" w:name="_Toc534711978"/>
      <w:r w:rsidRPr="00970B85">
        <w:lastRenderedPageBreak/>
        <w:t>Chapter A ICT Infrastructure</w:t>
      </w:r>
      <w:bookmarkEnd w:id="3"/>
      <w:bookmarkEnd w:id="4"/>
    </w:p>
    <w:p w:rsidR="00874476" w:rsidRPr="007A6A43" w:rsidRDefault="00874476" w:rsidP="00874476">
      <w:pPr>
        <w:pStyle w:val="Zkladntext"/>
        <w:spacing w:before="0" w:after="80" w:line="264" w:lineRule="auto"/>
        <w:rPr>
          <w:i/>
          <w:sz w:val="20"/>
          <w:lang w:val="en-GB"/>
        </w:rPr>
      </w:pPr>
      <w:r w:rsidRPr="00464730">
        <w:rPr>
          <w:i/>
          <w:sz w:val="20"/>
          <w:lang w:val="en-GB"/>
        </w:rPr>
        <w:t xml:space="preserve">The key pillar necessary for primary development of the information society </w:t>
      </w:r>
      <w:r>
        <w:rPr>
          <w:i/>
          <w:sz w:val="20"/>
          <w:lang w:val="en-GB"/>
        </w:rPr>
        <w:t>and</w:t>
      </w:r>
      <w:r w:rsidRPr="00464730">
        <w:rPr>
          <w:i/>
          <w:sz w:val="20"/>
          <w:lang w:val="en-GB"/>
        </w:rPr>
        <w:t xml:space="preserve"> digital economy these days is without a doubt a robust, reliable, and modern </w:t>
      </w:r>
      <w:r w:rsidRPr="00543F3A">
        <w:rPr>
          <w:i/>
          <w:sz w:val="20"/>
          <w:lang w:val="en-GB"/>
        </w:rPr>
        <w:t>infrastructure, enabling the transfer of a huge amount of</w:t>
      </w:r>
      <w:r>
        <w:rPr>
          <w:i/>
          <w:sz w:val="20"/>
          <w:lang w:val="en-GB"/>
        </w:rPr>
        <w:t> </w:t>
      </w:r>
      <w:r w:rsidRPr="00543F3A">
        <w:rPr>
          <w:i/>
          <w:sz w:val="20"/>
          <w:lang w:val="en-GB"/>
        </w:rPr>
        <w:t xml:space="preserve">data necessary to provide services through fixed or mobile electronic networks. </w:t>
      </w:r>
      <w:r w:rsidRPr="007A6A43">
        <w:rPr>
          <w:i/>
          <w:sz w:val="20"/>
          <w:lang w:val="en-GB"/>
        </w:rPr>
        <w:t xml:space="preserve">Telecommunications and Internet (ICT) infrastructure could be described as the basic building block of most information technologies and information society as a whole. </w:t>
      </w:r>
    </w:p>
    <w:p w:rsidR="00874476" w:rsidRDefault="00874476" w:rsidP="00874476">
      <w:pPr>
        <w:pStyle w:val="Zkladntext"/>
        <w:spacing w:before="0" w:after="80" w:line="264" w:lineRule="auto"/>
        <w:rPr>
          <w:i/>
          <w:sz w:val="20"/>
          <w:lang w:val="en-GB"/>
        </w:rPr>
      </w:pPr>
      <w:r w:rsidRPr="00464730">
        <w:rPr>
          <w:i/>
          <w:sz w:val="20"/>
          <w:lang w:val="en-GB"/>
        </w:rPr>
        <w:t xml:space="preserve">The Czech Statistical Office is aware of the ICT infrastructure’s significance, and, on a regular basis, it processes </w:t>
      </w:r>
      <w:r>
        <w:rPr>
          <w:i/>
          <w:sz w:val="20"/>
          <w:lang w:val="en-GB"/>
        </w:rPr>
        <w:t xml:space="preserve">main </w:t>
      </w:r>
      <w:r w:rsidRPr="00464730">
        <w:rPr>
          <w:i/>
          <w:sz w:val="20"/>
          <w:lang w:val="en-GB"/>
        </w:rPr>
        <w:t xml:space="preserve">data concerning the development and status of this area. </w:t>
      </w:r>
      <w:r w:rsidRPr="00E37BB6">
        <w:rPr>
          <w:i/>
          <w:sz w:val="20"/>
          <w:lang w:val="en-GB"/>
        </w:rPr>
        <w:t>This chapter examines trends in</w:t>
      </w:r>
      <w:r>
        <w:rPr>
          <w:i/>
          <w:sz w:val="20"/>
          <w:lang w:val="en-GB"/>
        </w:rPr>
        <w:t> </w:t>
      </w:r>
      <w:r w:rsidRPr="00E37BB6">
        <w:rPr>
          <w:i/>
          <w:sz w:val="20"/>
          <w:lang w:val="en-GB"/>
        </w:rPr>
        <w:t xml:space="preserve">the available services </w:t>
      </w:r>
      <w:r w:rsidRPr="00464730">
        <w:rPr>
          <w:i/>
          <w:sz w:val="20"/>
          <w:lang w:val="en-GB"/>
        </w:rPr>
        <w:t xml:space="preserve">provided within fixed and mobile electronic </w:t>
      </w:r>
      <w:r>
        <w:rPr>
          <w:i/>
          <w:sz w:val="20"/>
          <w:lang w:val="en-GB"/>
        </w:rPr>
        <w:t xml:space="preserve">communication </w:t>
      </w:r>
      <w:r w:rsidRPr="00464730">
        <w:rPr>
          <w:i/>
          <w:sz w:val="20"/>
          <w:lang w:val="en-GB"/>
        </w:rPr>
        <w:t>networks</w:t>
      </w:r>
      <w:r w:rsidRPr="00E37BB6">
        <w:rPr>
          <w:i/>
          <w:sz w:val="20"/>
          <w:lang w:val="en-GB"/>
        </w:rPr>
        <w:t xml:space="preserve"> measured mainly by number of voice (telephone) and internet</w:t>
      </w:r>
      <w:r>
        <w:rPr>
          <w:i/>
          <w:sz w:val="20"/>
          <w:lang w:val="en-GB"/>
        </w:rPr>
        <w:t>/</w:t>
      </w:r>
      <w:r w:rsidRPr="00E37BB6">
        <w:rPr>
          <w:i/>
          <w:sz w:val="20"/>
          <w:lang w:val="en-GB"/>
        </w:rPr>
        <w:t>broadband</w:t>
      </w:r>
      <w:r>
        <w:rPr>
          <w:i/>
          <w:sz w:val="20"/>
          <w:lang w:val="en-GB"/>
        </w:rPr>
        <w:t xml:space="preserve"> (data</w:t>
      </w:r>
      <w:r w:rsidRPr="00E37BB6">
        <w:rPr>
          <w:i/>
          <w:sz w:val="20"/>
          <w:lang w:val="en-GB"/>
        </w:rPr>
        <w:t>) subscriptions</w:t>
      </w:r>
      <w:r>
        <w:rPr>
          <w:i/>
          <w:sz w:val="20"/>
          <w:lang w:val="en-GB"/>
        </w:rPr>
        <w:t xml:space="preserve"> and connections</w:t>
      </w:r>
      <w:r w:rsidRPr="00464730">
        <w:rPr>
          <w:rStyle w:val="Znakapoznpodarou"/>
          <w:i/>
          <w:sz w:val="20"/>
          <w:lang w:val="en-GB"/>
        </w:rPr>
        <w:footnoteReference w:id="1"/>
      </w:r>
      <w:r w:rsidRPr="00E37BB6">
        <w:rPr>
          <w:i/>
          <w:sz w:val="20"/>
          <w:lang w:val="en-GB"/>
        </w:rPr>
        <w:t xml:space="preserve">. The initial focus is on telephony; after which it shifts to the </w:t>
      </w:r>
      <w:r>
        <w:rPr>
          <w:i/>
          <w:sz w:val="20"/>
          <w:lang w:val="en-GB"/>
        </w:rPr>
        <w:t>i</w:t>
      </w:r>
      <w:r w:rsidRPr="00E37BB6">
        <w:rPr>
          <w:i/>
          <w:sz w:val="20"/>
          <w:lang w:val="en-GB"/>
        </w:rPr>
        <w:t>nternet infrastructure. Data used in this chapter are collected</w:t>
      </w:r>
      <w:r>
        <w:rPr>
          <w:i/>
          <w:sz w:val="20"/>
          <w:lang w:val="en-GB"/>
        </w:rPr>
        <w:t xml:space="preserve"> by </w:t>
      </w:r>
      <w:r w:rsidRPr="00B676F8">
        <w:rPr>
          <w:i/>
          <w:sz w:val="20"/>
          <w:lang w:val="en-GB"/>
        </w:rPr>
        <w:t>the Czech Telecommunication Office</w:t>
      </w:r>
      <w:r w:rsidRPr="00E37BB6">
        <w:rPr>
          <w:i/>
          <w:sz w:val="20"/>
          <w:lang w:val="en-GB"/>
        </w:rPr>
        <w:t xml:space="preserve"> from the telecommunication or internet service providers and should be distinguished from data based on ICT users’ surveys. </w:t>
      </w:r>
    </w:p>
    <w:p w:rsidR="00874476" w:rsidRPr="00970B85" w:rsidRDefault="00874476" w:rsidP="009812B5">
      <w:pPr>
        <w:pStyle w:val="Nadpis2"/>
      </w:pPr>
      <w:bookmarkStart w:id="5" w:name="_Toc533697480"/>
      <w:bookmarkStart w:id="6" w:name="_Toc534711979"/>
      <w:r w:rsidRPr="00970B85">
        <w:t>A</w:t>
      </w:r>
      <w:r w:rsidR="009812B5">
        <w:t>.</w:t>
      </w:r>
      <w:r w:rsidRPr="00970B85">
        <w:t xml:space="preserve">1 </w:t>
      </w:r>
      <w:r>
        <w:t xml:space="preserve">Telecommunication </w:t>
      </w:r>
      <w:r w:rsidRPr="00970B85">
        <w:t>infrastructure</w:t>
      </w:r>
      <w:bookmarkEnd w:id="5"/>
      <w:bookmarkEnd w:id="6"/>
    </w:p>
    <w:p w:rsidR="00874476" w:rsidRDefault="00874476" w:rsidP="00874476">
      <w:pPr>
        <w:pStyle w:val="Zkladntext"/>
        <w:spacing w:before="0" w:after="80" w:line="264" w:lineRule="auto"/>
        <w:rPr>
          <w:i/>
          <w:sz w:val="20"/>
          <w:lang w:val="en-GB"/>
        </w:rPr>
      </w:pPr>
      <w:r w:rsidRPr="00970B85">
        <w:rPr>
          <w:i/>
          <w:sz w:val="20"/>
          <w:lang w:val="en-GB"/>
        </w:rPr>
        <w:t xml:space="preserve">Telecommunication infrastructure is the </w:t>
      </w:r>
      <w:r>
        <w:rPr>
          <w:i/>
          <w:sz w:val="20"/>
          <w:lang w:val="en-GB"/>
        </w:rPr>
        <w:t xml:space="preserve">key pillar </w:t>
      </w:r>
      <w:r w:rsidRPr="00970B85">
        <w:rPr>
          <w:i/>
          <w:sz w:val="20"/>
          <w:lang w:val="en-GB"/>
        </w:rPr>
        <w:t>according to which the information and technological development of individual states</w:t>
      </w:r>
      <w:r>
        <w:rPr>
          <w:i/>
          <w:sz w:val="20"/>
          <w:lang w:val="en-GB"/>
        </w:rPr>
        <w:t xml:space="preserve"> </w:t>
      </w:r>
      <w:r w:rsidRPr="00970B85">
        <w:rPr>
          <w:i/>
          <w:sz w:val="20"/>
          <w:lang w:val="en-GB"/>
        </w:rPr>
        <w:t>has been evaluated in the past years. In the last millennium it was the fixed-telephone telecommunication service that was mainly used; since 2000 it has been the mobile telecommunication service</w:t>
      </w:r>
      <w:r>
        <w:rPr>
          <w:i/>
          <w:sz w:val="20"/>
          <w:lang w:val="en-GB"/>
        </w:rPr>
        <w:t>,</w:t>
      </w:r>
      <w:r w:rsidRPr="00970B85">
        <w:rPr>
          <w:i/>
          <w:sz w:val="20"/>
          <w:lang w:val="en-GB"/>
        </w:rPr>
        <w:t xml:space="preserve"> which has </w:t>
      </w:r>
      <w:r>
        <w:rPr>
          <w:i/>
          <w:sz w:val="20"/>
          <w:lang w:val="en-GB"/>
        </w:rPr>
        <w:t>gradually become</w:t>
      </w:r>
      <w:r w:rsidRPr="00970B85">
        <w:rPr>
          <w:i/>
          <w:sz w:val="20"/>
          <w:lang w:val="en-GB"/>
        </w:rPr>
        <w:t xml:space="preserve"> more popular.</w:t>
      </w:r>
      <w:r>
        <w:rPr>
          <w:i/>
          <w:sz w:val="20"/>
          <w:lang w:val="en-GB"/>
        </w:rPr>
        <w:t xml:space="preserve"> </w:t>
      </w:r>
    </w:p>
    <w:p w:rsidR="00874476" w:rsidRDefault="00874476" w:rsidP="00874476">
      <w:pPr>
        <w:pStyle w:val="Zkladntext"/>
        <w:spacing w:before="0" w:after="80" w:line="264" w:lineRule="auto"/>
        <w:rPr>
          <w:i/>
          <w:sz w:val="20"/>
          <w:lang w:val="en-GB"/>
        </w:rPr>
      </w:pPr>
      <w:r w:rsidRPr="007B142A">
        <w:rPr>
          <w:i/>
          <w:sz w:val="20"/>
          <w:lang w:val="en-GB"/>
        </w:rPr>
        <w:t>Today many telecom companies offer service bundles via one single distribution</w:t>
      </w:r>
      <w:r>
        <w:rPr>
          <w:i/>
          <w:sz w:val="20"/>
          <w:lang w:val="en-GB"/>
        </w:rPr>
        <w:t xml:space="preserve"> </w:t>
      </w:r>
      <w:r w:rsidRPr="007B142A">
        <w:rPr>
          <w:i/>
          <w:sz w:val="20"/>
          <w:lang w:val="en-GB"/>
        </w:rPr>
        <w:t>method. This is also known as ‘multiplay’. For instance, a company can now use</w:t>
      </w:r>
      <w:r>
        <w:rPr>
          <w:i/>
          <w:sz w:val="20"/>
          <w:lang w:val="en-GB"/>
        </w:rPr>
        <w:t xml:space="preserve"> </w:t>
      </w:r>
      <w:r w:rsidRPr="007B142A">
        <w:rPr>
          <w:i/>
          <w:sz w:val="20"/>
          <w:lang w:val="en-GB"/>
        </w:rPr>
        <w:t>the cable to supply television, internet and telephone services. Sometimes these</w:t>
      </w:r>
      <w:r>
        <w:rPr>
          <w:i/>
          <w:sz w:val="20"/>
          <w:lang w:val="en-GB"/>
        </w:rPr>
        <w:t xml:space="preserve"> </w:t>
      </w:r>
      <w:r w:rsidRPr="007B142A">
        <w:rPr>
          <w:i/>
          <w:sz w:val="20"/>
          <w:lang w:val="en-GB"/>
        </w:rPr>
        <w:t>services are offered in a single package through different distribution methods.</w:t>
      </w:r>
      <w:r>
        <w:rPr>
          <w:i/>
          <w:sz w:val="20"/>
          <w:lang w:val="en-GB"/>
        </w:rPr>
        <w:t xml:space="preserve"> </w:t>
      </w:r>
      <w:r w:rsidRPr="00BE6B68">
        <w:rPr>
          <w:i/>
          <w:sz w:val="20"/>
          <w:lang w:val="en-GB"/>
        </w:rPr>
        <w:t xml:space="preserve">Many </w:t>
      </w:r>
      <w:r>
        <w:rPr>
          <w:i/>
          <w:sz w:val="20"/>
          <w:lang w:val="en-GB"/>
        </w:rPr>
        <w:t xml:space="preserve">Czech </w:t>
      </w:r>
      <w:r w:rsidRPr="00BE6B68">
        <w:rPr>
          <w:i/>
          <w:sz w:val="20"/>
          <w:lang w:val="en-GB"/>
        </w:rPr>
        <w:t xml:space="preserve">households </w:t>
      </w:r>
      <w:r>
        <w:rPr>
          <w:i/>
          <w:sz w:val="20"/>
          <w:lang w:val="en-GB"/>
        </w:rPr>
        <w:t xml:space="preserve">nowadays </w:t>
      </w:r>
      <w:r w:rsidRPr="00BE6B68">
        <w:rPr>
          <w:i/>
          <w:sz w:val="20"/>
          <w:lang w:val="en-GB"/>
        </w:rPr>
        <w:t xml:space="preserve">obtain </w:t>
      </w:r>
      <w:r>
        <w:rPr>
          <w:i/>
          <w:sz w:val="20"/>
          <w:lang w:val="en-GB"/>
        </w:rPr>
        <w:t xml:space="preserve">these </w:t>
      </w:r>
      <w:r w:rsidRPr="00BE6B68">
        <w:rPr>
          <w:i/>
          <w:sz w:val="20"/>
          <w:lang w:val="en-GB"/>
        </w:rPr>
        <w:t>multiple telecom services from a single provider</w:t>
      </w:r>
      <w:r>
        <w:rPr>
          <w:i/>
          <w:sz w:val="20"/>
          <w:lang w:val="en-GB"/>
        </w:rPr>
        <w:t xml:space="preserve">. </w:t>
      </w:r>
    </w:p>
    <w:p w:rsidR="00874476" w:rsidRPr="00970B85" w:rsidRDefault="00874476" w:rsidP="009812B5">
      <w:pPr>
        <w:pStyle w:val="Nadpis3"/>
      </w:pPr>
      <w:bookmarkStart w:id="7" w:name="_Toc533697481"/>
      <w:bookmarkStart w:id="8" w:name="_Toc534711980"/>
      <w:r w:rsidRPr="00970B85">
        <w:t>Fixed</w:t>
      </w:r>
      <w:r>
        <w:t xml:space="preserve"> </w:t>
      </w:r>
      <w:r w:rsidRPr="00970B85">
        <w:t xml:space="preserve">telephone </w:t>
      </w:r>
      <w:r>
        <w:t>network penetration – V</w:t>
      </w:r>
      <w:r w:rsidRPr="00970B85">
        <w:t>oice subscriptions</w:t>
      </w:r>
      <w:r>
        <w:t xml:space="preserve"> via PSTN or VoIP</w:t>
      </w:r>
      <w:r w:rsidRPr="00970B85">
        <w:rPr>
          <w:vertAlign w:val="superscript"/>
        </w:rPr>
        <w:footnoteReference w:id="2"/>
      </w:r>
      <w:bookmarkEnd w:id="7"/>
      <w:bookmarkEnd w:id="8"/>
      <w:r w:rsidRPr="00970B85">
        <w:rPr>
          <w:sz w:val="22"/>
          <w:szCs w:val="20"/>
          <w:vertAlign w:val="superscript"/>
        </w:rPr>
        <w:t xml:space="preserve"> </w:t>
      </w:r>
      <w:r w:rsidRPr="00970B85">
        <w:t xml:space="preserve"> </w:t>
      </w:r>
    </w:p>
    <w:p w:rsidR="00874476" w:rsidRDefault="00874476" w:rsidP="00874476">
      <w:pPr>
        <w:pStyle w:val="Zkladntext"/>
        <w:spacing w:before="0" w:after="80" w:line="264" w:lineRule="auto"/>
        <w:rPr>
          <w:i/>
          <w:sz w:val="20"/>
          <w:lang w:val="en-GB"/>
        </w:rPr>
      </w:pPr>
      <w:r w:rsidRPr="00BC75D4">
        <w:rPr>
          <w:i/>
          <w:sz w:val="20"/>
          <w:lang w:val="en-GB"/>
        </w:rPr>
        <w:t>Fixed telephone network, with its services, used to be a flagship of the entire communications sector. In the 20th century, fixed telephone line represented the basic infrastructure for the dissemination of speech and</w:t>
      </w:r>
      <w:r>
        <w:rPr>
          <w:i/>
          <w:sz w:val="20"/>
          <w:lang w:val="en-GB"/>
        </w:rPr>
        <w:t> </w:t>
      </w:r>
      <w:r w:rsidRPr="00BC75D4">
        <w:rPr>
          <w:i/>
          <w:sz w:val="20"/>
          <w:lang w:val="en-GB"/>
        </w:rPr>
        <w:t xml:space="preserve">also featured the underlying technology platform for the development and spread of other technologies such as the internet. </w:t>
      </w:r>
      <w:r w:rsidRPr="00115EA5">
        <w:rPr>
          <w:i/>
          <w:sz w:val="20"/>
          <w:lang w:val="en-GB"/>
        </w:rPr>
        <w:t>However, traditional fixed-line telephony has been declining in the Czech Republic since 2000, largely due to the rise of mobile service (fixed-mobile substitution) and to the increased use of</w:t>
      </w:r>
      <w:r>
        <w:rPr>
          <w:i/>
          <w:sz w:val="20"/>
          <w:lang w:val="en-GB"/>
        </w:rPr>
        <w:t xml:space="preserve"> IP telephony for fixed voice communication (VoIP technology)</w:t>
      </w:r>
      <w:r w:rsidRPr="00115EA5">
        <w:rPr>
          <w:i/>
          <w:sz w:val="20"/>
          <w:lang w:val="en-GB"/>
        </w:rPr>
        <w:t>.</w:t>
      </w:r>
    </w:p>
    <w:p w:rsidR="00874476" w:rsidRPr="00A527DD" w:rsidRDefault="00874476" w:rsidP="00874476">
      <w:pPr>
        <w:pStyle w:val="Zkladntext"/>
        <w:numPr>
          <w:ilvl w:val="0"/>
          <w:numId w:val="15"/>
        </w:numPr>
        <w:spacing w:before="0" w:after="80" w:line="264" w:lineRule="auto"/>
        <w:ind w:left="284" w:hanging="284"/>
        <w:rPr>
          <w:sz w:val="20"/>
          <w:szCs w:val="20"/>
          <w:lang w:val="en-GB"/>
        </w:rPr>
      </w:pPr>
      <w:r w:rsidRPr="00A527DD">
        <w:rPr>
          <w:sz w:val="20"/>
          <w:szCs w:val="20"/>
          <w:lang w:val="en-GB"/>
        </w:rPr>
        <w:t xml:space="preserve">There has been a shift in the type of fixed-telephone connections used in the Czech Republic. The </w:t>
      </w:r>
      <w:r w:rsidRPr="00C673E2">
        <w:rPr>
          <w:sz w:val="20"/>
          <w:szCs w:val="20"/>
          <w:lang w:val="en-GB"/>
        </w:rPr>
        <w:t>traditional PSTN and ISDN telephone network is losing ground, while the number</w:t>
      </w:r>
      <w:r w:rsidRPr="00434FCB">
        <w:rPr>
          <w:sz w:val="20"/>
          <w:szCs w:val="20"/>
          <w:lang w:val="en-GB"/>
        </w:rPr>
        <w:t xml:space="preserve"> </w:t>
      </w:r>
      <w:r w:rsidRPr="00956B74">
        <w:rPr>
          <w:sz w:val="20"/>
          <w:szCs w:val="20"/>
          <w:lang w:val="en-GB"/>
        </w:rPr>
        <w:t xml:space="preserve">of telephone connections via the internet (VoIP) </w:t>
      </w:r>
      <w:r w:rsidRPr="003F4223">
        <w:rPr>
          <w:sz w:val="20"/>
          <w:szCs w:val="20"/>
          <w:lang w:val="en-GB"/>
        </w:rPr>
        <w:t>was</w:t>
      </w:r>
      <w:r w:rsidRPr="00463B1E">
        <w:rPr>
          <w:sz w:val="20"/>
          <w:szCs w:val="20"/>
          <w:lang w:val="en-GB"/>
        </w:rPr>
        <w:t xml:space="preserve"> rising. In 201</w:t>
      </w:r>
      <w:r>
        <w:rPr>
          <w:sz w:val="20"/>
          <w:szCs w:val="20"/>
          <w:lang w:val="en-GB"/>
        </w:rPr>
        <w:t>6</w:t>
      </w:r>
      <w:r w:rsidRPr="00A527DD">
        <w:rPr>
          <w:sz w:val="20"/>
          <w:szCs w:val="20"/>
          <w:lang w:val="en-GB"/>
        </w:rPr>
        <w:t xml:space="preserve">, the Czech Republic had </w:t>
      </w:r>
      <w:r>
        <w:rPr>
          <w:sz w:val="20"/>
          <w:szCs w:val="20"/>
          <w:lang w:val="en-GB"/>
        </w:rPr>
        <w:t>917</w:t>
      </w:r>
      <w:r w:rsidRPr="00A527DD">
        <w:rPr>
          <w:sz w:val="20"/>
          <w:szCs w:val="20"/>
          <w:lang w:val="en-GB"/>
        </w:rPr>
        <w:t xml:space="preserve"> </w:t>
      </w:r>
      <w:r>
        <w:rPr>
          <w:sz w:val="20"/>
          <w:szCs w:val="20"/>
          <w:lang w:val="en-GB"/>
        </w:rPr>
        <w:t>thousand</w:t>
      </w:r>
      <w:r w:rsidRPr="00A527DD">
        <w:rPr>
          <w:sz w:val="20"/>
          <w:szCs w:val="20"/>
          <w:lang w:val="en-GB"/>
        </w:rPr>
        <w:t xml:space="preserve"> </w:t>
      </w:r>
      <w:r w:rsidRPr="00301172">
        <w:rPr>
          <w:b/>
          <w:sz w:val="20"/>
          <w:szCs w:val="20"/>
          <w:lang w:val="en-GB"/>
        </w:rPr>
        <w:t>VoIP connections</w:t>
      </w:r>
      <w:r w:rsidRPr="00A527DD">
        <w:rPr>
          <w:sz w:val="20"/>
          <w:szCs w:val="20"/>
          <w:lang w:val="en-GB"/>
        </w:rPr>
        <w:t xml:space="preserve">, compared to </w:t>
      </w:r>
      <w:r>
        <w:rPr>
          <w:sz w:val="20"/>
          <w:szCs w:val="20"/>
          <w:lang w:val="en-GB"/>
        </w:rPr>
        <w:t xml:space="preserve">462 thousand </w:t>
      </w:r>
      <w:r w:rsidRPr="00A527DD">
        <w:rPr>
          <w:sz w:val="20"/>
          <w:szCs w:val="20"/>
          <w:lang w:val="en-GB"/>
        </w:rPr>
        <w:t>in 201</w:t>
      </w:r>
      <w:r>
        <w:rPr>
          <w:sz w:val="20"/>
          <w:szCs w:val="20"/>
          <w:lang w:val="en-GB"/>
        </w:rPr>
        <w:t>0</w:t>
      </w:r>
      <w:r w:rsidRPr="00A527DD">
        <w:rPr>
          <w:sz w:val="20"/>
          <w:szCs w:val="20"/>
          <w:lang w:val="en-GB"/>
        </w:rPr>
        <w:t xml:space="preserve">. The number of traditional </w:t>
      </w:r>
      <w:r>
        <w:rPr>
          <w:sz w:val="20"/>
          <w:szCs w:val="20"/>
          <w:lang w:val="en-GB"/>
        </w:rPr>
        <w:t xml:space="preserve">fixed-telephone </w:t>
      </w:r>
      <w:r w:rsidRPr="00A527DD">
        <w:rPr>
          <w:sz w:val="20"/>
          <w:szCs w:val="20"/>
          <w:lang w:val="en-GB"/>
        </w:rPr>
        <w:t>connections</w:t>
      </w:r>
      <w:r>
        <w:rPr>
          <w:sz w:val="20"/>
          <w:szCs w:val="20"/>
          <w:lang w:val="en-GB"/>
        </w:rPr>
        <w:t xml:space="preserve"> (PSTN lines)</w:t>
      </w:r>
      <w:r w:rsidRPr="00A527DD">
        <w:rPr>
          <w:sz w:val="20"/>
          <w:szCs w:val="20"/>
          <w:lang w:val="en-GB"/>
        </w:rPr>
        <w:t xml:space="preserve"> in 201</w:t>
      </w:r>
      <w:r>
        <w:rPr>
          <w:sz w:val="20"/>
          <w:szCs w:val="20"/>
          <w:lang w:val="en-GB"/>
        </w:rPr>
        <w:t>6</w:t>
      </w:r>
      <w:r w:rsidRPr="00A527DD">
        <w:rPr>
          <w:sz w:val="20"/>
          <w:szCs w:val="20"/>
          <w:lang w:val="en-GB"/>
        </w:rPr>
        <w:t xml:space="preserve"> w</w:t>
      </w:r>
      <w:r>
        <w:rPr>
          <w:sz w:val="20"/>
          <w:szCs w:val="20"/>
          <w:lang w:val="en-GB"/>
        </w:rPr>
        <w:t>as</w:t>
      </w:r>
      <w:r w:rsidRPr="00A527DD">
        <w:rPr>
          <w:sz w:val="20"/>
          <w:szCs w:val="20"/>
          <w:lang w:val="en-GB"/>
        </w:rPr>
        <w:t xml:space="preserve"> </w:t>
      </w:r>
      <w:r>
        <w:rPr>
          <w:sz w:val="20"/>
          <w:szCs w:val="20"/>
          <w:lang w:val="en-GB"/>
        </w:rPr>
        <w:t>832 thousand</w:t>
      </w:r>
      <w:r w:rsidRPr="00A527DD">
        <w:rPr>
          <w:sz w:val="20"/>
          <w:szCs w:val="20"/>
          <w:lang w:val="en-GB"/>
        </w:rPr>
        <w:t xml:space="preserve">. </w:t>
      </w:r>
      <w:r>
        <w:rPr>
          <w:sz w:val="20"/>
          <w:szCs w:val="20"/>
          <w:lang w:val="en-GB"/>
        </w:rPr>
        <w:t xml:space="preserve">Ten </w:t>
      </w:r>
      <w:r w:rsidRPr="00A527DD">
        <w:rPr>
          <w:sz w:val="20"/>
          <w:szCs w:val="20"/>
          <w:lang w:val="en-GB"/>
        </w:rPr>
        <w:t>year</w:t>
      </w:r>
      <w:r>
        <w:rPr>
          <w:sz w:val="20"/>
          <w:szCs w:val="20"/>
          <w:lang w:val="en-GB"/>
        </w:rPr>
        <w:t>s</w:t>
      </w:r>
      <w:r w:rsidRPr="00A527DD">
        <w:rPr>
          <w:sz w:val="20"/>
          <w:szCs w:val="20"/>
          <w:lang w:val="en-GB"/>
        </w:rPr>
        <w:t xml:space="preserve"> before it was still 2.</w:t>
      </w:r>
      <w:r>
        <w:rPr>
          <w:sz w:val="20"/>
          <w:szCs w:val="20"/>
          <w:lang w:val="en-GB"/>
        </w:rPr>
        <w:t>8</w:t>
      </w:r>
      <w:r w:rsidRPr="00A527DD">
        <w:rPr>
          <w:sz w:val="20"/>
          <w:szCs w:val="20"/>
          <w:lang w:val="en-GB"/>
        </w:rPr>
        <w:t xml:space="preserve"> million. Packages that allow consumers to acquire multiple telecom services, such as TV, the internet and VoIP, in a single subscription have been gaining in popularity for some years.</w:t>
      </w:r>
    </w:p>
    <w:p w:rsidR="00874476" w:rsidRPr="00970B85" w:rsidRDefault="00874476" w:rsidP="00874476">
      <w:pPr>
        <w:pStyle w:val="Zkladntext"/>
        <w:numPr>
          <w:ilvl w:val="0"/>
          <w:numId w:val="15"/>
        </w:numPr>
        <w:spacing w:before="0" w:after="80" w:line="264" w:lineRule="auto"/>
        <w:ind w:left="284" w:hanging="284"/>
        <w:rPr>
          <w:sz w:val="20"/>
          <w:szCs w:val="20"/>
          <w:lang w:val="en-GB"/>
        </w:rPr>
      </w:pPr>
      <w:r w:rsidRPr="00970B85">
        <w:rPr>
          <w:sz w:val="20"/>
          <w:szCs w:val="20"/>
          <w:lang w:val="en-GB"/>
        </w:rPr>
        <w:t xml:space="preserve">The number of </w:t>
      </w:r>
      <w:r w:rsidRPr="00970B85">
        <w:rPr>
          <w:b/>
          <w:sz w:val="20"/>
          <w:szCs w:val="20"/>
          <w:lang w:val="en-GB"/>
        </w:rPr>
        <w:t xml:space="preserve">subscribers to voice services </w:t>
      </w:r>
      <w:r w:rsidRPr="00970B85">
        <w:rPr>
          <w:sz w:val="20"/>
          <w:szCs w:val="20"/>
          <w:lang w:val="en-GB"/>
        </w:rPr>
        <w:t xml:space="preserve">provided by means of </w:t>
      </w:r>
      <w:r w:rsidRPr="00970B85">
        <w:rPr>
          <w:b/>
          <w:sz w:val="20"/>
          <w:szCs w:val="20"/>
          <w:lang w:val="en-GB"/>
        </w:rPr>
        <w:t>public switched telephone network (PSTN)</w:t>
      </w:r>
      <w:r>
        <w:rPr>
          <w:rStyle w:val="Znakapoznpodarou"/>
          <w:b/>
          <w:sz w:val="20"/>
          <w:szCs w:val="20"/>
          <w:lang w:val="en-GB"/>
        </w:rPr>
        <w:footnoteReference w:id="3"/>
      </w:r>
      <w:r w:rsidRPr="00970B85">
        <w:rPr>
          <w:b/>
          <w:sz w:val="20"/>
          <w:szCs w:val="20"/>
          <w:lang w:val="en-GB"/>
        </w:rPr>
        <w:t xml:space="preserve"> </w:t>
      </w:r>
      <w:r w:rsidRPr="00970B85">
        <w:rPr>
          <w:sz w:val="20"/>
          <w:szCs w:val="20"/>
          <w:lang w:val="en-GB"/>
        </w:rPr>
        <w:t xml:space="preserve">in the Czech Republic has been decreasing. Since 2001 when their number reached its maximum, the </w:t>
      </w:r>
      <w:r>
        <w:rPr>
          <w:sz w:val="20"/>
          <w:szCs w:val="20"/>
          <w:lang w:val="en-GB"/>
        </w:rPr>
        <w:t>number</w:t>
      </w:r>
      <w:r w:rsidRPr="00970B85">
        <w:rPr>
          <w:sz w:val="20"/>
          <w:szCs w:val="20"/>
          <w:lang w:val="en-GB"/>
        </w:rPr>
        <w:t xml:space="preserve"> decreased by 3 million to </w:t>
      </w:r>
      <w:r>
        <w:rPr>
          <w:sz w:val="20"/>
          <w:szCs w:val="20"/>
          <w:lang w:val="en-GB"/>
        </w:rPr>
        <w:t xml:space="preserve">the above mentioned </w:t>
      </w:r>
      <w:r w:rsidRPr="00970B85">
        <w:rPr>
          <w:sz w:val="20"/>
          <w:szCs w:val="20"/>
          <w:lang w:val="en-GB"/>
        </w:rPr>
        <w:t xml:space="preserve">832 thousand in 2016. </w:t>
      </w:r>
      <w:r>
        <w:rPr>
          <w:sz w:val="20"/>
          <w:szCs w:val="20"/>
          <w:lang w:val="en-GB"/>
        </w:rPr>
        <w:t>A</w:t>
      </w:r>
      <w:r w:rsidRPr="002569E0">
        <w:rPr>
          <w:sz w:val="20"/>
          <w:szCs w:val="20"/>
          <w:lang w:val="en-GB"/>
        </w:rPr>
        <w:t xml:space="preserve">s an </w:t>
      </w:r>
      <w:r w:rsidRPr="002569E0">
        <w:rPr>
          <w:sz w:val="20"/>
          <w:szCs w:val="20"/>
          <w:lang w:val="en-GB"/>
        </w:rPr>
        <w:lastRenderedPageBreak/>
        <w:t xml:space="preserve">interesting fact can be mentioned </w:t>
      </w:r>
      <w:r>
        <w:rPr>
          <w:sz w:val="20"/>
          <w:szCs w:val="20"/>
          <w:lang w:val="en-GB"/>
        </w:rPr>
        <w:t xml:space="preserve">that this </w:t>
      </w:r>
      <w:r w:rsidRPr="00970B85">
        <w:rPr>
          <w:sz w:val="20"/>
          <w:szCs w:val="20"/>
          <w:lang w:val="en-GB"/>
        </w:rPr>
        <w:t xml:space="preserve">number of main fixed telephone </w:t>
      </w:r>
      <w:r>
        <w:rPr>
          <w:sz w:val="20"/>
          <w:szCs w:val="20"/>
          <w:lang w:val="en-GB"/>
        </w:rPr>
        <w:t>connections</w:t>
      </w:r>
      <w:r w:rsidRPr="00970B85">
        <w:rPr>
          <w:sz w:val="20"/>
          <w:szCs w:val="20"/>
          <w:lang w:val="en-GB"/>
        </w:rPr>
        <w:t xml:space="preserve"> </w:t>
      </w:r>
      <w:r>
        <w:rPr>
          <w:sz w:val="20"/>
          <w:szCs w:val="20"/>
          <w:lang w:val="en-GB"/>
        </w:rPr>
        <w:t xml:space="preserve">in 2016 </w:t>
      </w:r>
      <w:r w:rsidRPr="00970B85">
        <w:rPr>
          <w:sz w:val="20"/>
          <w:szCs w:val="20"/>
          <w:lang w:val="en-GB"/>
        </w:rPr>
        <w:t xml:space="preserve">is nearly equal to the number which was last recorded in 1972. </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Pr>
          <w:sz w:val="20"/>
          <w:szCs w:val="20"/>
          <w:lang w:val="en-GB"/>
        </w:rPr>
        <w:t xml:space="preserve">In particular, </w:t>
      </w:r>
      <w:r w:rsidRPr="00970B85">
        <w:rPr>
          <w:sz w:val="20"/>
          <w:szCs w:val="20"/>
          <w:lang w:val="en-GB"/>
        </w:rPr>
        <w:t xml:space="preserve">the number of </w:t>
      </w:r>
      <w:r w:rsidRPr="00970B85">
        <w:rPr>
          <w:b/>
          <w:sz w:val="20"/>
          <w:szCs w:val="20"/>
          <w:lang w:val="en-GB"/>
        </w:rPr>
        <w:t xml:space="preserve">“residential </w:t>
      </w:r>
      <w:r>
        <w:rPr>
          <w:b/>
          <w:sz w:val="20"/>
          <w:szCs w:val="20"/>
          <w:lang w:val="en-GB"/>
        </w:rPr>
        <w:t xml:space="preserve">fixed telephone stations – consumer/citizen </w:t>
      </w:r>
      <w:r w:rsidRPr="00970B85">
        <w:rPr>
          <w:b/>
          <w:sz w:val="20"/>
          <w:szCs w:val="20"/>
          <w:lang w:val="en-GB"/>
        </w:rPr>
        <w:t>subscriptions”</w:t>
      </w:r>
      <w:r w:rsidRPr="00970B85">
        <w:rPr>
          <w:sz w:val="20"/>
          <w:szCs w:val="20"/>
          <w:lang w:val="en-GB"/>
        </w:rPr>
        <w:t xml:space="preserve">, most frequently used at the turn of the millennium, is decreasing. Only in the past 15 years, </w:t>
      </w:r>
      <w:r>
        <w:rPr>
          <w:sz w:val="20"/>
          <w:szCs w:val="20"/>
          <w:lang w:val="en-GB"/>
        </w:rPr>
        <w:t xml:space="preserve">has </w:t>
      </w:r>
      <w:r w:rsidRPr="00970B85">
        <w:rPr>
          <w:sz w:val="20"/>
          <w:szCs w:val="20"/>
          <w:lang w:val="en-GB"/>
        </w:rPr>
        <w:t>the number of subscriptions</w:t>
      </w:r>
      <w:r>
        <w:rPr>
          <w:sz w:val="20"/>
          <w:szCs w:val="20"/>
          <w:lang w:val="en-GB"/>
        </w:rPr>
        <w:t xml:space="preserve"> to the traditional</w:t>
      </w:r>
      <w:r w:rsidRPr="00970B85">
        <w:rPr>
          <w:sz w:val="20"/>
          <w:szCs w:val="20"/>
          <w:lang w:val="en-GB"/>
        </w:rPr>
        <w:t xml:space="preserve"> </w:t>
      </w:r>
      <w:r>
        <w:rPr>
          <w:sz w:val="20"/>
          <w:szCs w:val="20"/>
          <w:lang w:val="en-GB"/>
        </w:rPr>
        <w:t>fixed-</w:t>
      </w:r>
      <w:r w:rsidRPr="00970B85">
        <w:rPr>
          <w:sz w:val="20"/>
          <w:szCs w:val="20"/>
          <w:lang w:val="en-GB"/>
        </w:rPr>
        <w:t>telephone</w:t>
      </w:r>
      <w:r>
        <w:rPr>
          <w:sz w:val="20"/>
          <w:szCs w:val="20"/>
          <w:lang w:val="en-GB"/>
        </w:rPr>
        <w:t xml:space="preserve"> lines </w:t>
      </w:r>
      <w:r w:rsidRPr="00970B85">
        <w:rPr>
          <w:sz w:val="20"/>
          <w:szCs w:val="20"/>
          <w:lang w:val="en-GB"/>
        </w:rPr>
        <w:t>(PSTN) in Czech households decreased 6.5 times from the original 2.6 million in 2001, when mobile telephones started becoming popular with Czech households, to 400 thousand in 2016. In other words, whereas in 2001 a fixed telephone was owned by 75% of households, in 2016</w:t>
      </w:r>
      <w:r>
        <w:rPr>
          <w:sz w:val="20"/>
          <w:szCs w:val="20"/>
          <w:lang w:val="en-GB"/>
        </w:rPr>
        <w:t>,</w:t>
      </w:r>
      <w:r w:rsidRPr="00970B85">
        <w:rPr>
          <w:sz w:val="20"/>
          <w:szCs w:val="20"/>
          <w:lang w:val="en-GB"/>
        </w:rPr>
        <w:t xml:space="preserve"> it was only</w:t>
      </w:r>
      <w:r>
        <w:rPr>
          <w:sz w:val="20"/>
          <w:szCs w:val="20"/>
          <w:lang w:val="en-GB"/>
        </w:rPr>
        <w:t xml:space="preserve"> by</w:t>
      </w:r>
      <w:r w:rsidRPr="00970B85">
        <w:rPr>
          <w:sz w:val="20"/>
          <w:szCs w:val="20"/>
          <w:lang w:val="en-GB"/>
        </w:rPr>
        <w:t xml:space="preserve"> 1</w:t>
      </w:r>
      <w:r>
        <w:rPr>
          <w:sz w:val="20"/>
          <w:szCs w:val="20"/>
          <w:lang w:val="en-GB"/>
        </w:rPr>
        <w:t>4</w:t>
      </w:r>
      <w:r w:rsidRPr="00970B85">
        <w:rPr>
          <w:sz w:val="20"/>
          <w:szCs w:val="20"/>
          <w:lang w:val="en-GB"/>
        </w:rPr>
        <w:t>% of them – along with Finland, the l</w:t>
      </w:r>
      <w:r>
        <w:rPr>
          <w:sz w:val="20"/>
          <w:szCs w:val="20"/>
          <w:lang w:val="en-GB"/>
        </w:rPr>
        <w:t>owest share in all EU countries</w:t>
      </w:r>
      <w:r w:rsidRPr="00970B85">
        <w:rPr>
          <w:rStyle w:val="Znakapoznpodarou"/>
          <w:sz w:val="20"/>
          <w:szCs w:val="20"/>
          <w:lang w:val="en-GB"/>
        </w:rPr>
        <w:footnoteReference w:id="4"/>
      </w:r>
      <w:r>
        <w:rPr>
          <w:sz w:val="20"/>
          <w:szCs w:val="20"/>
          <w:lang w:val="en-GB"/>
        </w:rPr>
        <w:t>.</w:t>
      </w:r>
      <w:r w:rsidRPr="00970B85">
        <w:rPr>
          <w:sz w:val="20"/>
          <w:szCs w:val="20"/>
          <w:lang w:val="en-GB"/>
        </w:rPr>
        <w:t xml:space="preserve"> </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In 2016, the number of </w:t>
      </w:r>
      <w:r w:rsidRPr="00970B85">
        <w:rPr>
          <w:b/>
          <w:sz w:val="20"/>
          <w:szCs w:val="20"/>
          <w:lang w:val="en-GB"/>
        </w:rPr>
        <w:t>“</w:t>
      </w:r>
      <w:r>
        <w:rPr>
          <w:b/>
          <w:sz w:val="20"/>
          <w:szCs w:val="20"/>
          <w:lang w:val="en-GB"/>
        </w:rPr>
        <w:t>business fixed telephone stations – business</w:t>
      </w:r>
      <w:r w:rsidRPr="00970B85">
        <w:rPr>
          <w:b/>
          <w:sz w:val="20"/>
          <w:szCs w:val="20"/>
          <w:lang w:val="en-GB"/>
        </w:rPr>
        <w:t xml:space="preserve"> subscriptions”</w:t>
      </w:r>
      <w:r w:rsidRPr="00970B85">
        <w:rPr>
          <w:sz w:val="20"/>
          <w:szCs w:val="20"/>
          <w:lang w:val="en-GB"/>
        </w:rPr>
        <w:t xml:space="preserve"> </w:t>
      </w:r>
      <w:r>
        <w:rPr>
          <w:sz w:val="20"/>
          <w:szCs w:val="20"/>
          <w:lang w:val="en-GB"/>
        </w:rPr>
        <w:t xml:space="preserve">using </w:t>
      </w:r>
      <w:r w:rsidRPr="00970B85">
        <w:rPr>
          <w:sz w:val="20"/>
          <w:szCs w:val="20"/>
          <w:lang w:val="en-GB"/>
        </w:rPr>
        <w:t>“</w:t>
      </w:r>
      <w:r>
        <w:rPr>
          <w:sz w:val="20"/>
          <w:szCs w:val="20"/>
          <w:lang w:val="en-GB"/>
        </w:rPr>
        <w:t>traditional</w:t>
      </w:r>
      <w:r w:rsidRPr="00970B85">
        <w:rPr>
          <w:sz w:val="20"/>
          <w:szCs w:val="20"/>
          <w:lang w:val="en-GB"/>
        </w:rPr>
        <w:t>” fixed</w:t>
      </w:r>
      <w:r>
        <w:rPr>
          <w:sz w:val="20"/>
          <w:szCs w:val="20"/>
          <w:lang w:val="en-GB"/>
        </w:rPr>
        <w:t xml:space="preserve"> </w:t>
      </w:r>
      <w:r w:rsidRPr="00970B85">
        <w:rPr>
          <w:sz w:val="20"/>
          <w:szCs w:val="20"/>
          <w:lang w:val="en-GB"/>
        </w:rPr>
        <w:t>telephone lines (PSTN) was higher than the number of residential ones. Even in this case, however, there has been a significant decrease in recent years. For instance, in the years 1997 to</w:t>
      </w:r>
      <w:r>
        <w:rPr>
          <w:sz w:val="20"/>
          <w:szCs w:val="20"/>
          <w:lang w:val="en-GB"/>
        </w:rPr>
        <w:t> </w:t>
      </w:r>
      <w:r w:rsidRPr="00970B85">
        <w:rPr>
          <w:sz w:val="20"/>
          <w:szCs w:val="20"/>
          <w:lang w:val="en-GB"/>
        </w:rPr>
        <w:t>2008 their number was around 1 million. In 2016, the number decreased to 429 thousand</w:t>
      </w:r>
      <w:r>
        <w:rPr>
          <w:sz w:val="20"/>
          <w:szCs w:val="20"/>
          <w:lang w:val="en-GB"/>
        </w:rPr>
        <w:t xml:space="preserve"> business subscriptions</w:t>
      </w:r>
      <w:r w:rsidRPr="00970B85">
        <w:rPr>
          <w:sz w:val="20"/>
          <w:szCs w:val="20"/>
          <w:lang w:val="en-GB"/>
        </w:rPr>
        <w:t xml:space="preserve">. </w:t>
      </w:r>
    </w:p>
    <w:p w:rsidR="00874476" w:rsidRPr="00970B85" w:rsidRDefault="00874476" w:rsidP="00874476">
      <w:pPr>
        <w:pStyle w:val="Zkladntext"/>
        <w:spacing w:before="0" w:after="80" w:line="264" w:lineRule="auto"/>
        <w:rPr>
          <w:lang w:val="en-GB"/>
        </w:rPr>
      </w:pPr>
      <w:r w:rsidRPr="00970B85">
        <w:rPr>
          <w:noProof/>
        </w:rPr>
        <w:drawing>
          <wp:inline distT="0" distB="0" distL="0" distR="0" wp14:anchorId="3AC71E24" wp14:editId="03DC2093">
            <wp:extent cx="3024000" cy="2880000"/>
            <wp:effectExtent l="0" t="0" r="508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70B85">
        <w:rPr>
          <w:noProof/>
        </w:rPr>
        <w:drawing>
          <wp:inline distT="0" distB="0" distL="0" distR="0" wp14:anchorId="2EDA648C" wp14:editId="0B500ABB">
            <wp:extent cx="3024000" cy="2880000"/>
            <wp:effectExtent l="0" t="0" r="508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The decrease in usage of PSTN lines in the Czech Republic was partially compensated by means of</w:t>
      </w:r>
      <w:r>
        <w:rPr>
          <w:sz w:val="20"/>
          <w:szCs w:val="20"/>
          <w:lang w:val="en-GB"/>
        </w:rPr>
        <w:t> </w:t>
      </w:r>
      <w:r w:rsidRPr="00970B85">
        <w:rPr>
          <w:b/>
          <w:sz w:val="20"/>
          <w:szCs w:val="20"/>
          <w:lang w:val="en-GB"/>
        </w:rPr>
        <w:t>VoIP technology</w:t>
      </w:r>
      <w:r w:rsidRPr="00970B85">
        <w:rPr>
          <w:rStyle w:val="Znakapoznpodarou"/>
          <w:sz w:val="20"/>
          <w:szCs w:val="20"/>
          <w:lang w:val="en-GB"/>
        </w:rPr>
        <w:footnoteReference w:id="5"/>
      </w:r>
      <w:r w:rsidRPr="00970B85">
        <w:rPr>
          <w:sz w:val="20"/>
          <w:szCs w:val="20"/>
          <w:lang w:val="en-GB"/>
        </w:rPr>
        <w:t>. In 2016</w:t>
      </w:r>
      <w:r>
        <w:rPr>
          <w:sz w:val="20"/>
          <w:szCs w:val="20"/>
          <w:lang w:val="en-GB"/>
        </w:rPr>
        <w:t>,</w:t>
      </w:r>
      <w:r w:rsidRPr="00970B85">
        <w:rPr>
          <w:sz w:val="20"/>
          <w:szCs w:val="20"/>
          <w:lang w:val="en-GB"/>
        </w:rPr>
        <w:t xml:space="preserve"> the number of subscribers to </w:t>
      </w:r>
      <w:r>
        <w:rPr>
          <w:sz w:val="20"/>
          <w:szCs w:val="20"/>
          <w:lang w:val="en-GB"/>
        </w:rPr>
        <w:t>fixed-</w:t>
      </w:r>
      <w:r w:rsidRPr="00970B85">
        <w:rPr>
          <w:sz w:val="20"/>
          <w:szCs w:val="20"/>
          <w:lang w:val="en-GB"/>
        </w:rPr>
        <w:t xml:space="preserve">voice services by means of this </w:t>
      </w:r>
      <w:r>
        <w:rPr>
          <w:sz w:val="20"/>
          <w:szCs w:val="20"/>
          <w:lang w:val="en-GB"/>
        </w:rPr>
        <w:t xml:space="preserve">IP </w:t>
      </w:r>
      <w:r w:rsidRPr="00970B85">
        <w:rPr>
          <w:sz w:val="20"/>
          <w:szCs w:val="20"/>
          <w:lang w:val="en-GB"/>
        </w:rPr>
        <w:t>technology was 917 thousand compared to 462 thousand in 2010. Over the last 6 years the number has nearly doubled</w:t>
      </w:r>
      <w:r>
        <w:rPr>
          <w:sz w:val="20"/>
          <w:szCs w:val="20"/>
          <w:lang w:val="en-GB"/>
        </w:rPr>
        <w:t>,</w:t>
      </w:r>
      <w:r w:rsidRPr="00970B85">
        <w:rPr>
          <w:sz w:val="20"/>
          <w:szCs w:val="20"/>
          <w:lang w:val="en-GB"/>
        </w:rPr>
        <w:t xml:space="preserve"> despite the fact that in recent years their number has not increased significantly.</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The main share in the aforementioned increase of VoIP technology for voice services in recent years</w:t>
      </w:r>
      <w:r>
        <w:rPr>
          <w:sz w:val="20"/>
          <w:szCs w:val="20"/>
          <w:lang w:val="en-GB"/>
        </w:rPr>
        <w:t>,</w:t>
      </w:r>
      <w:r w:rsidRPr="00970B85">
        <w:rPr>
          <w:sz w:val="20"/>
          <w:szCs w:val="20"/>
          <w:lang w:val="en-GB"/>
        </w:rPr>
        <w:t xml:space="preserve"> involves subscribers in the form of </w:t>
      </w:r>
      <w:r w:rsidRPr="00970B85">
        <w:rPr>
          <w:b/>
          <w:sz w:val="20"/>
          <w:szCs w:val="20"/>
          <w:lang w:val="en-GB"/>
        </w:rPr>
        <w:t>enterprises</w:t>
      </w:r>
      <w:r>
        <w:rPr>
          <w:sz w:val="20"/>
          <w:szCs w:val="20"/>
          <w:lang w:val="en-GB"/>
        </w:rPr>
        <w:t xml:space="preserve"> and other legal entities, whose</w:t>
      </w:r>
      <w:r w:rsidRPr="00970B85">
        <w:rPr>
          <w:sz w:val="20"/>
          <w:szCs w:val="20"/>
          <w:lang w:val="en-GB"/>
        </w:rPr>
        <w:t xml:space="preserve"> number </w:t>
      </w:r>
      <w:r>
        <w:rPr>
          <w:sz w:val="20"/>
          <w:szCs w:val="20"/>
          <w:lang w:val="en-GB"/>
        </w:rPr>
        <w:t>continues to grow</w:t>
      </w:r>
      <w:r w:rsidRPr="00970B85">
        <w:rPr>
          <w:sz w:val="20"/>
          <w:szCs w:val="20"/>
          <w:lang w:val="en-GB"/>
        </w:rPr>
        <w:t xml:space="preserve"> as opposed to the number of </w:t>
      </w:r>
      <w:r w:rsidRPr="00B7189A">
        <w:rPr>
          <w:b/>
          <w:sz w:val="20"/>
          <w:szCs w:val="20"/>
          <w:lang w:val="en-GB"/>
        </w:rPr>
        <w:t>individuals (households)</w:t>
      </w:r>
      <w:r>
        <w:rPr>
          <w:sz w:val="20"/>
          <w:szCs w:val="20"/>
          <w:lang w:val="en-GB"/>
        </w:rPr>
        <w:t xml:space="preserve"> using this technology for making telephone calls</w:t>
      </w:r>
      <w:r w:rsidRPr="00970B85">
        <w:rPr>
          <w:sz w:val="20"/>
          <w:szCs w:val="20"/>
          <w:lang w:val="en-GB"/>
        </w:rPr>
        <w:t>. In</w:t>
      </w:r>
      <w:r>
        <w:rPr>
          <w:sz w:val="20"/>
          <w:szCs w:val="20"/>
          <w:lang w:val="en-GB"/>
        </w:rPr>
        <w:t> </w:t>
      </w:r>
      <w:r w:rsidRPr="00970B85">
        <w:rPr>
          <w:sz w:val="20"/>
          <w:szCs w:val="20"/>
          <w:lang w:val="en-GB"/>
        </w:rPr>
        <w:t xml:space="preserve">2016, the number of enterprises </w:t>
      </w:r>
      <w:r>
        <w:rPr>
          <w:sz w:val="20"/>
          <w:szCs w:val="20"/>
          <w:lang w:val="en-GB"/>
        </w:rPr>
        <w:t>that were subscribers to</w:t>
      </w:r>
      <w:r w:rsidRPr="00970B85">
        <w:rPr>
          <w:sz w:val="20"/>
          <w:szCs w:val="20"/>
          <w:lang w:val="en-GB"/>
        </w:rPr>
        <w:t xml:space="preserve"> voice services via fixed network by means of</w:t>
      </w:r>
      <w:r>
        <w:rPr>
          <w:sz w:val="20"/>
          <w:szCs w:val="20"/>
          <w:lang w:val="en-GB"/>
        </w:rPr>
        <w:t> </w:t>
      </w:r>
      <w:r w:rsidRPr="00970B85">
        <w:rPr>
          <w:sz w:val="20"/>
          <w:szCs w:val="20"/>
          <w:lang w:val="en-GB"/>
        </w:rPr>
        <w:t>VoIP technology already reached 619 thousand, i.e. nearly a fourfold number compared to the year 2010. As opposed to that, since 2013</w:t>
      </w:r>
      <w:r>
        <w:rPr>
          <w:sz w:val="20"/>
          <w:szCs w:val="20"/>
          <w:lang w:val="en-GB"/>
        </w:rPr>
        <w:t>,</w:t>
      </w:r>
      <w:r w:rsidRPr="00970B85">
        <w:rPr>
          <w:sz w:val="20"/>
          <w:szCs w:val="20"/>
          <w:lang w:val="en-GB"/>
        </w:rPr>
        <w:t xml:space="preserve"> when the number reached its maximum (383 thousand), the popularity of this technology in Czech households is decreasing. In 2016, this internet technology for</w:t>
      </w:r>
      <w:r>
        <w:rPr>
          <w:sz w:val="20"/>
          <w:szCs w:val="20"/>
          <w:lang w:val="en-GB"/>
        </w:rPr>
        <w:t> </w:t>
      </w:r>
      <w:r w:rsidRPr="00970B85">
        <w:rPr>
          <w:sz w:val="20"/>
          <w:szCs w:val="20"/>
          <w:lang w:val="en-GB"/>
        </w:rPr>
        <w:t>access to voice (telephone) services was used by less than 300 thousand Czech households, i.e. the same number as in</w:t>
      </w:r>
      <w:r>
        <w:rPr>
          <w:sz w:val="20"/>
          <w:szCs w:val="20"/>
          <w:lang w:val="en-GB"/>
        </w:rPr>
        <w:t> </w:t>
      </w:r>
      <w:r w:rsidRPr="00970B85">
        <w:rPr>
          <w:sz w:val="20"/>
          <w:szCs w:val="20"/>
          <w:lang w:val="en-GB"/>
        </w:rPr>
        <w:t>2010.</w:t>
      </w:r>
    </w:p>
    <w:p w:rsidR="00874476" w:rsidRPr="00970B85" w:rsidRDefault="00874476" w:rsidP="00874476">
      <w:pPr>
        <w:pStyle w:val="Zkladntext"/>
        <w:spacing w:before="0" w:after="80" w:line="264" w:lineRule="auto"/>
        <w:rPr>
          <w:lang w:val="en-GB"/>
        </w:rPr>
      </w:pPr>
      <w:r w:rsidRPr="00970B85">
        <w:rPr>
          <w:noProof/>
        </w:rPr>
        <w:lastRenderedPageBreak/>
        <w:drawing>
          <wp:inline distT="0" distB="0" distL="0" distR="0" wp14:anchorId="18B8606F" wp14:editId="74583426">
            <wp:extent cx="3024000" cy="2880000"/>
            <wp:effectExtent l="0" t="0" r="5080" b="0"/>
            <wp:docPr id="20" name="Graf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70B85">
        <w:rPr>
          <w:lang w:val="en-GB"/>
        </w:rPr>
        <w:t xml:space="preserve"> </w:t>
      </w:r>
      <w:r w:rsidRPr="00970B85">
        <w:rPr>
          <w:noProof/>
        </w:rPr>
        <w:drawing>
          <wp:inline distT="0" distB="0" distL="0" distR="0" wp14:anchorId="76D58DFD" wp14:editId="79B50A3C">
            <wp:extent cx="3024000" cy="2880000"/>
            <wp:effectExtent l="0" t="0" r="508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4476" w:rsidRPr="00F220AD" w:rsidRDefault="00874476" w:rsidP="00874476">
      <w:pPr>
        <w:pStyle w:val="Zkladntext"/>
        <w:numPr>
          <w:ilvl w:val="0"/>
          <w:numId w:val="15"/>
        </w:numPr>
        <w:spacing w:before="0" w:after="80" w:line="264" w:lineRule="auto"/>
        <w:ind w:left="284" w:hanging="284"/>
        <w:rPr>
          <w:sz w:val="20"/>
          <w:lang w:val="en-GB"/>
        </w:rPr>
      </w:pPr>
      <w:r w:rsidRPr="00F220AD">
        <w:rPr>
          <w:sz w:val="20"/>
          <w:lang w:val="en-GB"/>
        </w:rPr>
        <w:t>The growing preponderance of mobile-cellular subscriptions over fixed-telephone subscriptions has been one of the most prominent trends in ICTs since the beginning of the century, with mobile networks establishing themselves as the consumer norm in today’s communications markets. Whereas in 2001, a</w:t>
      </w:r>
      <w:r>
        <w:rPr>
          <w:sz w:val="20"/>
          <w:lang w:val="en-GB"/>
        </w:rPr>
        <w:t> </w:t>
      </w:r>
      <w:r w:rsidRPr="00F220AD">
        <w:rPr>
          <w:sz w:val="20"/>
          <w:lang w:val="en-GB"/>
        </w:rPr>
        <w:t>fixed telephone was represented in 75% of Czech households, at the end of 2016 the share was solely 14%. The decrease in usage of fixed telephone lines reflects the increase in mobile telephone ownership. Since 2004 the number of active SIM cards has exceeded the number of inhabitants of the Czech Republic.</w:t>
      </w:r>
    </w:p>
    <w:p w:rsidR="00874476" w:rsidRDefault="00874476" w:rsidP="00874476">
      <w:pPr>
        <w:pStyle w:val="Zkladntext"/>
        <w:spacing w:before="0" w:after="80" w:line="264" w:lineRule="auto"/>
        <w:rPr>
          <w:sz w:val="20"/>
          <w:szCs w:val="20"/>
          <w:lang w:val="en-GB"/>
        </w:rPr>
      </w:pPr>
      <w:r>
        <w:rPr>
          <w:noProof/>
        </w:rPr>
        <w:drawing>
          <wp:inline distT="0" distB="0" distL="0" distR="0" wp14:anchorId="31568C38" wp14:editId="604E13E3">
            <wp:extent cx="5972810" cy="3240000"/>
            <wp:effectExtent l="0" t="0" r="0" b="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4476" w:rsidRDefault="00874476" w:rsidP="00874476">
      <w:pPr>
        <w:pStyle w:val="Zkladntext"/>
        <w:numPr>
          <w:ilvl w:val="0"/>
          <w:numId w:val="15"/>
        </w:numPr>
        <w:tabs>
          <w:tab w:val="clear" w:pos="360"/>
          <w:tab w:val="num" w:pos="0"/>
        </w:tabs>
        <w:spacing w:before="0" w:after="80" w:line="264" w:lineRule="auto"/>
        <w:ind w:left="284" w:hanging="284"/>
        <w:rPr>
          <w:sz w:val="20"/>
          <w:szCs w:val="20"/>
          <w:lang w:val="en-GB"/>
        </w:rPr>
      </w:pPr>
      <w:r w:rsidRPr="00970B85">
        <w:rPr>
          <w:sz w:val="20"/>
          <w:szCs w:val="20"/>
          <w:lang w:val="en-GB"/>
        </w:rPr>
        <w:t>Th</w:t>
      </w:r>
      <w:r>
        <w:rPr>
          <w:sz w:val="20"/>
          <w:szCs w:val="20"/>
          <w:lang w:val="en-GB"/>
        </w:rPr>
        <w:t>is</w:t>
      </w:r>
      <w:r w:rsidRPr="00970B85">
        <w:rPr>
          <w:sz w:val="20"/>
          <w:szCs w:val="20"/>
          <w:lang w:val="en-GB"/>
        </w:rPr>
        <w:t xml:space="preserve"> rapid increase in mobile telephone usage in the Czech Republic – for more details see the following chapter – did not deviate from the general trend experienced by telecommunication services in developed economies. However, the significant decrease in the number of fixed lines represents a specific issue in</w:t>
      </w:r>
      <w:r>
        <w:rPr>
          <w:sz w:val="20"/>
          <w:szCs w:val="20"/>
          <w:lang w:val="en-GB"/>
        </w:rPr>
        <w:t> </w:t>
      </w:r>
      <w:r w:rsidRPr="00970B85">
        <w:rPr>
          <w:sz w:val="20"/>
          <w:szCs w:val="20"/>
          <w:lang w:val="en-GB"/>
        </w:rPr>
        <w:t xml:space="preserve">the international comparison. In </w:t>
      </w:r>
      <w:r w:rsidRPr="00970B85">
        <w:rPr>
          <w:b/>
          <w:sz w:val="20"/>
          <w:szCs w:val="20"/>
          <w:lang w:val="en-GB"/>
        </w:rPr>
        <w:t>EU comparison</w:t>
      </w:r>
      <w:r w:rsidRPr="00970B85">
        <w:rPr>
          <w:sz w:val="20"/>
          <w:szCs w:val="20"/>
          <w:lang w:val="en-GB"/>
        </w:rPr>
        <w:t xml:space="preserve">, the Czech Republic belongs to countries with the lowest number of subscribers to voice services within the fixed telephone network per </w:t>
      </w:r>
      <w:r w:rsidRPr="00970B85">
        <w:rPr>
          <w:b/>
          <w:sz w:val="20"/>
          <w:szCs w:val="20"/>
          <w:lang w:val="en-GB"/>
        </w:rPr>
        <w:t>100 inhabitants</w:t>
      </w:r>
      <w:r w:rsidRPr="00970B85">
        <w:rPr>
          <w:sz w:val="20"/>
          <w:szCs w:val="20"/>
          <w:lang w:val="en-GB"/>
        </w:rPr>
        <w:t xml:space="preserve">. </w:t>
      </w:r>
    </w:p>
    <w:p w:rsidR="00874476" w:rsidRPr="00970B85" w:rsidRDefault="00874476" w:rsidP="00874476">
      <w:pPr>
        <w:pStyle w:val="Zkladntext"/>
        <w:numPr>
          <w:ilvl w:val="0"/>
          <w:numId w:val="15"/>
        </w:numPr>
        <w:tabs>
          <w:tab w:val="clear" w:pos="360"/>
          <w:tab w:val="num" w:pos="0"/>
        </w:tabs>
        <w:spacing w:before="0" w:after="80" w:line="264" w:lineRule="auto"/>
        <w:ind w:left="284" w:hanging="284"/>
        <w:rPr>
          <w:sz w:val="20"/>
          <w:szCs w:val="20"/>
          <w:lang w:val="en-GB"/>
        </w:rPr>
      </w:pPr>
      <w:r w:rsidRPr="00970B85">
        <w:rPr>
          <w:sz w:val="20"/>
          <w:szCs w:val="20"/>
          <w:lang w:val="en-GB"/>
        </w:rPr>
        <w:t>In</w:t>
      </w:r>
      <w:r>
        <w:rPr>
          <w:sz w:val="20"/>
          <w:szCs w:val="20"/>
          <w:lang w:val="en-GB"/>
        </w:rPr>
        <w:t> </w:t>
      </w:r>
      <w:r w:rsidRPr="00970B85">
        <w:rPr>
          <w:sz w:val="20"/>
          <w:szCs w:val="20"/>
          <w:lang w:val="en-GB"/>
        </w:rPr>
        <w:t xml:space="preserve">2016, </w:t>
      </w:r>
      <w:r>
        <w:rPr>
          <w:sz w:val="20"/>
          <w:szCs w:val="20"/>
          <w:lang w:val="en-GB"/>
        </w:rPr>
        <w:t xml:space="preserve">there were in the Czech Republic </w:t>
      </w:r>
      <w:r w:rsidRPr="00970B85">
        <w:rPr>
          <w:sz w:val="20"/>
          <w:szCs w:val="20"/>
          <w:lang w:val="en-GB"/>
        </w:rPr>
        <w:t xml:space="preserve">only 16 subscribers </w:t>
      </w:r>
      <w:r>
        <w:rPr>
          <w:sz w:val="20"/>
          <w:szCs w:val="20"/>
          <w:lang w:val="en-GB"/>
        </w:rPr>
        <w:t xml:space="preserve">of </w:t>
      </w:r>
      <w:r w:rsidRPr="00B7189A">
        <w:rPr>
          <w:b/>
          <w:sz w:val="20"/>
          <w:szCs w:val="20"/>
          <w:lang w:val="en-GB"/>
        </w:rPr>
        <w:t>voice services per 100 inhabitants</w:t>
      </w:r>
      <w:r w:rsidRPr="00970B85">
        <w:rPr>
          <w:sz w:val="20"/>
          <w:szCs w:val="20"/>
          <w:lang w:val="en-GB"/>
        </w:rPr>
        <w:t xml:space="preserve"> </w:t>
      </w:r>
      <w:r>
        <w:rPr>
          <w:sz w:val="20"/>
          <w:szCs w:val="20"/>
          <w:lang w:val="en-GB"/>
        </w:rPr>
        <w:t xml:space="preserve">via </w:t>
      </w:r>
      <w:r w:rsidRPr="00970B85">
        <w:rPr>
          <w:sz w:val="20"/>
          <w:szCs w:val="20"/>
          <w:lang w:val="en-GB"/>
        </w:rPr>
        <w:t>the fixed telephone network</w:t>
      </w:r>
      <w:r>
        <w:rPr>
          <w:sz w:val="20"/>
          <w:szCs w:val="20"/>
          <w:lang w:val="en-GB"/>
        </w:rPr>
        <w:t xml:space="preserve"> using </w:t>
      </w:r>
      <w:r w:rsidRPr="00970B85">
        <w:rPr>
          <w:sz w:val="20"/>
          <w:szCs w:val="20"/>
          <w:lang w:val="en-GB"/>
        </w:rPr>
        <w:t xml:space="preserve">PSTN </w:t>
      </w:r>
      <w:r>
        <w:rPr>
          <w:sz w:val="20"/>
          <w:szCs w:val="20"/>
          <w:lang w:val="en-GB"/>
        </w:rPr>
        <w:t xml:space="preserve">lines </w:t>
      </w:r>
      <w:r w:rsidRPr="00970B85">
        <w:rPr>
          <w:sz w:val="20"/>
          <w:szCs w:val="20"/>
          <w:lang w:val="en-GB"/>
        </w:rPr>
        <w:t>or VoIP technologies. Lower values were recorded solely in</w:t>
      </w:r>
      <w:r>
        <w:rPr>
          <w:sz w:val="20"/>
          <w:szCs w:val="20"/>
          <w:lang w:val="en-GB"/>
        </w:rPr>
        <w:t> </w:t>
      </w:r>
      <w:r w:rsidRPr="00970B85">
        <w:rPr>
          <w:sz w:val="20"/>
          <w:szCs w:val="20"/>
          <w:lang w:val="en-GB"/>
        </w:rPr>
        <w:t xml:space="preserve">Slovakia or Finland. However, we must add that by the end of the 90s, already before the commencement of mobile GSM networks, the countries of </w:t>
      </w:r>
      <w:r>
        <w:rPr>
          <w:sz w:val="20"/>
          <w:szCs w:val="20"/>
          <w:lang w:val="en-GB"/>
        </w:rPr>
        <w:t xml:space="preserve">the </w:t>
      </w:r>
      <w:r w:rsidRPr="00970B85">
        <w:rPr>
          <w:sz w:val="20"/>
          <w:szCs w:val="20"/>
          <w:lang w:val="en-GB"/>
        </w:rPr>
        <w:t>so called Eastern Bloc lagged behind the countries of Western Europe with respect to equipment with fixed telephone lines.</w:t>
      </w:r>
    </w:p>
    <w:p w:rsidR="00874476" w:rsidRPr="00BB78A6" w:rsidRDefault="00874476" w:rsidP="00983696">
      <w:pPr>
        <w:pStyle w:val="Nadpis3"/>
        <w:spacing w:before="0"/>
      </w:pPr>
      <w:bookmarkStart w:id="9" w:name="_Toc533697482"/>
      <w:bookmarkStart w:id="10" w:name="_Toc534711981"/>
      <w:r w:rsidRPr="00BB78A6">
        <w:lastRenderedPageBreak/>
        <w:t>Mobile telephone network penetration – Voice and M2M subscriptions</w:t>
      </w:r>
      <w:r w:rsidRPr="00BB54DF">
        <w:rPr>
          <w:vertAlign w:val="superscript"/>
        </w:rPr>
        <w:footnoteReference w:id="6"/>
      </w:r>
      <w:bookmarkEnd w:id="9"/>
      <w:bookmarkEnd w:id="10"/>
      <w:r w:rsidR="009812B5" w:rsidRPr="00BB78A6">
        <w:tab/>
      </w:r>
    </w:p>
    <w:p w:rsidR="00874476" w:rsidRPr="00970B85" w:rsidRDefault="00874476" w:rsidP="00874476">
      <w:pPr>
        <w:pStyle w:val="Zkladntext"/>
        <w:spacing w:before="0" w:after="80" w:line="264" w:lineRule="auto"/>
        <w:rPr>
          <w:i/>
          <w:sz w:val="20"/>
          <w:lang w:val="en-GB"/>
        </w:rPr>
      </w:pPr>
      <w:r w:rsidRPr="00970B85">
        <w:rPr>
          <w:i/>
          <w:sz w:val="20"/>
          <w:lang w:val="en-GB"/>
        </w:rPr>
        <w:t xml:space="preserve">A mobile telephone is a technology recording the highest increase in the number of subscribers in recent years. </w:t>
      </w:r>
      <w:r>
        <w:rPr>
          <w:i/>
          <w:sz w:val="20"/>
          <w:lang w:val="en-GB"/>
        </w:rPr>
        <w:t>According to</w:t>
      </w:r>
      <w:r w:rsidRPr="00970B85">
        <w:rPr>
          <w:i/>
          <w:sz w:val="20"/>
          <w:lang w:val="en-GB"/>
        </w:rPr>
        <w:t xml:space="preserve"> the International Telecommunication Union</w:t>
      </w:r>
      <w:r>
        <w:rPr>
          <w:i/>
          <w:sz w:val="20"/>
          <w:lang w:val="en-GB"/>
        </w:rPr>
        <w:t>’s</w:t>
      </w:r>
      <w:r w:rsidRPr="00970B85">
        <w:rPr>
          <w:i/>
          <w:sz w:val="20"/>
          <w:lang w:val="en-GB"/>
        </w:rPr>
        <w:t xml:space="preserve"> estimates, </w:t>
      </w:r>
      <w:r>
        <w:rPr>
          <w:i/>
          <w:sz w:val="20"/>
          <w:lang w:val="en-GB"/>
        </w:rPr>
        <w:t>at</w:t>
      </w:r>
      <w:r w:rsidRPr="00970B85">
        <w:rPr>
          <w:i/>
          <w:sz w:val="20"/>
          <w:lang w:val="en-GB"/>
        </w:rPr>
        <w:t xml:space="preserve"> the end of 2016, 35 years after the first mobile network started being operated in Sweden and Norway, the number of mobile telephones used world-wide </w:t>
      </w:r>
      <w:r>
        <w:rPr>
          <w:i/>
          <w:sz w:val="20"/>
          <w:lang w:val="en-GB"/>
        </w:rPr>
        <w:t>–</w:t>
      </w:r>
      <w:r w:rsidRPr="00970B85">
        <w:rPr>
          <w:i/>
          <w:sz w:val="20"/>
          <w:lang w:val="en-GB"/>
        </w:rPr>
        <w:t xml:space="preserve"> the number of active SIM cards </w:t>
      </w:r>
      <w:r>
        <w:rPr>
          <w:i/>
          <w:sz w:val="20"/>
          <w:lang w:val="en-GB"/>
        </w:rPr>
        <w:t>–</w:t>
      </w:r>
      <w:r w:rsidRPr="00970B85">
        <w:rPr>
          <w:i/>
          <w:sz w:val="20"/>
          <w:lang w:val="en-GB"/>
        </w:rPr>
        <w:t xml:space="preserve"> exceeded the number of inhabitants of our planet. Since 2005, their number has increased nearly 3.5 times, i.e. from 2.2 to 7.5 billion in 2016. Whereas in developed countries the mobile telephone market is nearly saturated for several years now, in developing countries we have been still recording </w:t>
      </w:r>
      <w:r>
        <w:rPr>
          <w:i/>
          <w:sz w:val="20"/>
          <w:lang w:val="en-GB"/>
        </w:rPr>
        <w:t xml:space="preserve">a </w:t>
      </w:r>
      <w:r w:rsidRPr="00970B85">
        <w:rPr>
          <w:i/>
          <w:sz w:val="20"/>
          <w:lang w:val="en-GB"/>
        </w:rPr>
        <w:t xml:space="preserve">significant increase in the number of users of this technology. </w:t>
      </w:r>
    </w:p>
    <w:p w:rsidR="00874476"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The appearance of mobile telephones in the Czech Republic was first recorded in 1991 when </w:t>
      </w:r>
      <w:r w:rsidRPr="00327120">
        <w:rPr>
          <w:i/>
          <w:sz w:val="20"/>
          <w:szCs w:val="20"/>
          <w:lang w:val="en-GB"/>
        </w:rPr>
        <w:t xml:space="preserve">Eurotel </w:t>
      </w:r>
      <w:r w:rsidRPr="00970B85">
        <w:rPr>
          <w:sz w:val="20"/>
          <w:szCs w:val="20"/>
          <w:lang w:val="en-GB"/>
        </w:rPr>
        <w:t>launched the first commercial NMT network. At th</w:t>
      </w:r>
      <w:r>
        <w:rPr>
          <w:sz w:val="20"/>
          <w:szCs w:val="20"/>
          <w:lang w:val="en-GB"/>
        </w:rPr>
        <w:t>e</w:t>
      </w:r>
      <w:r w:rsidRPr="00970B85">
        <w:rPr>
          <w:sz w:val="20"/>
          <w:szCs w:val="20"/>
          <w:lang w:val="en-GB"/>
        </w:rPr>
        <w:t xml:space="preserve"> time, it was a rela</w:t>
      </w:r>
      <w:r>
        <w:rPr>
          <w:sz w:val="20"/>
          <w:szCs w:val="20"/>
          <w:lang w:val="en-GB"/>
        </w:rPr>
        <w:t>tively expensive solution with</w:t>
      </w:r>
      <w:r w:rsidRPr="00970B85">
        <w:rPr>
          <w:sz w:val="20"/>
          <w:szCs w:val="20"/>
          <w:lang w:val="en-GB"/>
        </w:rPr>
        <w:t xml:space="preserve"> limited coverage. Its services were thus used by quite a low number of customers in the first few years. A real revolution took place five years later</w:t>
      </w:r>
      <w:r>
        <w:rPr>
          <w:sz w:val="20"/>
          <w:szCs w:val="20"/>
          <w:lang w:val="en-GB"/>
        </w:rPr>
        <w:t>,</w:t>
      </w:r>
      <w:r w:rsidRPr="00970B85">
        <w:rPr>
          <w:sz w:val="20"/>
          <w:szCs w:val="20"/>
          <w:lang w:val="en-GB"/>
        </w:rPr>
        <w:t xml:space="preserve"> when the first Global System for Mobile Communications</w:t>
      </w:r>
      <w:r>
        <w:rPr>
          <w:sz w:val="20"/>
          <w:szCs w:val="20"/>
          <w:lang w:val="en-GB"/>
        </w:rPr>
        <w:t xml:space="preserve"> (GSM) </w:t>
      </w:r>
      <w:r w:rsidRPr="00970B85">
        <w:rPr>
          <w:sz w:val="20"/>
          <w:szCs w:val="20"/>
          <w:lang w:val="en-GB"/>
        </w:rPr>
        <w:t>was launched in the Czech Republic. The later launch of the 3rd mobile operator in the year 2000 led to a</w:t>
      </w:r>
      <w:r>
        <w:rPr>
          <w:sz w:val="20"/>
          <w:szCs w:val="20"/>
          <w:lang w:val="en-GB"/>
        </w:rPr>
        <w:t> </w:t>
      </w:r>
      <w:r w:rsidRPr="00970B85">
        <w:rPr>
          <w:sz w:val="20"/>
          <w:szCs w:val="20"/>
          <w:lang w:val="en-GB"/>
        </w:rPr>
        <w:t xml:space="preserve">decrease in prices and nothing obstructed </w:t>
      </w:r>
      <w:r>
        <w:rPr>
          <w:sz w:val="20"/>
          <w:szCs w:val="20"/>
          <w:lang w:val="en-GB"/>
        </w:rPr>
        <w:t xml:space="preserve">the </w:t>
      </w:r>
      <w:r w:rsidRPr="00970B85">
        <w:rPr>
          <w:sz w:val="20"/>
          <w:szCs w:val="20"/>
          <w:lang w:val="en-GB"/>
        </w:rPr>
        <w:t xml:space="preserve">fast spread of mobile telephones in the Czech Republic. </w:t>
      </w:r>
    </w:p>
    <w:p w:rsidR="00874476" w:rsidRPr="00970B85" w:rsidRDefault="00874476" w:rsidP="00874476">
      <w:pPr>
        <w:pStyle w:val="Zkladntext"/>
        <w:numPr>
          <w:ilvl w:val="0"/>
          <w:numId w:val="15"/>
        </w:numPr>
        <w:spacing w:before="0" w:after="80" w:line="264" w:lineRule="auto"/>
        <w:ind w:left="284" w:hanging="284"/>
        <w:rPr>
          <w:sz w:val="20"/>
          <w:szCs w:val="20"/>
          <w:lang w:val="en-GB"/>
        </w:rPr>
      </w:pPr>
      <w:r w:rsidRPr="00970B85">
        <w:rPr>
          <w:sz w:val="20"/>
          <w:szCs w:val="20"/>
          <w:lang w:val="en-GB"/>
        </w:rPr>
        <w:t xml:space="preserve">The aforementioned information became evident even in statistical reports. For instance, in 1996 the Czech Republic recorded a year-on-year increase in the </w:t>
      </w:r>
      <w:r w:rsidRPr="00970B85">
        <w:rPr>
          <w:b/>
          <w:sz w:val="20"/>
          <w:szCs w:val="20"/>
          <w:lang w:val="en-GB"/>
        </w:rPr>
        <w:t>number of active SIM cards</w:t>
      </w:r>
      <w:r w:rsidRPr="00970B85">
        <w:rPr>
          <w:rStyle w:val="Znakapoznpodarou"/>
          <w:b/>
          <w:sz w:val="20"/>
          <w:szCs w:val="20"/>
          <w:lang w:val="en-GB"/>
        </w:rPr>
        <w:footnoteReference w:id="7"/>
      </w:r>
      <w:r w:rsidRPr="00970B85">
        <w:rPr>
          <w:sz w:val="20"/>
          <w:szCs w:val="20"/>
          <w:lang w:val="en-GB"/>
        </w:rPr>
        <w:t xml:space="preserve"> from 50 thousand to 200 thousand</w:t>
      </w:r>
      <w:r>
        <w:rPr>
          <w:sz w:val="20"/>
          <w:szCs w:val="20"/>
          <w:lang w:val="en-GB"/>
        </w:rPr>
        <w:t>,</w:t>
      </w:r>
      <w:r w:rsidRPr="00970B85">
        <w:rPr>
          <w:sz w:val="20"/>
          <w:szCs w:val="20"/>
          <w:lang w:val="en-GB"/>
        </w:rPr>
        <w:t xml:space="preserve"> and between 1999 and 2000 the number even increased from two million to more than four million. </w:t>
      </w:r>
      <w:r>
        <w:rPr>
          <w:sz w:val="20"/>
          <w:szCs w:val="20"/>
          <w:lang w:val="en-GB"/>
        </w:rPr>
        <w:t xml:space="preserve">In addition, </w:t>
      </w:r>
      <w:r w:rsidRPr="00D066FD">
        <w:rPr>
          <w:sz w:val="20"/>
          <w:szCs w:val="20"/>
          <w:lang w:val="en-GB"/>
        </w:rPr>
        <w:t>compared to a third in the year 2000, already in 2007 a mobile telephone was owned by 92% of Czech households.</w:t>
      </w:r>
      <w:r>
        <w:rPr>
          <w:sz w:val="20"/>
          <w:szCs w:val="20"/>
          <w:lang w:val="en-GB"/>
        </w:rPr>
        <w:t xml:space="preserve"> </w:t>
      </w:r>
    </w:p>
    <w:p w:rsidR="00874476" w:rsidRPr="00970B85" w:rsidRDefault="00874476" w:rsidP="00874476">
      <w:pPr>
        <w:pStyle w:val="Zkladntext"/>
        <w:spacing w:before="0" w:after="100" w:line="264" w:lineRule="auto"/>
        <w:rPr>
          <w:lang w:val="en-GB"/>
        </w:rPr>
      </w:pPr>
      <w:r w:rsidRPr="00970B85">
        <w:rPr>
          <w:noProof/>
        </w:rPr>
        <w:drawing>
          <wp:inline distT="0" distB="0" distL="0" distR="0" wp14:anchorId="2E5DD99C" wp14:editId="61720FF5">
            <wp:extent cx="3024000" cy="2880000"/>
            <wp:effectExtent l="0" t="0" r="508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70B85">
        <w:rPr>
          <w:noProof/>
        </w:rPr>
        <w:drawing>
          <wp:inline distT="0" distB="0" distL="0" distR="0" wp14:anchorId="6FDB257C" wp14:editId="4539ED13">
            <wp:extent cx="3024000" cy="2880000"/>
            <wp:effectExtent l="0" t="0" r="508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4476" w:rsidRPr="00970B85" w:rsidRDefault="00874476" w:rsidP="00874476">
      <w:pPr>
        <w:pStyle w:val="Zkladntext"/>
        <w:numPr>
          <w:ilvl w:val="0"/>
          <w:numId w:val="15"/>
        </w:numPr>
        <w:tabs>
          <w:tab w:val="clear" w:pos="360"/>
        </w:tabs>
        <w:spacing w:before="0" w:after="80" w:line="264" w:lineRule="auto"/>
        <w:ind w:left="284" w:hanging="284"/>
        <w:rPr>
          <w:sz w:val="18"/>
          <w:szCs w:val="18"/>
          <w:lang w:val="en-GB"/>
        </w:rPr>
      </w:pPr>
      <w:r w:rsidRPr="00970B85">
        <w:rPr>
          <w:sz w:val="20"/>
          <w:szCs w:val="20"/>
          <w:lang w:val="en-GB"/>
        </w:rPr>
        <w:t>When mobile networks were at their beginnings</w:t>
      </w:r>
      <w:r>
        <w:rPr>
          <w:sz w:val="20"/>
          <w:szCs w:val="20"/>
          <w:lang w:val="en-GB"/>
        </w:rPr>
        <w:t>,</w:t>
      </w:r>
      <w:r w:rsidRPr="00970B85">
        <w:rPr>
          <w:sz w:val="20"/>
          <w:szCs w:val="20"/>
          <w:lang w:val="en-GB"/>
        </w:rPr>
        <w:t xml:space="preserve"> and when active SIM cards appeared practically solely in</w:t>
      </w:r>
      <w:r>
        <w:rPr>
          <w:sz w:val="20"/>
          <w:szCs w:val="20"/>
          <w:lang w:val="en-GB"/>
        </w:rPr>
        <w:t> </w:t>
      </w:r>
      <w:r w:rsidRPr="00970B85">
        <w:rPr>
          <w:sz w:val="20"/>
          <w:szCs w:val="20"/>
          <w:lang w:val="en-GB"/>
        </w:rPr>
        <w:t>mobile telephones</w:t>
      </w:r>
      <w:r>
        <w:rPr>
          <w:sz w:val="20"/>
          <w:szCs w:val="20"/>
          <w:lang w:val="en-GB"/>
        </w:rPr>
        <w:t>,</w:t>
      </w:r>
      <w:r w:rsidRPr="00970B85">
        <w:rPr>
          <w:sz w:val="20"/>
          <w:szCs w:val="20"/>
          <w:lang w:val="en-GB"/>
        </w:rPr>
        <w:t xml:space="preserve"> and only a minimum people had several mobile telephones, the number of active SIM cards truly corresponded to the number of customers or mobile telephone users. Nevertheless, this assumption no longer applies. Despite the fact that at the end of 2016 the number of active SIM cards reached 135 pieces per 100 inhabitants, mobile telephones were used by 98% of inhabitants of</w:t>
      </w:r>
      <w:r>
        <w:rPr>
          <w:sz w:val="20"/>
          <w:szCs w:val="20"/>
          <w:lang w:val="en-GB"/>
        </w:rPr>
        <w:t> </w:t>
      </w:r>
      <w:r w:rsidRPr="00970B85">
        <w:rPr>
          <w:sz w:val="20"/>
          <w:szCs w:val="20"/>
          <w:lang w:val="en-GB"/>
        </w:rPr>
        <w:t>the</w:t>
      </w:r>
      <w:r>
        <w:rPr>
          <w:sz w:val="20"/>
          <w:szCs w:val="20"/>
          <w:lang w:val="en-GB"/>
        </w:rPr>
        <w:t> </w:t>
      </w:r>
      <w:r w:rsidRPr="00970B85">
        <w:rPr>
          <w:sz w:val="20"/>
          <w:szCs w:val="20"/>
          <w:lang w:val="en-GB"/>
        </w:rPr>
        <w:t>Czech Republic over the age of 16.</w:t>
      </w:r>
    </w:p>
    <w:p w:rsidR="00874476"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The primary phase of mobile telephone</w:t>
      </w:r>
      <w:r>
        <w:rPr>
          <w:sz w:val="20"/>
          <w:szCs w:val="20"/>
          <w:lang w:val="en-GB"/>
        </w:rPr>
        <w:t>s</w:t>
      </w:r>
      <w:r w:rsidRPr="00970B85">
        <w:rPr>
          <w:sz w:val="20"/>
          <w:szCs w:val="20"/>
          <w:lang w:val="en-GB"/>
        </w:rPr>
        <w:t xml:space="preserve"> spreading within GSM networks in the Czech Republic was connected mainly with </w:t>
      </w:r>
      <w:r w:rsidRPr="00970B85">
        <w:rPr>
          <w:b/>
          <w:sz w:val="20"/>
          <w:szCs w:val="20"/>
          <w:lang w:val="en-GB"/>
        </w:rPr>
        <w:t>pre-paid</w:t>
      </w:r>
      <w:r w:rsidRPr="00970B85">
        <w:rPr>
          <w:sz w:val="20"/>
          <w:szCs w:val="20"/>
          <w:lang w:val="en-GB"/>
        </w:rPr>
        <w:t xml:space="preserve"> SIM cards. These cards are topped up with </w:t>
      </w:r>
      <w:r w:rsidRPr="00970B85">
        <w:rPr>
          <w:i/>
          <w:sz w:val="20"/>
          <w:szCs w:val="20"/>
          <w:lang w:val="en-GB"/>
        </w:rPr>
        <w:t>credit</w:t>
      </w:r>
      <w:r w:rsidRPr="00970B85">
        <w:rPr>
          <w:sz w:val="20"/>
          <w:szCs w:val="20"/>
          <w:lang w:val="en-GB"/>
        </w:rPr>
        <w:t xml:space="preserve"> that the customer uses up in compliance with the operator’s tariff of offered services. The alternative </w:t>
      </w:r>
      <w:r>
        <w:rPr>
          <w:sz w:val="20"/>
          <w:szCs w:val="20"/>
          <w:lang w:val="en-GB"/>
        </w:rPr>
        <w:t>is</w:t>
      </w:r>
      <w:r w:rsidRPr="00970B85">
        <w:rPr>
          <w:sz w:val="20"/>
          <w:szCs w:val="20"/>
          <w:lang w:val="en-GB"/>
        </w:rPr>
        <w:t xml:space="preserve"> </w:t>
      </w:r>
      <w:r w:rsidRPr="00970B85">
        <w:rPr>
          <w:b/>
          <w:sz w:val="20"/>
          <w:szCs w:val="20"/>
          <w:lang w:val="en-GB"/>
        </w:rPr>
        <w:t xml:space="preserve">post-paid </w:t>
      </w:r>
      <w:r w:rsidRPr="00970B85">
        <w:rPr>
          <w:sz w:val="20"/>
          <w:szCs w:val="20"/>
          <w:lang w:val="en-GB"/>
        </w:rPr>
        <w:t xml:space="preserve">cards, acquired </w:t>
      </w:r>
      <w:r w:rsidRPr="00970B85">
        <w:rPr>
          <w:sz w:val="20"/>
          <w:szCs w:val="20"/>
          <w:lang w:val="en-GB"/>
        </w:rPr>
        <w:lastRenderedPageBreak/>
        <w:t>by customers by concluding a contract with the operator where the services are paid for at the end of</w:t>
      </w:r>
      <w:r>
        <w:rPr>
          <w:sz w:val="20"/>
          <w:szCs w:val="20"/>
          <w:lang w:val="en-GB"/>
        </w:rPr>
        <w:t> </w:t>
      </w:r>
      <w:r w:rsidRPr="00970B85">
        <w:rPr>
          <w:sz w:val="20"/>
          <w:szCs w:val="20"/>
          <w:lang w:val="en-GB"/>
        </w:rPr>
        <w:t>an</w:t>
      </w:r>
      <w:r>
        <w:rPr>
          <w:sz w:val="20"/>
          <w:szCs w:val="20"/>
          <w:lang w:val="en-GB"/>
        </w:rPr>
        <w:t> </w:t>
      </w:r>
      <w:r w:rsidRPr="00970B85">
        <w:rPr>
          <w:sz w:val="20"/>
          <w:szCs w:val="20"/>
          <w:lang w:val="en-GB"/>
        </w:rPr>
        <w:t xml:space="preserve">agreed period (typically a month). As late as in 2002, the number of active pre-paid cards was nearly twice as high as </w:t>
      </w:r>
      <w:r>
        <w:rPr>
          <w:sz w:val="20"/>
          <w:szCs w:val="20"/>
          <w:lang w:val="en-GB"/>
        </w:rPr>
        <w:t xml:space="preserve">that </w:t>
      </w:r>
      <w:r w:rsidRPr="00970B85">
        <w:rPr>
          <w:sz w:val="20"/>
          <w:szCs w:val="20"/>
          <w:lang w:val="en-GB"/>
        </w:rPr>
        <w:t xml:space="preserve">of the tariff ones. Nevertheless, since 2008 they have been </w:t>
      </w:r>
      <w:r>
        <w:rPr>
          <w:sz w:val="20"/>
          <w:szCs w:val="20"/>
          <w:lang w:val="en-GB"/>
        </w:rPr>
        <w:t>decreasing</w:t>
      </w:r>
      <w:r w:rsidRPr="00970B85">
        <w:rPr>
          <w:sz w:val="20"/>
          <w:szCs w:val="20"/>
          <w:lang w:val="en-GB"/>
        </w:rPr>
        <w:t>. As opposed to that, the number of mobile telephone users using post-paid tariffs</w:t>
      </w:r>
      <w:r>
        <w:rPr>
          <w:sz w:val="20"/>
          <w:szCs w:val="20"/>
          <w:lang w:val="en-GB"/>
        </w:rPr>
        <w:t>,</w:t>
      </w:r>
      <w:r w:rsidRPr="00970B85">
        <w:rPr>
          <w:sz w:val="20"/>
          <w:szCs w:val="20"/>
          <w:lang w:val="en-GB"/>
        </w:rPr>
        <w:t xml:space="preserve"> and </w:t>
      </w:r>
      <w:r>
        <w:rPr>
          <w:sz w:val="20"/>
          <w:szCs w:val="20"/>
          <w:lang w:val="en-GB"/>
        </w:rPr>
        <w:t xml:space="preserve">the </w:t>
      </w:r>
      <w:r w:rsidRPr="00970B85">
        <w:rPr>
          <w:sz w:val="20"/>
          <w:szCs w:val="20"/>
          <w:lang w:val="en-GB"/>
        </w:rPr>
        <w:t xml:space="preserve">spreading of so called unlimited (flat) tariffs has been increasing. </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For the first time, in 2009 more than a half (54%) of all active SIM cards operated based on a monthly tariff. More and more customers now prefer concluding contracts</w:t>
      </w:r>
      <w:r>
        <w:rPr>
          <w:sz w:val="20"/>
          <w:szCs w:val="20"/>
          <w:lang w:val="en-GB"/>
        </w:rPr>
        <w:t>,</w:t>
      </w:r>
      <w:r w:rsidRPr="00970B85">
        <w:rPr>
          <w:sz w:val="20"/>
          <w:szCs w:val="20"/>
          <w:lang w:val="en-GB"/>
        </w:rPr>
        <w:t xml:space="preserve"> and these currently clearly prevail over pre-paid cards – at the end of 2016 their number increased to </w:t>
      </w:r>
      <w:r>
        <w:rPr>
          <w:sz w:val="20"/>
          <w:szCs w:val="20"/>
          <w:lang w:val="en-GB"/>
        </w:rPr>
        <w:t xml:space="preserve">precisely </w:t>
      </w:r>
      <w:r w:rsidRPr="00970B85">
        <w:rPr>
          <w:sz w:val="20"/>
          <w:szCs w:val="20"/>
          <w:lang w:val="en-GB"/>
        </w:rPr>
        <w:t>two thirds.</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In 2016, two thirds (9.2 million) of the aforementioned 14.3 million actively used SIM cards were used by individuals and the remaining third (5.1 million) was used by legal entities and self-employed individuals</w:t>
      </w:r>
      <w:r>
        <w:rPr>
          <w:sz w:val="20"/>
          <w:szCs w:val="20"/>
          <w:lang w:val="en-GB"/>
        </w:rPr>
        <w:br/>
      </w:r>
      <w:r w:rsidRPr="00970B85">
        <w:rPr>
          <w:sz w:val="20"/>
          <w:szCs w:val="20"/>
          <w:lang w:val="en-GB"/>
        </w:rPr>
        <w:t xml:space="preserve"> – </w:t>
      </w:r>
      <w:r>
        <w:rPr>
          <w:sz w:val="20"/>
          <w:szCs w:val="20"/>
          <w:lang w:val="en-GB"/>
        </w:rPr>
        <w:t xml:space="preserve">mainly </w:t>
      </w:r>
      <w:r w:rsidRPr="00970B85">
        <w:rPr>
          <w:sz w:val="20"/>
          <w:szCs w:val="20"/>
          <w:lang w:val="en-GB"/>
        </w:rPr>
        <w:t>enterprises.</w:t>
      </w:r>
    </w:p>
    <w:p w:rsidR="00874476" w:rsidRPr="00895D14" w:rsidRDefault="00874476" w:rsidP="00874476">
      <w:pPr>
        <w:pStyle w:val="Zkladntext"/>
        <w:numPr>
          <w:ilvl w:val="0"/>
          <w:numId w:val="15"/>
        </w:numPr>
        <w:spacing w:before="0" w:after="80" w:line="264" w:lineRule="auto"/>
        <w:ind w:left="284" w:hanging="284"/>
        <w:rPr>
          <w:szCs w:val="20"/>
          <w:lang w:val="en-GB"/>
        </w:rPr>
      </w:pPr>
      <w:r w:rsidRPr="00970B85">
        <w:rPr>
          <w:sz w:val="20"/>
          <w:szCs w:val="20"/>
          <w:lang w:val="en-GB"/>
        </w:rPr>
        <w:t xml:space="preserve">Mobile operator services are more frequently used for routine data communication between devices without a person’s direct interference, for which </w:t>
      </w:r>
      <w:r w:rsidRPr="005A607D">
        <w:rPr>
          <w:b/>
          <w:sz w:val="20"/>
          <w:szCs w:val="20"/>
          <w:lang w:val="en-GB"/>
        </w:rPr>
        <w:t>M2M SIM cards</w:t>
      </w:r>
      <w:r w:rsidRPr="005A607D">
        <w:rPr>
          <w:rStyle w:val="Znakapoznpodarou"/>
          <w:b/>
          <w:sz w:val="20"/>
          <w:szCs w:val="20"/>
          <w:lang w:val="en-GB"/>
        </w:rPr>
        <w:footnoteReference w:id="8"/>
      </w:r>
      <w:r w:rsidRPr="00970B85">
        <w:rPr>
          <w:sz w:val="20"/>
          <w:szCs w:val="20"/>
          <w:lang w:val="en-GB"/>
        </w:rPr>
        <w:t xml:space="preserve"> are used. In 2016, the Czech Republic recorded 838 thousand cards of this type compared to 179 thousand in 2010. In connection with the development</w:t>
      </w:r>
      <w:r>
        <w:rPr>
          <w:sz w:val="20"/>
          <w:szCs w:val="20"/>
          <w:lang w:val="en-GB"/>
        </w:rPr>
        <w:t xml:space="preserve"> of Internet of Things </w:t>
      </w:r>
      <w:r w:rsidRPr="00970B85">
        <w:rPr>
          <w:sz w:val="20"/>
          <w:szCs w:val="20"/>
          <w:lang w:val="en-GB"/>
        </w:rPr>
        <w:t>(loT)</w:t>
      </w:r>
      <w:r w:rsidRPr="00970B85">
        <w:rPr>
          <w:rStyle w:val="Znakapoznpodarou"/>
          <w:sz w:val="20"/>
          <w:szCs w:val="20"/>
          <w:lang w:val="en-GB"/>
        </w:rPr>
        <w:footnoteReference w:id="9"/>
      </w:r>
      <w:r w:rsidRPr="00970B85">
        <w:rPr>
          <w:sz w:val="20"/>
          <w:szCs w:val="20"/>
          <w:lang w:val="en-GB"/>
        </w:rPr>
        <w:t xml:space="preserve">, an increasing number of SIM cards used for M2M services is expected. </w:t>
      </w:r>
    </w:p>
    <w:p w:rsidR="00874476" w:rsidRPr="003F4223" w:rsidRDefault="00874476" w:rsidP="00874476">
      <w:pPr>
        <w:pStyle w:val="Zkladntext"/>
        <w:numPr>
          <w:ilvl w:val="0"/>
          <w:numId w:val="15"/>
        </w:numPr>
        <w:spacing w:before="0" w:after="80" w:line="264" w:lineRule="auto"/>
        <w:ind w:left="284" w:hanging="284"/>
        <w:rPr>
          <w:szCs w:val="20"/>
          <w:lang w:val="en-GB"/>
        </w:rPr>
      </w:pPr>
      <w:r w:rsidRPr="003F4223">
        <w:rPr>
          <w:sz w:val="20"/>
          <w:szCs w:val="20"/>
          <w:lang w:val="en-GB"/>
        </w:rPr>
        <w:t xml:space="preserve">According to the OECD data, the highest number of M2M </w:t>
      </w:r>
      <w:r w:rsidRPr="00C43C03">
        <w:rPr>
          <w:sz w:val="20"/>
          <w:szCs w:val="20"/>
          <w:lang w:val="en-GB"/>
        </w:rPr>
        <w:t xml:space="preserve">SIM cards per 100 inhabitants in </w:t>
      </w:r>
      <w:r w:rsidRPr="00C43C03">
        <w:rPr>
          <w:b/>
          <w:sz w:val="20"/>
          <w:szCs w:val="20"/>
          <w:lang w:val="en-GB"/>
        </w:rPr>
        <w:t>EU countries</w:t>
      </w:r>
      <w:r w:rsidRPr="00C43C03">
        <w:rPr>
          <w:sz w:val="20"/>
          <w:szCs w:val="20"/>
          <w:lang w:val="en-GB"/>
        </w:rPr>
        <w:t xml:space="preserve"> in 2017 was </w:t>
      </w:r>
      <w:r w:rsidRPr="003F4223">
        <w:rPr>
          <w:sz w:val="20"/>
          <w:szCs w:val="20"/>
          <w:lang w:val="en-GB"/>
        </w:rPr>
        <w:t>recorded in Scandinavian states, as well as in the Netherlands, France, and Estonia. Data on</w:t>
      </w:r>
      <w:r>
        <w:rPr>
          <w:sz w:val="20"/>
          <w:szCs w:val="20"/>
          <w:lang w:val="en-GB"/>
        </w:rPr>
        <w:t> </w:t>
      </w:r>
      <w:r w:rsidRPr="003F4223">
        <w:rPr>
          <w:sz w:val="20"/>
          <w:szCs w:val="20"/>
          <w:lang w:val="en-GB"/>
        </w:rPr>
        <w:t>machine-to-machine (M2M) communications, such as for Internet-connected vehicles, show that Sweden remains the leader in the number of M2M SIM cards in use per 100 people, with the caveat that data is not yet fully comparable for all countries. Sweden counts 114 M2M SIM cards per 100 inhabitants in 2017 – a much higher level than most EU countries that provided this data. Overall, M2M/embedded mobile cellular subscriptions grew in all countries in the last year w</w:t>
      </w:r>
      <w:r w:rsidR="005A607D">
        <w:rPr>
          <w:sz w:val="20"/>
          <w:szCs w:val="20"/>
          <w:lang w:val="en-GB"/>
        </w:rPr>
        <w:t>h</w:t>
      </w:r>
      <w:r w:rsidRPr="003F4223">
        <w:rPr>
          <w:sz w:val="20"/>
          <w:szCs w:val="20"/>
          <w:lang w:val="en-GB"/>
        </w:rPr>
        <w:t>ere the data was available.</w:t>
      </w:r>
    </w:p>
    <w:p w:rsidR="00874476" w:rsidRPr="00970B85" w:rsidRDefault="00874476" w:rsidP="00BB78A6">
      <w:pPr>
        <w:pStyle w:val="Nadpis3"/>
      </w:pPr>
      <w:bookmarkStart w:id="11" w:name="_Toc533697483"/>
      <w:bookmarkStart w:id="12" w:name="_Toc534711982"/>
      <w:r>
        <w:t xml:space="preserve">Telephone traffic </w:t>
      </w:r>
      <w:r w:rsidRPr="00970B85">
        <w:t>in fixed and mobile telephone network</w:t>
      </w:r>
      <w:r>
        <w:t>s</w:t>
      </w:r>
      <w:bookmarkEnd w:id="11"/>
      <w:bookmarkEnd w:id="12"/>
    </w:p>
    <w:p w:rsidR="00874476" w:rsidRPr="00970B85" w:rsidRDefault="00874476" w:rsidP="00874476">
      <w:pPr>
        <w:pStyle w:val="Zkladntext"/>
        <w:spacing w:before="0" w:after="80" w:line="264" w:lineRule="auto"/>
        <w:rPr>
          <w:i/>
          <w:sz w:val="20"/>
          <w:lang w:val="en-GB"/>
        </w:rPr>
      </w:pPr>
      <w:r w:rsidRPr="00970B85">
        <w:rPr>
          <w:i/>
          <w:sz w:val="20"/>
          <w:lang w:val="en-GB"/>
        </w:rPr>
        <w:t>Another interesting point of view for the analysis of the telecommunication infrastructure is the development in these networks, which may be characterised by the number of realised calls and called minutes. The development in voice services provided within fixed networks in the Czech Republic is still being influenced by the development of mobile voice services, in particular. Further convergence is also a characteristic issue. In particular, this is evident by the offer of various forms of so called communication packages where within the scope of one package a user can operate a mobile telephone line as well as a fixed line together with fixed connection to the internet and the internet TV.</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 decrease in the number of </w:t>
      </w:r>
      <w:r>
        <w:rPr>
          <w:sz w:val="20"/>
          <w:szCs w:val="20"/>
          <w:lang w:val="en-GB"/>
        </w:rPr>
        <w:t xml:space="preserve">traditional </w:t>
      </w:r>
      <w:r w:rsidRPr="00970B85">
        <w:rPr>
          <w:sz w:val="20"/>
          <w:szCs w:val="20"/>
          <w:lang w:val="en-GB"/>
        </w:rPr>
        <w:t>fixed</w:t>
      </w:r>
      <w:r>
        <w:rPr>
          <w:sz w:val="20"/>
          <w:szCs w:val="20"/>
          <w:lang w:val="en-GB"/>
        </w:rPr>
        <w:t xml:space="preserve">-telephone voice subscribers using </w:t>
      </w:r>
      <w:r w:rsidRPr="00970B85">
        <w:rPr>
          <w:b/>
          <w:sz w:val="20"/>
          <w:szCs w:val="20"/>
          <w:lang w:val="en-GB"/>
        </w:rPr>
        <w:t>PSTN</w:t>
      </w:r>
      <w:r w:rsidRPr="00970B85">
        <w:rPr>
          <w:sz w:val="20"/>
          <w:szCs w:val="20"/>
          <w:lang w:val="en-GB"/>
        </w:rPr>
        <w:t xml:space="preserve"> lines was </w:t>
      </w:r>
      <w:r>
        <w:rPr>
          <w:sz w:val="20"/>
          <w:szCs w:val="20"/>
          <w:lang w:val="en-GB"/>
        </w:rPr>
        <w:t xml:space="preserve">in the Czech Republic </w:t>
      </w:r>
      <w:r w:rsidRPr="00970B85">
        <w:rPr>
          <w:sz w:val="20"/>
          <w:szCs w:val="20"/>
          <w:lang w:val="en-GB"/>
        </w:rPr>
        <w:t xml:space="preserve">characterized </w:t>
      </w:r>
      <w:r>
        <w:rPr>
          <w:sz w:val="20"/>
          <w:szCs w:val="20"/>
          <w:lang w:val="en-GB"/>
        </w:rPr>
        <w:t xml:space="preserve">also </w:t>
      </w:r>
      <w:r w:rsidRPr="00970B85">
        <w:rPr>
          <w:sz w:val="20"/>
          <w:szCs w:val="20"/>
          <w:lang w:val="en-GB"/>
        </w:rPr>
        <w:t>by the decrease in</w:t>
      </w:r>
      <w:r w:rsidRPr="00970B85">
        <w:rPr>
          <w:b/>
          <w:sz w:val="20"/>
          <w:szCs w:val="20"/>
          <w:lang w:val="en-GB"/>
        </w:rPr>
        <w:t xml:space="preserve"> called minutes</w:t>
      </w:r>
      <w:r w:rsidRPr="00970B85">
        <w:rPr>
          <w:b/>
          <w:i/>
          <w:sz w:val="20"/>
          <w:szCs w:val="20"/>
          <w:vertAlign w:val="superscript"/>
          <w:lang w:val="en-GB"/>
        </w:rPr>
        <w:footnoteReference w:id="10"/>
      </w:r>
      <w:r w:rsidRPr="00970B85">
        <w:rPr>
          <w:sz w:val="20"/>
          <w:szCs w:val="20"/>
          <w:lang w:val="en-GB"/>
        </w:rPr>
        <w:t xml:space="preserve"> from these networks. Even in 2005 the number of called minutes </w:t>
      </w:r>
      <w:r>
        <w:rPr>
          <w:sz w:val="20"/>
          <w:szCs w:val="20"/>
          <w:lang w:val="en-GB"/>
        </w:rPr>
        <w:t xml:space="preserve">from the PSTN stations </w:t>
      </w:r>
      <w:r w:rsidRPr="00970B85">
        <w:rPr>
          <w:sz w:val="20"/>
          <w:szCs w:val="20"/>
          <w:lang w:val="en-GB"/>
        </w:rPr>
        <w:t>reached 7.2 billion, i.e. approximately the equivalent to the called minutes from mobile telephones</w:t>
      </w:r>
      <w:r>
        <w:rPr>
          <w:sz w:val="20"/>
          <w:szCs w:val="20"/>
          <w:lang w:val="en-GB"/>
        </w:rPr>
        <w:t xml:space="preserve">, ten years later </w:t>
      </w:r>
      <w:r w:rsidRPr="00970B85">
        <w:rPr>
          <w:sz w:val="20"/>
          <w:szCs w:val="20"/>
          <w:lang w:val="en-GB"/>
        </w:rPr>
        <w:t xml:space="preserve">it was </w:t>
      </w:r>
      <w:r>
        <w:rPr>
          <w:sz w:val="20"/>
          <w:szCs w:val="20"/>
          <w:lang w:val="en-GB"/>
        </w:rPr>
        <w:t xml:space="preserve">only </w:t>
      </w:r>
      <w:r w:rsidRPr="00970B85">
        <w:rPr>
          <w:sz w:val="20"/>
          <w:szCs w:val="20"/>
          <w:lang w:val="en-GB"/>
        </w:rPr>
        <w:t xml:space="preserve">1 billion minutes. Further 590 million called minutes </w:t>
      </w:r>
      <w:r>
        <w:rPr>
          <w:sz w:val="20"/>
          <w:szCs w:val="20"/>
          <w:lang w:val="en-GB"/>
        </w:rPr>
        <w:t xml:space="preserve">within fixed network were conducted by using </w:t>
      </w:r>
      <w:r w:rsidRPr="00970B85">
        <w:rPr>
          <w:b/>
          <w:sz w:val="20"/>
          <w:szCs w:val="20"/>
          <w:lang w:val="en-GB"/>
        </w:rPr>
        <w:t>VoIP</w:t>
      </w:r>
      <w:r>
        <w:rPr>
          <w:b/>
          <w:sz w:val="20"/>
          <w:szCs w:val="20"/>
          <w:lang w:val="en-GB"/>
        </w:rPr>
        <w:t xml:space="preserve"> </w:t>
      </w:r>
      <w:r w:rsidRPr="00970B85">
        <w:rPr>
          <w:sz w:val="20"/>
          <w:szCs w:val="20"/>
          <w:lang w:val="en-GB"/>
        </w:rPr>
        <w:t xml:space="preserve">which have also been on the decrease in this respect since 2014. </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Whereas in 2006</w:t>
      </w:r>
      <w:r>
        <w:rPr>
          <w:sz w:val="20"/>
          <w:szCs w:val="20"/>
          <w:lang w:val="en-GB"/>
        </w:rPr>
        <w:t xml:space="preserve"> there were on the average called </w:t>
      </w:r>
      <w:r w:rsidRPr="00970B85">
        <w:rPr>
          <w:b/>
          <w:sz w:val="20"/>
          <w:szCs w:val="20"/>
          <w:lang w:val="en-GB"/>
        </w:rPr>
        <w:t>1</w:t>
      </w:r>
      <w:r>
        <w:rPr>
          <w:b/>
          <w:sz w:val="20"/>
          <w:szCs w:val="20"/>
          <w:lang w:val="en-GB"/>
        </w:rPr>
        <w:t> </w:t>
      </w:r>
      <w:r w:rsidRPr="00970B85">
        <w:rPr>
          <w:b/>
          <w:sz w:val="20"/>
          <w:szCs w:val="20"/>
          <w:lang w:val="en-GB"/>
        </w:rPr>
        <w:t>959 minutes</w:t>
      </w:r>
      <w:r w:rsidRPr="00970B85">
        <w:rPr>
          <w:sz w:val="20"/>
          <w:szCs w:val="20"/>
          <w:lang w:val="en-GB"/>
        </w:rPr>
        <w:t xml:space="preserve"> from </w:t>
      </w:r>
      <w:r>
        <w:rPr>
          <w:sz w:val="20"/>
          <w:szCs w:val="20"/>
          <w:lang w:val="en-GB"/>
        </w:rPr>
        <w:t xml:space="preserve">one traditional </w:t>
      </w:r>
      <w:r w:rsidRPr="00970B85">
        <w:rPr>
          <w:sz w:val="20"/>
          <w:szCs w:val="20"/>
          <w:lang w:val="en-GB"/>
        </w:rPr>
        <w:t>fixed telephone line (PSTN) in the Czech Republic, ten years later it was approximately 40% less, i.e. 1</w:t>
      </w:r>
      <w:r>
        <w:rPr>
          <w:sz w:val="20"/>
          <w:szCs w:val="20"/>
          <w:lang w:val="en-GB"/>
        </w:rPr>
        <w:t> </w:t>
      </w:r>
      <w:r w:rsidRPr="00970B85">
        <w:rPr>
          <w:sz w:val="20"/>
          <w:szCs w:val="20"/>
          <w:lang w:val="en-GB"/>
        </w:rPr>
        <w:t>215 minutes. With respect to calls realised via VoIP technology, the average of 644 minutes w</w:t>
      </w:r>
      <w:r>
        <w:rPr>
          <w:sz w:val="20"/>
          <w:szCs w:val="20"/>
          <w:lang w:val="en-GB"/>
        </w:rPr>
        <w:t xml:space="preserve">as </w:t>
      </w:r>
      <w:r w:rsidRPr="00970B85">
        <w:rPr>
          <w:sz w:val="20"/>
          <w:szCs w:val="20"/>
          <w:lang w:val="en-GB"/>
        </w:rPr>
        <w:t>called by one user of this technology, which is 300 minutes less than five years ago</w:t>
      </w:r>
      <w:r>
        <w:rPr>
          <w:sz w:val="20"/>
          <w:szCs w:val="20"/>
          <w:lang w:val="en-GB"/>
        </w:rPr>
        <w:t>.</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On the other hand, the voice operation within the </w:t>
      </w:r>
      <w:r w:rsidRPr="00970B85">
        <w:rPr>
          <w:b/>
          <w:sz w:val="20"/>
          <w:szCs w:val="20"/>
          <w:lang w:val="en-GB"/>
        </w:rPr>
        <w:t>mobile network</w:t>
      </w:r>
      <w:r w:rsidRPr="00970B85">
        <w:rPr>
          <w:sz w:val="20"/>
          <w:szCs w:val="20"/>
          <w:lang w:val="en-GB"/>
        </w:rPr>
        <w:t xml:space="preserve"> has been very popular. In recent years, the number of calls has increased</w:t>
      </w:r>
      <w:r>
        <w:rPr>
          <w:sz w:val="20"/>
          <w:szCs w:val="20"/>
          <w:lang w:val="en-GB"/>
        </w:rPr>
        <w:t>,</w:t>
      </w:r>
      <w:r w:rsidRPr="00970B85">
        <w:rPr>
          <w:sz w:val="20"/>
          <w:szCs w:val="20"/>
          <w:lang w:val="en-GB"/>
        </w:rPr>
        <w:t xml:space="preserve"> as well as the number of called minutes, whose increase is </w:t>
      </w:r>
      <w:r w:rsidRPr="00970B85">
        <w:rPr>
          <w:sz w:val="20"/>
          <w:szCs w:val="20"/>
          <w:lang w:val="en-GB"/>
        </w:rPr>
        <w:lastRenderedPageBreak/>
        <w:t xml:space="preserve">even more significant with respect to the number of calls. In 2016, a total of 20.9 billion minutes were called from the public mobile telephone network, i.e. </w:t>
      </w:r>
      <w:r>
        <w:rPr>
          <w:sz w:val="20"/>
          <w:szCs w:val="20"/>
          <w:lang w:val="en-GB"/>
        </w:rPr>
        <w:t xml:space="preserve">twice </w:t>
      </w:r>
      <w:r w:rsidRPr="00970B85">
        <w:rPr>
          <w:sz w:val="20"/>
          <w:szCs w:val="20"/>
          <w:lang w:val="en-GB"/>
        </w:rPr>
        <w:t>more than ten years ago</w:t>
      </w:r>
      <w:r>
        <w:rPr>
          <w:sz w:val="20"/>
          <w:szCs w:val="20"/>
          <w:lang w:val="en-GB"/>
        </w:rPr>
        <w:t>.</w:t>
      </w:r>
    </w:p>
    <w:p w:rsidR="00874476" w:rsidRPr="00970B85" w:rsidRDefault="00874476" w:rsidP="00874476">
      <w:pPr>
        <w:pStyle w:val="Zkladntext"/>
        <w:spacing w:before="0" w:after="100" w:line="264" w:lineRule="auto"/>
        <w:rPr>
          <w:lang w:val="en-GB"/>
        </w:rPr>
      </w:pPr>
      <w:r w:rsidRPr="00970B85">
        <w:rPr>
          <w:noProof/>
        </w:rPr>
        <w:drawing>
          <wp:inline distT="0" distB="0" distL="0" distR="0" wp14:anchorId="5A48C273" wp14:editId="345899BC">
            <wp:extent cx="3024000" cy="2700000"/>
            <wp:effectExtent l="0" t="0" r="5080" b="5715"/>
            <wp:docPr id="16" name="Graf 1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70B85">
        <w:rPr>
          <w:lang w:val="en-GB"/>
        </w:rPr>
        <w:t xml:space="preserve"> </w:t>
      </w:r>
      <w:r w:rsidRPr="00970B85">
        <w:rPr>
          <w:noProof/>
        </w:rPr>
        <w:drawing>
          <wp:inline distT="0" distB="0" distL="0" distR="0" wp14:anchorId="460E809C" wp14:editId="3568CD2B">
            <wp:extent cx="3024000" cy="2700000"/>
            <wp:effectExtent l="0" t="0" r="5080" b="571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w:t>
      </w:r>
      <w:r>
        <w:rPr>
          <w:sz w:val="20"/>
          <w:szCs w:val="20"/>
          <w:lang w:val="en-GB"/>
        </w:rPr>
        <w:t>2016</w:t>
      </w:r>
      <w:r w:rsidRPr="00970B85">
        <w:rPr>
          <w:sz w:val="20"/>
          <w:szCs w:val="20"/>
          <w:lang w:val="en-GB"/>
        </w:rPr>
        <w:t>, 55%</w:t>
      </w:r>
      <w:r>
        <w:rPr>
          <w:sz w:val="20"/>
          <w:szCs w:val="20"/>
          <w:lang w:val="en-GB"/>
        </w:rPr>
        <w:t xml:space="preserve"> (</w:t>
      </w:r>
      <w:r w:rsidRPr="00970B85">
        <w:rPr>
          <w:sz w:val="20"/>
          <w:szCs w:val="20"/>
          <w:lang w:val="en-GB"/>
        </w:rPr>
        <w:t>11.6 billion minutes</w:t>
      </w:r>
      <w:r>
        <w:rPr>
          <w:sz w:val="20"/>
          <w:szCs w:val="20"/>
          <w:lang w:val="en-GB"/>
        </w:rPr>
        <w:t>)</w:t>
      </w:r>
      <w:r w:rsidRPr="00970B85">
        <w:rPr>
          <w:sz w:val="20"/>
          <w:szCs w:val="20"/>
          <w:lang w:val="en-GB"/>
        </w:rPr>
        <w:t xml:space="preserve"> </w:t>
      </w:r>
      <w:r>
        <w:rPr>
          <w:sz w:val="20"/>
          <w:szCs w:val="20"/>
          <w:lang w:val="en-GB"/>
        </w:rPr>
        <w:t xml:space="preserve">of </w:t>
      </w:r>
      <w:r w:rsidRPr="00970B85">
        <w:rPr>
          <w:sz w:val="20"/>
          <w:szCs w:val="20"/>
          <w:lang w:val="en-GB"/>
        </w:rPr>
        <w:t xml:space="preserve">called minutes </w:t>
      </w:r>
      <w:r>
        <w:rPr>
          <w:sz w:val="20"/>
          <w:szCs w:val="20"/>
          <w:lang w:val="en-GB"/>
        </w:rPr>
        <w:t>from mobile telephones was due to calls made by </w:t>
      </w:r>
      <w:r w:rsidRPr="00970B85">
        <w:rPr>
          <w:b/>
          <w:sz w:val="20"/>
          <w:szCs w:val="20"/>
          <w:lang w:val="en-GB"/>
        </w:rPr>
        <w:t>individuals</w:t>
      </w:r>
      <w:r>
        <w:rPr>
          <w:b/>
          <w:sz w:val="20"/>
          <w:szCs w:val="20"/>
          <w:lang w:val="en-GB"/>
        </w:rPr>
        <w:t xml:space="preserve"> </w:t>
      </w:r>
      <w:r w:rsidRPr="00AD44AD">
        <w:rPr>
          <w:sz w:val="20"/>
          <w:szCs w:val="20"/>
          <w:lang w:val="en-GB"/>
        </w:rPr>
        <w:t>(citizens) as mobile-telephone subscribers</w:t>
      </w:r>
      <w:r>
        <w:rPr>
          <w:sz w:val="20"/>
          <w:szCs w:val="20"/>
          <w:lang w:val="en-GB"/>
        </w:rPr>
        <w:t xml:space="preserve"> compare to </w:t>
      </w:r>
      <w:r w:rsidRPr="00970B85">
        <w:rPr>
          <w:sz w:val="20"/>
          <w:szCs w:val="20"/>
          <w:lang w:val="en-GB"/>
        </w:rPr>
        <w:t xml:space="preserve">9.4 billion </w:t>
      </w:r>
      <w:r>
        <w:rPr>
          <w:sz w:val="20"/>
          <w:szCs w:val="20"/>
          <w:lang w:val="en-GB"/>
        </w:rPr>
        <w:t xml:space="preserve">called </w:t>
      </w:r>
      <w:r w:rsidRPr="00970B85">
        <w:rPr>
          <w:sz w:val="20"/>
          <w:szCs w:val="20"/>
          <w:lang w:val="en-GB"/>
        </w:rPr>
        <w:t>minutes</w:t>
      </w:r>
      <w:r>
        <w:rPr>
          <w:sz w:val="20"/>
          <w:szCs w:val="20"/>
          <w:lang w:val="en-GB"/>
        </w:rPr>
        <w:t xml:space="preserve"> (45%) by enterprises.</w:t>
      </w:r>
      <w:r w:rsidRPr="00970B85">
        <w:rPr>
          <w:sz w:val="20"/>
          <w:szCs w:val="20"/>
          <w:lang w:val="en-GB"/>
        </w:rPr>
        <w:t xml:space="preserve"> </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
          <w:sz w:val="20"/>
          <w:szCs w:val="20"/>
          <w:lang w:val="en-GB"/>
        </w:rPr>
        <w:t>Outgoing calls</w:t>
      </w:r>
      <w:r w:rsidRPr="00970B85">
        <w:rPr>
          <w:sz w:val="20"/>
          <w:szCs w:val="20"/>
          <w:lang w:val="en-GB"/>
        </w:rPr>
        <w:t xml:space="preserve"> from mobile phones within the national network in 2016 were most frequently made to</w:t>
      </w:r>
      <w:r>
        <w:rPr>
          <w:sz w:val="20"/>
          <w:szCs w:val="20"/>
          <w:lang w:val="en-GB"/>
        </w:rPr>
        <w:t> </w:t>
      </w:r>
      <w:r w:rsidRPr="00970B85">
        <w:rPr>
          <w:b/>
          <w:sz w:val="20"/>
          <w:szCs w:val="20"/>
          <w:lang w:val="en-GB"/>
        </w:rPr>
        <w:t>their own mobile network</w:t>
      </w:r>
      <w:r w:rsidRPr="00970B85">
        <w:rPr>
          <w:sz w:val="20"/>
          <w:szCs w:val="20"/>
          <w:lang w:val="en-GB"/>
        </w:rPr>
        <w:t xml:space="preserve"> (11.5 billion minutes; 56%), fewer calls were made </w:t>
      </w:r>
      <w:r w:rsidRPr="00970B85">
        <w:rPr>
          <w:b/>
          <w:sz w:val="20"/>
          <w:szCs w:val="20"/>
          <w:lang w:val="en-GB"/>
        </w:rPr>
        <w:t xml:space="preserve">to another operator’s </w:t>
      </w:r>
      <w:r>
        <w:rPr>
          <w:b/>
          <w:sz w:val="20"/>
          <w:szCs w:val="20"/>
          <w:lang w:val="en-GB"/>
        </w:rPr>
        <w:t xml:space="preserve">mobile </w:t>
      </w:r>
      <w:r w:rsidRPr="00970B85">
        <w:rPr>
          <w:b/>
          <w:sz w:val="20"/>
          <w:szCs w:val="20"/>
          <w:lang w:val="en-GB"/>
        </w:rPr>
        <w:t>network</w:t>
      </w:r>
      <w:r>
        <w:rPr>
          <w:b/>
          <w:sz w:val="20"/>
          <w:szCs w:val="20"/>
          <w:lang w:val="en-GB"/>
        </w:rPr>
        <w:t>s</w:t>
      </w:r>
      <w:r w:rsidRPr="00970B85">
        <w:rPr>
          <w:sz w:val="20"/>
          <w:szCs w:val="20"/>
          <w:lang w:val="en-GB"/>
        </w:rPr>
        <w:t xml:space="preserve"> (8.1 billion minutes; 40%). Compared to th</w:t>
      </w:r>
      <w:r>
        <w:rPr>
          <w:sz w:val="20"/>
          <w:szCs w:val="20"/>
          <w:lang w:val="en-GB"/>
        </w:rPr>
        <w:t>is</w:t>
      </w:r>
      <w:r w:rsidRPr="00970B85">
        <w:rPr>
          <w:sz w:val="20"/>
          <w:szCs w:val="20"/>
          <w:lang w:val="en-GB"/>
        </w:rPr>
        <w:t>, the total length of outgoing calls from mobile telephones to fixed lines is at its minimum (826 billion minutes; 4%).</w:t>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A factor contributing to the increasingly common usage of mobile operator services is price lowering. In</w:t>
      </w:r>
      <w:r>
        <w:rPr>
          <w:sz w:val="20"/>
          <w:szCs w:val="20"/>
          <w:lang w:val="en-GB"/>
        </w:rPr>
        <w:t> </w:t>
      </w:r>
      <w:r w:rsidRPr="00970B85">
        <w:rPr>
          <w:sz w:val="20"/>
          <w:szCs w:val="20"/>
          <w:lang w:val="en-GB"/>
        </w:rPr>
        <w:t xml:space="preserve">the past ten years, the average retail </w:t>
      </w:r>
      <w:r w:rsidRPr="00970B85">
        <w:rPr>
          <w:b/>
          <w:sz w:val="20"/>
          <w:szCs w:val="20"/>
          <w:lang w:val="en-GB"/>
        </w:rPr>
        <w:t xml:space="preserve">price per called minute </w:t>
      </w:r>
      <w:r w:rsidRPr="00970B85">
        <w:rPr>
          <w:sz w:val="20"/>
          <w:szCs w:val="20"/>
          <w:lang w:val="en-GB"/>
        </w:rPr>
        <w:t>decreased five times, i.e. from 4.84 CZK in 2016 to 0.98 CZK in 2016. However, when reading the results</w:t>
      </w:r>
      <w:r>
        <w:rPr>
          <w:sz w:val="20"/>
          <w:szCs w:val="20"/>
          <w:lang w:val="en-GB"/>
        </w:rPr>
        <w:t>,</w:t>
      </w:r>
      <w:r w:rsidRPr="00970B85">
        <w:rPr>
          <w:sz w:val="20"/>
          <w:szCs w:val="20"/>
          <w:lang w:val="en-GB"/>
        </w:rPr>
        <w:t xml:space="preserve"> it is necessary to consider that end customers also include enterprises with individual (usually more advantageous) tariffs. </w:t>
      </w:r>
    </w:p>
    <w:p w:rsidR="00874476" w:rsidRPr="00970B85" w:rsidRDefault="00874476" w:rsidP="00874476">
      <w:pPr>
        <w:pStyle w:val="Zkladntext"/>
        <w:spacing w:before="0" w:after="100" w:line="264" w:lineRule="auto"/>
        <w:rPr>
          <w:lang w:val="en-GB"/>
        </w:rPr>
      </w:pPr>
      <w:r w:rsidRPr="00970B85">
        <w:rPr>
          <w:noProof/>
        </w:rPr>
        <w:drawing>
          <wp:inline distT="0" distB="0" distL="0" distR="0" wp14:anchorId="1093C510" wp14:editId="0FFBB382">
            <wp:extent cx="3168000" cy="2700000"/>
            <wp:effectExtent l="0" t="0" r="0" b="5715"/>
            <wp:docPr id="47" name="Graf 4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70B85">
        <w:rPr>
          <w:lang w:val="en-GB"/>
        </w:rPr>
        <w:t xml:space="preserve"> </w:t>
      </w:r>
      <w:r w:rsidRPr="00970B85">
        <w:rPr>
          <w:noProof/>
        </w:rPr>
        <w:drawing>
          <wp:inline distT="0" distB="0" distL="0" distR="0" wp14:anchorId="46223AA6" wp14:editId="2A30C387">
            <wp:extent cx="2851200" cy="2700000"/>
            <wp:effectExtent l="0" t="0" r="6350" b="571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4476" w:rsidRPr="00970B85"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 downward trend of </w:t>
      </w:r>
      <w:r w:rsidRPr="00B7189A">
        <w:rPr>
          <w:b/>
          <w:sz w:val="20"/>
          <w:szCs w:val="20"/>
          <w:lang w:val="en-GB"/>
        </w:rPr>
        <w:t>the average price per minute</w:t>
      </w:r>
      <w:r w:rsidRPr="00970B85">
        <w:rPr>
          <w:sz w:val="20"/>
          <w:szCs w:val="20"/>
          <w:lang w:val="en-GB"/>
        </w:rPr>
        <w:t xml:space="preserve"> involves the decreasing average price for individual (resident)</w:t>
      </w:r>
      <w:r>
        <w:rPr>
          <w:sz w:val="20"/>
          <w:szCs w:val="20"/>
          <w:lang w:val="en-GB"/>
        </w:rPr>
        <w:t xml:space="preserve"> subscriptions</w:t>
      </w:r>
      <w:r w:rsidRPr="00970B85">
        <w:rPr>
          <w:sz w:val="20"/>
          <w:szCs w:val="20"/>
          <w:lang w:val="en-GB"/>
        </w:rPr>
        <w:t xml:space="preserve"> as well as the decreasing average price for </w:t>
      </w:r>
      <w:r>
        <w:rPr>
          <w:sz w:val="20"/>
          <w:szCs w:val="20"/>
          <w:lang w:val="en-GB"/>
        </w:rPr>
        <w:t>business subscriptions</w:t>
      </w:r>
      <w:r w:rsidRPr="00970B85">
        <w:rPr>
          <w:sz w:val="20"/>
          <w:szCs w:val="20"/>
          <w:lang w:val="en-GB"/>
        </w:rPr>
        <w:t>. According to</w:t>
      </w:r>
      <w:r>
        <w:rPr>
          <w:sz w:val="20"/>
          <w:szCs w:val="20"/>
          <w:lang w:val="en-GB"/>
        </w:rPr>
        <w:t> </w:t>
      </w:r>
      <w:r w:rsidRPr="00970B85">
        <w:rPr>
          <w:sz w:val="20"/>
          <w:szCs w:val="20"/>
          <w:lang w:val="en-GB"/>
        </w:rPr>
        <w:t>the 2017 Annual Report of the Czech Telecommunication Office, the average aggregated consumer price in the mid-2017 concerni</w:t>
      </w:r>
      <w:r>
        <w:rPr>
          <w:sz w:val="20"/>
          <w:szCs w:val="20"/>
          <w:lang w:val="en-GB"/>
        </w:rPr>
        <w:t>ng three mobile operators was</w:t>
      </w:r>
      <w:r w:rsidRPr="00970B85">
        <w:rPr>
          <w:sz w:val="20"/>
          <w:szCs w:val="20"/>
          <w:lang w:val="en-GB"/>
        </w:rPr>
        <w:t xml:space="preserve"> 63.5% higher than the price for </w:t>
      </w:r>
      <w:r>
        <w:rPr>
          <w:sz w:val="20"/>
          <w:szCs w:val="20"/>
          <w:lang w:val="en-GB"/>
        </w:rPr>
        <w:t>businesses</w:t>
      </w:r>
      <w:r w:rsidRPr="00970B85">
        <w:rPr>
          <w:sz w:val="20"/>
          <w:szCs w:val="20"/>
          <w:lang w:val="en-GB"/>
        </w:rPr>
        <w:t xml:space="preserve"> –1.21 CZK per minute for individuals</w:t>
      </w:r>
      <w:r>
        <w:rPr>
          <w:sz w:val="20"/>
          <w:szCs w:val="20"/>
          <w:lang w:val="en-GB"/>
        </w:rPr>
        <w:t>/</w:t>
      </w:r>
      <w:r w:rsidRPr="00970B85">
        <w:rPr>
          <w:sz w:val="20"/>
          <w:szCs w:val="20"/>
          <w:lang w:val="en-GB"/>
        </w:rPr>
        <w:t xml:space="preserve">non-entrepreneurs compared to 0.74 CZK per minute for entrepreneurs. </w:t>
      </w:r>
    </w:p>
    <w:p w:rsidR="00874476" w:rsidRPr="00970B85" w:rsidRDefault="00874476" w:rsidP="00983696">
      <w:pPr>
        <w:pStyle w:val="Nadpis2"/>
        <w:spacing w:before="0"/>
      </w:pPr>
      <w:bookmarkStart w:id="13" w:name="_Toc533697484"/>
      <w:bookmarkStart w:id="14" w:name="_Toc534711983"/>
      <w:r w:rsidRPr="00970B85">
        <w:lastRenderedPageBreak/>
        <w:t>A.2 Internet infrastructure</w:t>
      </w:r>
      <w:bookmarkEnd w:id="13"/>
      <w:bookmarkEnd w:id="14"/>
    </w:p>
    <w:p w:rsidR="00874476" w:rsidRDefault="00874476" w:rsidP="00874476">
      <w:pPr>
        <w:pStyle w:val="Zkladntext"/>
        <w:spacing w:before="0" w:after="80" w:line="264" w:lineRule="auto"/>
        <w:rPr>
          <w:i/>
          <w:sz w:val="20"/>
          <w:lang w:val="en-GB"/>
        </w:rPr>
      </w:pPr>
      <w:r w:rsidRPr="00AD0CB6">
        <w:rPr>
          <w:i/>
          <w:sz w:val="20"/>
          <w:lang w:val="en-GB"/>
        </w:rPr>
        <w:t xml:space="preserve">Internet, as well as electricity, water or transport routes, </w:t>
      </w:r>
      <w:r>
        <w:rPr>
          <w:i/>
          <w:sz w:val="20"/>
          <w:lang w:val="en-GB"/>
        </w:rPr>
        <w:t xml:space="preserve">is </w:t>
      </w:r>
      <w:r w:rsidRPr="00AD0CB6">
        <w:rPr>
          <w:i/>
          <w:sz w:val="20"/>
          <w:lang w:val="en-GB"/>
        </w:rPr>
        <w:t xml:space="preserve">regarded as one of the basic infrastructure necessary for the full operation of the society in 21st century. The internet has become a critical infrastructure, supporting businesses, consumers/users and the public sector, and continues to experience remarkable growth. </w:t>
      </w:r>
      <w:r>
        <w:rPr>
          <w:i/>
          <w:sz w:val="20"/>
          <w:lang w:val="en-GB"/>
        </w:rPr>
        <w:t>T</w:t>
      </w:r>
      <w:r w:rsidRPr="00970B85">
        <w:rPr>
          <w:i/>
          <w:sz w:val="20"/>
          <w:lang w:val="en-GB"/>
        </w:rPr>
        <w:t xml:space="preserve">herefore, it makes sense to </w:t>
      </w:r>
      <w:r>
        <w:rPr>
          <w:i/>
          <w:sz w:val="20"/>
          <w:lang w:val="en-GB"/>
        </w:rPr>
        <w:t>statistically monitor</w:t>
      </w:r>
      <w:r w:rsidRPr="00970B85">
        <w:rPr>
          <w:i/>
          <w:sz w:val="20"/>
          <w:lang w:val="en-GB"/>
        </w:rPr>
        <w:t xml:space="preserve"> its spreading within the society</w:t>
      </w:r>
      <w:r>
        <w:rPr>
          <w:i/>
          <w:sz w:val="20"/>
          <w:lang w:val="en-GB"/>
        </w:rPr>
        <w:t>,</w:t>
      </w:r>
      <w:r w:rsidRPr="00970B85">
        <w:rPr>
          <w:i/>
          <w:sz w:val="20"/>
          <w:lang w:val="en-GB"/>
        </w:rPr>
        <w:t xml:space="preserve"> despite the fact that</w:t>
      </w:r>
      <w:r>
        <w:rPr>
          <w:i/>
          <w:sz w:val="20"/>
          <w:lang w:val="en-GB"/>
        </w:rPr>
        <w:t>,</w:t>
      </w:r>
      <w:r w:rsidRPr="00970B85">
        <w:rPr>
          <w:i/>
          <w:sz w:val="20"/>
          <w:lang w:val="en-GB"/>
        </w:rPr>
        <w:t xml:space="preserve"> due to the dynamic development of this technology</w:t>
      </w:r>
      <w:r>
        <w:rPr>
          <w:i/>
          <w:sz w:val="20"/>
          <w:lang w:val="en-GB"/>
        </w:rPr>
        <w:t>,</w:t>
      </w:r>
      <w:r w:rsidRPr="00970B85">
        <w:rPr>
          <w:i/>
          <w:sz w:val="20"/>
          <w:lang w:val="en-GB"/>
        </w:rPr>
        <w:t xml:space="preserve"> it may not always be easy.</w:t>
      </w:r>
    </w:p>
    <w:p w:rsidR="00874476" w:rsidRDefault="00874476" w:rsidP="00874476">
      <w:pPr>
        <w:pStyle w:val="Zkladntext"/>
        <w:spacing w:before="0" w:after="80" w:line="264" w:lineRule="auto"/>
        <w:rPr>
          <w:i/>
          <w:sz w:val="20"/>
          <w:lang w:val="en-GB"/>
        </w:rPr>
      </w:pPr>
      <w:r w:rsidRPr="005D6AEE">
        <w:rPr>
          <w:i/>
          <w:sz w:val="20"/>
          <w:lang w:val="en-GB"/>
        </w:rPr>
        <w:t>Broadband and the services</w:t>
      </w:r>
      <w:r>
        <w:rPr>
          <w:i/>
          <w:sz w:val="20"/>
          <w:lang w:val="en-GB"/>
        </w:rPr>
        <w:t xml:space="preserve"> </w:t>
      </w:r>
      <w:r w:rsidRPr="005D6AEE">
        <w:rPr>
          <w:i/>
          <w:sz w:val="20"/>
          <w:lang w:val="en-GB"/>
        </w:rPr>
        <w:t>provided over them support existing economic and</w:t>
      </w:r>
      <w:r>
        <w:rPr>
          <w:i/>
          <w:sz w:val="20"/>
          <w:lang w:val="en-GB"/>
        </w:rPr>
        <w:t> </w:t>
      </w:r>
      <w:r w:rsidRPr="005D6AEE">
        <w:rPr>
          <w:i/>
          <w:sz w:val="20"/>
          <w:lang w:val="en-GB"/>
        </w:rPr>
        <w:t>social activities and hold potential for tremendous</w:t>
      </w:r>
      <w:r>
        <w:rPr>
          <w:i/>
          <w:sz w:val="20"/>
          <w:lang w:val="en-GB"/>
        </w:rPr>
        <w:t xml:space="preserve"> </w:t>
      </w:r>
      <w:r w:rsidRPr="005D6AEE">
        <w:rPr>
          <w:i/>
          <w:sz w:val="20"/>
          <w:lang w:val="en-GB"/>
        </w:rPr>
        <w:t>innovation.</w:t>
      </w:r>
      <w:r>
        <w:rPr>
          <w:i/>
          <w:sz w:val="20"/>
          <w:lang w:val="en-GB"/>
        </w:rPr>
        <w:t xml:space="preserve"> </w:t>
      </w:r>
      <w:r w:rsidRPr="000F25AF">
        <w:rPr>
          <w:i/>
          <w:sz w:val="20"/>
          <w:lang w:val="en-GB"/>
        </w:rPr>
        <w:t>Access to broadband</w:t>
      </w:r>
      <w:r>
        <w:rPr>
          <w:i/>
          <w:sz w:val="20"/>
          <w:lang w:val="en-GB"/>
        </w:rPr>
        <w:t xml:space="preserve"> measured by number of broadband subscriptions</w:t>
      </w:r>
      <w:r w:rsidRPr="009B4877">
        <w:rPr>
          <w:rStyle w:val="Znakapoznpodarou"/>
          <w:i/>
          <w:sz w:val="20"/>
        </w:rPr>
        <w:footnoteReference w:id="11"/>
      </w:r>
      <w:r w:rsidRPr="000F25AF">
        <w:rPr>
          <w:i/>
          <w:sz w:val="20"/>
          <w:lang w:val="en-GB"/>
        </w:rPr>
        <w:t>, as a result, has become a more fundamental indicator of ICT performance and potential than access to voice telephony and other basic services.</w:t>
      </w:r>
      <w:r>
        <w:rPr>
          <w:i/>
          <w:sz w:val="20"/>
          <w:lang w:val="en-GB"/>
        </w:rPr>
        <w:t xml:space="preserve"> </w:t>
      </w:r>
      <w:r w:rsidRPr="005D6AEE">
        <w:rPr>
          <w:i/>
          <w:sz w:val="20"/>
          <w:lang w:val="en-GB"/>
        </w:rPr>
        <w:t xml:space="preserve">Broadband diffusion remains uneven across </w:t>
      </w:r>
      <w:r>
        <w:rPr>
          <w:i/>
          <w:sz w:val="20"/>
          <w:lang w:val="en-GB"/>
        </w:rPr>
        <w:t>EU e</w:t>
      </w:r>
      <w:r w:rsidRPr="005D6AEE">
        <w:rPr>
          <w:i/>
          <w:sz w:val="20"/>
          <w:lang w:val="en-GB"/>
        </w:rPr>
        <w:t>conomies but continues to increase everywhere.</w:t>
      </w:r>
      <w:r>
        <w:rPr>
          <w:i/>
          <w:sz w:val="20"/>
          <w:lang w:val="en-GB"/>
        </w:rPr>
        <w:t xml:space="preserve"> </w:t>
      </w:r>
      <w:r w:rsidRPr="005D6AEE">
        <w:rPr>
          <w:i/>
          <w:sz w:val="20"/>
          <w:lang w:val="en-GB"/>
        </w:rPr>
        <w:t xml:space="preserve">Progress has been particularly swift in mobile </w:t>
      </w:r>
      <w:r>
        <w:rPr>
          <w:i/>
          <w:sz w:val="20"/>
          <w:lang w:val="en-GB"/>
        </w:rPr>
        <w:t>broad</w:t>
      </w:r>
      <w:r w:rsidRPr="005D6AEE">
        <w:rPr>
          <w:i/>
          <w:sz w:val="20"/>
          <w:lang w:val="en-GB"/>
        </w:rPr>
        <w:t>band</w:t>
      </w:r>
      <w:r>
        <w:rPr>
          <w:i/>
          <w:sz w:val="20"/>
          <w:lang w:val="en-GB"/>
        </w:rPr>
        <w:t xml:space="preserve"> take-up. </w:t>
      </w:r>
    </w:p>
    <w:p w:rsidR="00874476" w:rsidRPr="00970B85" w:rsidRDefault="00874476" w:rsidP="00BB78A6">
      <w:pPr>
        <w:pStyle w:val="Nadpis3"/>
      </w:pPr>
      <w:bookmarkStart w:id="15" w:name="_Toc533697485"/>
      <w:bookmarkStart w:id="16" w:name="_Toc534711984"/>
      <w:r>
        <w:t>Fixed broadband penetration – S</w:t>
      </w:r>
      <w:r w:rsidRPr="00970B85">
        <w:t xml:space="preserve">ubscriptions </w:t>
      </w:r>
      <w:r>
        <w:t xml:space="preserve">by </w:t>
      </w:r>
      <w:r w:rsidRPr="00970B85">
        <w:t>technology and speed</w:t>
      </w:r>
      <w:bookmarkEnd w:id="15"/>
      <w:bookmarkEnd w:id="16"/>
    </w:p>
    <w:p w:rsidR="00874476" w:rsidRPr="00970B85" w:rsidRDefault="00874476" w:rsidP="00874476">
      <w:pPr>
        <w:pStyle w:val="Zkladntext"/>
        <w:spacing w:before="0" w:after="80" w:line="264" w:lineRule="auto"/>
        <w:rPr>
          <w:i/>
          <w:lang w:val="en-GB"/>
        </w:rPr>
      </w:pPr>
      <w:r w:rsidRPr="00970B85">
        <w:rPr>
          <w:i/>
          <w:sz w:val="20"/>
          <w:lang w:val="en-GB"/>
        </w:rPr>
        <w:t>The gradual development of internet contents requires a</w:t>
      </w:r>
      <w:r>
        <w:rPr>
          <w:i/>
          <w:sz w:val="20"/>
          <w:lang w:val="en-GB"/>
        </w:rPr>
        <w:t> </w:t>
      </w:r>
      <w:r w:rsidRPr="00970B85">
        <w:rPr>
          <w:i/>
          <w:sz w:val="20"/>
          <w:lang w:val="en-GB"/>
        </w:rPr>
        <w:t>gradually faster connection</w:t>
      </w:r>
      <w:r>
        <w:rPr>
          <w:i/>
          <w:sz w:val="20"/>
          <w:lang w:val="en-GB"/>
        </w:rPr>
        <w:t xml:space="preserve"> that is </w:t>
      </w:r>
      <w:r w:rsidRPr="00970B85">
        <w:rPr>
          <w:i/>
          <w:sz w:val="20"/>
          <w:lang w:val="en-GB"/>
        </w:rPr>
        <w:t>reflected by the offer of individual technologies</w:t>
      </w:r>
      <w:r>
        <w:rPr>
          <w:i/>
          <w:sz w:val="20"/>
          <w:lang w:val="en-GB"/>
        </w:rPr>
        <w:t>. According to ITU, t</w:t>
      </w:r>
      <w:r w:rsidRPr="007B35D6">
        <w:rPr>
          <w:i/>
          <w:sz w:val="20"/>
          <w:lang w:val="en-GB"/>
        </w:rPr>
        <w:t xml:space="preserve">he number of worldwide fixed broadband subscriptions </w:t>
      </w:r>
      <w:r>
        <w:rPr>
          <w:i/>
          <w:sz w:val="20"/>
          <w:lang w:val="en-GB"/>
        </w:rPr>
        <w:t xml:space="preserve">doubled </w:t>
      </w:r>
      <w:r w:rsidRPr="007B35D6">
        <w:rPr>
          <w:i/>
          <w:sz w:val="20"/>
          <w:lang w:val="en-GB"/>
        </w:rPr>
        <w:t xml:space="preserve">within just </w:t>
      </w:r>
      <w:r>
        <w:rPr>
          <w:i/>
          <w:sz w:val="20"/>
          <w:lang w:val="en-GB"/>
        </w:rPr>
        <w:t xml:space="preserve">eight </w:t>
      </w:r>
      <w:r w:rsidRPr="007B35D6">
        <w:rPr>
          <w:i/>
          <w:sz w:val="20"/>
          <w:lang w:val="en-GB"/>
        </w:rPr>
        <w:t xml:space="preserve">years </w:t>
      </w:r>
      <w:r>
        <w:rPr>
          <w:i/>
          <w:sz w:val="20"/>
          <w:lang w:val="en-GB"/>
        </w:rPr>
        <w:t>–</w:t>
      </w:r>
      <w:r w:rsidRPr="007B35D6">
        <w:rPr>
          <w:i/>
          <w:sz w:val="20"/>
          <w:lang w:val="en-GB"/>
        </w:rPr>
        <w:t xml:space="preserve"> from 526 million in 2010 to</w:t>
      </w:r>
      <w:r>
        <w:rPr>
          <w:i/>
          <w:sz w:val="20"/>
          <w:lang w:val="en-GB"/>
        </w:rPr>
        <w:t xml:space="preserve"> 1 075</w:t>
      </w:r>
      <w:r w:rsidRPr="007B35D6">
        <w:rPr>
          <w:i/>
          <w:sz w:val="20"/>
          <w:lang w:val="en-GB"/>
        </w:rPr>
        <w:t xml:space="preserve"> million in 201</w:t>
      </w:r>
      <w:r>
        <w:rPr>
          <w:i/>
          <w:sz w:val="20"/>
          <w:lang w:val="en-GB"/>
        </w:rPr>
        <w:t>8</w:t>
      </w:r>
      <w:r w:rsidRPr="007B35D6">
        <w:rPr>
          <w:i/>
          <w:sz w:val="20"/>
          <w:lang w:val="en-GB"/>
        </w:rPr>
        <w:t>.</w:t>
      </w:r>
      <w:r>
        <w:rPr>
          <w:i/>
          <w:sz w:val="20"/>
          <w:lang w:val="en-GB"/>
        </w:rPr>
        <w:t xml:space="preserve"> </w:t>
      </w:r>
      <w:r w:rsidRPr="00970B85">
        <w:rPr>
          <w:i/>
          <w:sz w:val="20"/>
          <w:lang w:val="en-GB"/>
        </w:rPr>
        <w:t>On a global scale, the dominant position of wireless connection used for internet access in the Czech Republic</w:t>
      </w:r>
      <w:r>
        <w:rPr>
          <w:i/>
          <w:sz w:val="20"/>
          <w:lang w:val="en-GB"/>
        </w:rPr>
        <w:t>,</w:t>
      </w:r>
      <w:r w:rsidRPr="00970B85">
        <w:rPr>
          <w:i/>
          <w:sz w:val="20"/>
          <w:lang w:val="en-GB"/>
        </w:rPr>
        <w:t xml:space="preserve"> from a fixed place</w:t>
      </w:r>
      <w:r>
        <w:rPr>
          <w:i/>
          <w:sz w:val="20"/>
          <w:lang w:val="en-GB"/>
        </w:rPr>
        <w:t>,</w:t>
      </w:r>
      <w:r w:rsidRPr="00970B85">
        <w:rPr>
          <w:i/>
          <w:sz w:val="20"/>
          <w:lang w:val="en-GB"/>
        </w:rPr>
        <w:t xml:space="preserve"> may be deemed as unique.</w:t>
      </w:r>
      <w:r w:rsidRPr="00970B85">
        <w:rPr>
          <w:i/>
          <w:lang w:val="en-GB"/>
        </w:rPr>
        <w:t xml:space="preserve"> </w:t>
      </w:r>
    </w:p>
    <w:p w:rsidR="00874476"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For the first time in 2016, the total number of </w:t>
      </w:r>
      <w:r w:rsidRPr="00F653E1">
        <w:rPr>
          <w:b/>
          <w:sz w:val="20"/>
          <w:szCs w:val="20"/>
          <w:lang w:val="en-GB"/>
        </w:rPr>
        <w:t>fixed broadband subscriptions (connections</w:t>
      </w:r>
      <w:r w:rsidRPr="009B4877">
        <w:rPr>
          <w:b/>
          <w:sz w:val="20"/>
          <w:szCs w:val="20"/>
          <w:lang w:val="en-GB"/>
        </w:rPr>
        <w:t>)</w:t>
      </w:r>
      <w:r w:rsidRPr="009B4877">
        <w:rPr>
          <w:b/>
          <w:sz w:val="20"/>
          <w:szCs w:val="20"/>
          <w:vertAlign w:val="superscript"/>
          <w:lang w:val="en-GB"/>
        </w:rPr>
        <w:footnoteReference w:id="12"/>
      </w:r>
      <w:r w:rsidRPr="009B4877">
        <w:rPr>
          <w:b/>
          <w:sz w:val="20"/>
          <w:szCs w:val="20"/>
          <w:lang w:val="en-GB"/>
        </w:rPr>
        <w:t xml:space="preserve"> </w:t>
      </w:r>
      <w:r w:rsidRPr="00970B85">
        <w:rPr>
          <w:sz w:val="20"/>
          <w:szCs w:val="20"/>
          <w:lang w:val="en-GB"/>
        </w:rPr>
        <w:t xml:space="preserve">exceeded </w:t>
      </w:r>
      <w:r>
        <w:rPr>
          <w:sz w:val="20"/>
          <w:szCs w:val="20"/>
          <w:lang w:val="en-GB"/>
        </w:rPr>
        <w:t xml:space="preserve">in the Czech Republic </w:t>
      </w:r>
      <w:r w:rsidRPr="00970B85">
        <w:rPr>
          <w:sz w:val="20"/>
          <w:szCs w:val="20"/>
          <w:lang w:val="en-GB"/>
        </w:rPr>
        <w:t xml:space="preserve">three million. At the end of 2016, there were 3.1 million </w:t>
      </w:r>
      <w:r>
        <w:rPr>
          <w:sz w:val="20"/>
          <w:szCs w:val="20"/>
          <w:lang w:val="en-GB"/>
        </w:rPr>
        <w:t xml:space="preserve">subscribers </w:t>
      </w:r>
      <w:r w:rsidRPr="00970B85">
        <w:rPr>
          <w:sz w:val="20"/>
          <w:szCs w:val="20"/>
          <w:lang w:val="en-GB"/>
        </w:rPr>
        <w:t xml:space="preserve">to </w:t>
      </w:r>
      <w:r>
        <w:rPr>
          <w:sz w:val="20"/>
          <w:szCs w:val="20"/>
          <w:lang w:val="en-GB"/>
        </w:rPr>
        <w:t xml:space="preserve">the fixed </w:t>
      </w:r>
      <w:r w:rsidRPr="00970B85">
        <w:rPr>
          <w:sz w:val="20"/>
          <w:szCs w:val="20"/>
          <w:lang w:val="en-GB"/>
        </w:rPr>
        <w:t xml:space="preserve">broadband internet access – including </w:t>
      </w:r>
      <w:r>
        <w:rPr>
          <w:sz w:val="20"/>
          <w:szCs w:val="20"/>
          <w:lang w:val="en-GB"/>
        </w:rPr>
        <w:t xml:space="preserve">ones </w:t>
      </w:r>
      <w:r w:rsidRPr="00970B85">
        <w:rPr>
          <w:sz w:val="20"/>
          <w:szCs w:val="20"/>
          <w:lang w:val="en-GB"/>
        </w:rPr>
        <w:t>realised by means of fixed wireless connections and Wi-Fi technology</w:t>
      </w:r>
      <w:r w:rsidRPr="00970B85">
        <w:rPr>
          <w:rStyle w:val="Znakapoznpodarou"/>
          <w:sz w:val="20"/>
          <w:szCs w:val="20"/>
          <w:lang w:val="en-GB"/>
        </w:rPr>
        <w:footnoteReference w:id="13"/>
      </w:r>
      <w:r w:rsidRPr="00970B85">
        <w:rPr>
          <w:sz w:val="20"/>
          <w:szCs w:val="20"/>
          <w:lang w:val="en-GB"/>
        </w:rPr>
        <w:t xml:space="preserve">, i.e. 2 million more than ten years ago and approximately a half a million more than five years ago. Despite this significant increase, it must be emphasized that in the past 3 years, the </w:t>
      </w:r>
      <w:r>
        <w:rPr>
          <w:sz w:val="20"/>
          <w:szCs w:val="20"/>
          <w:lang w:val="en-GB"/>
        </w:rPr>
        <w:t xml:space="preserve">approximate </w:t>
      </w:r>
      <w:r w:rsidRPr="00970B85">
        <w:rPr>
          <w:sz w:val="20"/>
          <w:szCs w:val="20"/>
          <w:lang w:val="en-GB"/>
        </w:rPr>
        <w:t xml:space="preserve">number of </w:t>
      </w:r>
      <w:r>
        <w:rPr>
          <w:sz w:val="20"/>
          <w:szCs w:val="20"/>
          <w:lang w:val="en-GB"/>
        </w:rPr>
        <w:t xml:space="preserve">fixed broadband </w:t>
      </w:r>
      <w:r w:rsidRPr="00970B85">
        <w:rPr>
          <w:sz w:val="20"/>
          <w:szCs w:val="20"/>
          <w:lang w:val="en-GB"/>
        </w:rPr>
        <w:t>subscribers has not changed much</w:t>
      </w:r>
      <w:r>
        <w:rPr>
          <w:sz w:val="20"/>
          <w:szCs w:val="20"/>
          <w:lang w:val="en-GB"/>
        </w:rPr>
        <w:t xml:space="preserve"> in the Czech Republic</w:t>
      </w:r>
      <w:r w:rsidRPr="00970B85">
        <w:rPr>
          <w:sz w:val="20"/>
          <w:szCs w:val="20"/>
          <w:lang w:val="en-GB"/>
        </w:rPr>
        <w:t xml:space="preserve">. </w:t>
      </w:r>
    </w:p>
    <w:p w:rsidR="00874476" w:rsidRPr="00970B85" w:rsidRDefault="00874476" w:rsidP="00874476">
      <w:pPr>
        <w:pStyle w:val="Zkladntext"/>
        <w:widowControl w:val="0"/>
        <w:spacing w:before="120" w:after="100" w:line="264" w:lineRule="auto"/>
        <w:rPr>
          <w:lang w:val="en-GB"/>
        </w:rPr>
      </w:pPr>
      <w:r w:rsidRPr="00970B85">
        <w:rPr>
          <w:noProof/>
        </w:rPr>
        <w:lastRenderedPageBreak/>
        <w:drawing>
          <wp:inline distT="0" distB="0" distL="0" distR="0" wp14:anchorId="2BC9E7FD" wp14:editId="7BD5957F">
            <wp:extent cx="2880000" cy="2520000"/>
            <wp:effectExtent l="0" t="0" r="0" b="1397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70B85">
        <w:rPr>
          <w:noProof/>
          <w:lang w:val="en-GB"/>
        </w:rPr>
        <w:t xml:space="preserve"> </w:t>
      </w:r>
      <w:r>
        <w:rPr>
          <w:noProof/>
        </w:rPr>
        <w:drawing>
          <wp:inline distT="0" distB="0" distL="0" distR="0" wp14:anchorId="4BD51901" wp14:editId="492D1C8C">
            <wp:extent cx="3182400" cy="2520000"/>
            <wp:effectExtent l="0" t="0" r="0" b="13970"/>
            <wp:docPr id="70" name="Graf 7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4476" w:rsidRPr="0040501E"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432D38">
        <w:rPr>
          <w:sz w:val="20"/>
          <w:szCs w:val="20"/>
          <w:lang w:val="en-GB"/>
        </w:rPr>
        <w:t xml:space="preserve">At the end of 2016, there were in </w:t>
      </w:r>
      <w:r w:rsidRPr="00432D38">
        <w:rPr>
          <w:b/>
          <w:sz w:val="20"/>
          <w:szCs w:val="20"/>
          <w:lang w:val="en-GB"/>
        </w:rPr>
        <w:t>EU countries</w:t>
      </w:r>
      <w:r w:rsidRPr="00432D38">
        <w:rPr>
          <w:sz w:val="20"/>
          <w:szCs w:val="20"/>
          <w:lang w:val="en-GB"/>
        </w:rPr>
        <w:t xml:space="preserve"> 170 million fixed high-speed internet connections (subscriptions) in total, i.e. approximately twice as many as ten years ago. Therefore, compared to</w:t>
      </w:r>
      <w:r>
        <w:rPr>
          <w:sz w:val="20"/>
          <w:szCs w:val="20"/>
          <w:lang w:val="en-GB"/>
        </w:rPr>
        <w:t> </w:t>
      </w:r>
      <w:r w:rsidRPr="00432D38">
        <w:rPr>
          <w:sz w:val="20"/>
          <w:szCs w:val="20"/>
          <w:lang w:val="en-GB"/>
        </w:rPr>
        <w:t>18</w:t>
      </w:r>
      <w:r>
        <w:rPr>
          <w:sz w:val="20"/>
          <w:szCs w:val="20"/>
          <w:lang w:val="en-GB"/>
        </w:rPr>
        <w:t> </w:t>
      </w:r>
      <w:r w:rsidRPr="00432D38">
        <w:rPr>
          <w:sz w:val="20"/>
          <w:szCs w:val="20"/>
          <w:lang w:val="en-GB"/>
        </w:rPr>
        <w:t xml:space="preserve">fixed broadband subscribers ten years ago, in 2016 there were 33 high-speed fixed internet subscribers </w:t>
      </w:r>
      <w:r w:rsidRPr="0040501E">
        <w:rPr>
          <w:sz w:val="20"/>
          <w:szCs w:val="20"/>
          <w:lang w:val="en-GB"/>
        </w:rPr>
        <w:t xml:space="preserve">per 100 EU inhabitants.  </w:t>
      </w:r>
    </w:p>
    <w:p w:rsidR="00874476" w:rsidRPr="0040501E" w:rsidRDefault="00874476" w:rsidP="00874476">
      <w:pPr>
        <w:pStyle w:val="Zkladntext"/>
        <w:numPr>
          <w:ilvl w:val="0"/>
          <w:numId w:val="15"/>
        </w:numPr>
        <w:spacing w:before="0" w:after="80" w:line="264" w:lineRule="auto"/>
        <w:ind w:left="284" w:hanging="284"/>
        <w:rPr>
          <w:sz w:val="20"/>
          <w:szCs w:val="20"/>
          <w:lang w:val="en-GB"/>
        </w:rPr>
      </w:pPr>
      <w:r w:rsidRPr="0040501E">
        <w:rPr>
          <w:sz w:val="20"/>
          <w:szCs w:val="20"/>
          <w:lang w:val="en-GB"/>
        </w:rPr>
        <w:t xml:space="preserve">Broadband </w:t>
      </w:r>
      <w:r w:rsidRPr="0040501E">
        <w:rPr>
          <w:b/>
          <w:sz w:val="20"/>
          <w:szCs w:val="20"/>
          <w:lang w:val="en-GB"/>
        </w:rPr>
        <w:t>fixed penetration indicator</w:t>
      </w:r>
      <w:r w:rsidRPr="0040501E">
        <w:rPr>
          <w:sz w:val="20"/>
          <w:szCs w:val="20"/>
          <w:lang w:val="en-GB"/>
        </w:rPr>
        <w:t xml:space="preserve"> comprises the number of subscriptions to fixed wired or wireless broadband services, divided by the number of residents in each country. This fixed broadband penetration rate reached over 40% in France, Denmark and the Netherlands in 2016. The Czech Republic had 29 fixed broadband connections per 100 inhabitants compare to above mentioned number 33 for EU average.  The Netherlands and Denmark have been the two countries with </w:t>
      </w:r>
      <w:r w:rsidR="00E57525">
        <w:rPr>
          <w:sz w:val="20"/>
          <w:szCs w:val="20"/>
          <w:lang w:val="en-GB"/>
        </w:rPr>
        <w:t xml:space="preserve">the </w:t>
      </w:r>
      <w:r w:rsidRPr="0040501E">
        <w:rPr>
          <w:sz w:val="20"/>
          <w:szCs w:val="20"/>
          <w:lang w:val="en-GB"/>
        </w:rPr>
        <w:t>highest number of</w:t>
      </w:r>
      <w:r>
        <w:rPr>
          <w:sz w:val="20"/>
          <w:szCs w:val="20"/>
          <w:lang w:val="en-GB"/>
        </w:rPr>
        <w:t> </w:t>
      </w:r>
      <w:r w:rsidRPr="0040501E">
        <w:rPr>
          <w:sz w:val="20"/>
          <w:szCs w:val="20"/>
          <w:lang w:val="en-GB"/>
        </w:rPr>
        <w:t>broadband connections for some time. Take-up for fixed broadband has increased at a slower pace than for mobile, and in some countries this latter has been substituting fixed broadband rather than complementing it. The general trend, however, indicates significant improvement in available technologies.</w:t>
      </w:r>
    </w:p>
    <w:p w:rsidR="00874476" w:rsidRPr="00970B85" w:rsidRDefault="00874476" w:rsidP="00874476">
      <w:pPr>
        <w:pStyle w:val="Zkladntext"/>
        <w:spacing w:before="0" w:line="264" w:lineRule="auto"/>
        <w:rPr>
          <w:sz w:val="20"/>
          <w:szCs w:val="20"/>
          <w:lang w:val="en-GB"/>
        </w:rPr>
      </w:pPr>
      <w:r>
        <w:rPr>
          <w:noProof/>
        </w:rPr>
        <w:drawing>
          <wp:inline distT="0" distB="0" distL="0" distR="0" wp14:anchorId="62ACF0E3" wp14:editId="1FA21FFD">
            <wp:extent cx="5972810" cy="3132000"/>
            <wp:effectExtent l="0" t="0" r="0" b="0"/>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On a long-term basis, the most popular fixed internet subscription in the Czech Republic is by means of</w:t>
      </w:r>
      <w:r>
        <w:rPr>
          <w:sz w:val="20"/>
          <w:szCs w:val="20"/>
          <w:lang w:val="en-GB"/>
        </w:rPr>
        <w:t xml:space="preserve"> above described </w:t>
      </w:r>
      <w:r w:rsidRPr="00E95E68">
        <w:rPr>
          <w:b/>
          <w:sz w:val="20"/>
          <w:szCs w:val="20"/>
          <w:lang w:val="en-GB"/>
        </w:rPr>
        <w:t>fixed terrestrial wireless access using Wi-Fi technology</w:t>
      </w:r>
      <w:r>
        <w:rPr>
          <w:sz w:val="20"/>
          <w:szCs w:val="20"/>
          <w:lang w:val="en-GB"/>
        </w:rPr>
        <w:t xml:space="preserve">. </w:t>
      </w:r>
      <w:r w:rsidRPr="00970B85">
        <w:rPr>
          <w:sz w:val="20"/>
          <w:szCs w:val="20"/>
          <w:lang w:val="en-GB"/>
        </w:rPr>
        <w:t>The share of this technology</w:t>
      </w:r>
      <w:r>
        <w:rPr>
          <w:sz w:val="20"/>
          <w:szCs w:val="20"/>
          <w:lang w:val="en-GB"/>
        </w:rPr>
        <w:t>,</w:t>
      </w:r>
      <w:r w:rsidRPr="00970B85">
        <w:rPr>
          <w:sz w:val="20"/>
          <w:szCs w:val="20"/>
          <w:lang w:val="en-GB"/>
        </w:rPr>
        <w:t xml:space="preserve"> with respect to the total number of subscribers (connectors/connections)</w:t>
      </w:r>
      <w:r>
        <w:rPr>
          <w:sz w:val="20"/>
          <w:szCs w:val="20"/>
          <w:lang w:val="en-GB"/>
        </w:rPr>
        <w:t>,</w:t>
      </w:r>
      <w:r w:rsidRPr="00970B85">
        <w:rPr>
          <w:sz w:val="20"/>
          <w:szCs w:val="20"/>
          <w:lang w:val="en-GB"/>
        </w:rPr>
        <w:t xml:space="preserve"> to “fixed” internet is </w:t>
      </w:r>
      <w:r w:rsidRPr="00970B85">
        <w:rPr>
          <w:sz w:val="20"/>
          <w:szCs w:val="20"/>
          <w:lang w:val="en-GB"/>
        </w:rPr>
        <w:lastRenderedPageBreak/>
        <w:t>around one third</w:t>
      </w:r>
      <w:r w:rsidRPr="00970B85">
        <w:rPr>
          <w:sz w:val="20"/>
          <w:szCs w:val="20"/>
          <w:vertAlign w:val="superscript"/>
          <w:lang w:val="en-GB"/>
        </w:rPr>
        <w:footnoteReference w:id="14"/>
      </w:r>
      <w:r w:rsidRPr="00970B85">
        <w:rPr>
          <w:sz w:val="20"/>
          <w:szCs w:val="20"/>
          <w:lang w:val="en-GB"/>
        </w:rPr>
        <w:t>. In 2016, this technology connected 1.07 million subscribers</w:t>
      </w:r>
      <w:r>
        <w:rPr>
          <w:sz w:val="20"/>
          <w:szCs w:val="20"/>
          <w:lang w:val="en-GB"/>
        </w:rPr>
        <w:t xml:space="preserve"> to the internet</w:t>
      </w:r>
      <w:r w:rsidRPr="00970B85">
        <w:rPr>
          <w:sz w:val="20"/>
          <w:szCs w:val="20"/>
          <w:lang w:val="en-GB"/>
        </w:rPr>
        <w:t xml:space="preserve">, with the majority </w:t>
      </w:r>
      <w:r>
        <w:rPr>
          <w:sz w:val="20"/>
          <w:szCs w:val="20"/>
          <w:lang w:val="en-GB"/>
        </w:rPr>
        <w:t>being</w:t>
      </w:r>
      <w:r w:rsidRPr="00970B85">
        <w:rPr>
          <w:sz w:val="20"/>
          <w:szCs w:val="20"/>
          <w:lang w:val="en-GB"/>
        </w:rPr>
        <w:t xml:space="preserve"> </w:t>
      </w:r>
      <w:r>
        <w:rPr>
          <w:sz w:val="20"/>
          <w:szCs w:val="20"/>
          <w:lang w:val="en-GB"/>
        </w:rPr>
        <w:t>individual/consumer subscriptions (</w:t>
      </w:r>
      <w:r w:rsidRPr="00970B85">
        <w:rPr>
          <w:sz w:val="20"/>
          <w:szCs w:val="20"/>
          <w:lang w:val="en-GB"/>
        </w:rPr>
        <w:t>85% precisely)</w:t>
      </w:r>
      <w:r>
        <w:rPr>
          <w:sz w:val="20"/>
          <w:szCs w:val="20"/>
          <w:lang w:val="en-GB"/>
        </w:rPr>
        <w:t xml:space="preserve"> compare to 15% of business subscriptions</w:t>
      </w:r>
      <w:r w:rsidRPr="00970B85">
        <w:rPr>
          <w:sz w:val="20"/>
          <w:szCs w:val="20"/>
          <w:lang w:val="en-GB"/>
        </w:rPr>
        <w:t>. At the end of 2016, however, only a quarter of internet connections</w:t>
      </w:r>
      <w:r>
        <w:rPr>
          <w:sz w:val="20"/>
          <w:szCs w:val="20"/>
          <w:lang w:val="en-GB"/>
        </w:rPr>
        <w:t>,</w:t>
      </w:r>
      <w:r w:rsidRPr="00970B85">
        <w:rPr>
          <w:sz w:val="20"/>
          <w:szCs w:val="20"/>
          <w:lang w:val="en-GB"/>
        </w:rPr>
        <w:t xml:space="preserve"> by means of Wi</w:t>
      </w:r>
      <w:r>
        <w:rPr>
          <w:sz w:val="20"/>
          <w:szCs w:val="20"/>
          <w:lang w:val="en-GB"/>
        </w:rPr>
        <w:t>-</w:t>
      </w:r>
      <w:r w:rsidRPr="00970B85">
        <w:rPr>
          <w:sz w:val="20"/>
          <w:szCs w:val="20"/>
          <w:lang w:val="en-GB"/>
        </w:rPr>
        <w:t>Fi networks</w:t>
      </w:r>
      <w:r>
        <w:rPr>
          <w:sz w:val="20"/>
          <w:szCs w:val="20"/>
          <w:lang w:val="en-GB"/>
        </w:rPr>
        <w:t>,</w:t>
      </w:r>
      <w:r w:rsidRPr="00970B85">
        <w:rPr>
          <w:sz w:val="20"/>
          <w:szCs w:val="20"/>
          <w:lang w:val="en-GB"/>
        </w:rPr>
        <w:t xml:space="preserve"> offered the</w:t>
      </w:r>
      <w:r>
        <w:rPr>
          <w:sz w:val="20"/>
          <w:szCs w:val="20"/>
          <w:lang w:val="en-GB"/>
        </w:rPr>
        <w:t> </w:t>
      </w:r>
      <w:r w:rsidRPr="00970B85">
        <w:rPr>
          <w:sz w:val="20"/>
          <w:szCs w:val="20"/>
          <w:lang w:val="en-GB"/>
        </w:rPr>
        <w:t xml:space="preserve">maximum (advertised) speed of 30 Mb/s and higher. </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The share of </w:t>
      </w:r>
      <w:r>
        <w:rPr>
          <w:b/>
          <w:sz w:val="20"/>
          <w:szCs w:val="20"/>
          <w:lang w:val="en-GB"/>
        </w:rPr>
        <w:t>x</w:t>
      </w:r>
      <w:r w:rsidRPr="00970B85">
        <w:rPr>
          <w:b/>
          <w:sz w:val="20"/>
          <w:szCs w:val="20"/>
          <w:lang w:val="en-GB"/>
        </w:rPr>
        <w:t>DSL</w:t>
      </w:r>
      <w:r w:rsidRPr="00970B85">
        <w:rPr>
          <w:sz w:val="20"/>
          <w:szCs w:val="20"/>
          <w:lang w:val="en-GB"/>
        </w:rPr>
        <w:t xml:space="preserve"> technology in fixed high-speed internet has been </w:t>
      </w:r>
      <w:r>
        <w:rPr>
          <w:sz w:val="20"/>
          <w:szCs w:val="20"/>
          <w:lang w:val="en-GB"/>
        </w:rPr>
        <w:t xml:space="preserve">gradually </w:t>
      </w:r>
      <w:r w:rsidRPr="00970B85">
        <w:rPr>
          <w:sz w:val="20"/>
          <w:szCs w:val="20"/>
          <w:lang w:val="en-GB"/>
        </w:rPr>
        <w:t xml:space="preserve">decreasing. In spite of this, it is the second most common means of fixed internet connection </w:t>
      </w:r>
      <w:r>
        <w:rPr>
          <w:sz w:val="20"/>
          <w:szCs w:val="20"/>
          <w:lang w:val="en-GB"/>
        </w:rPr>
        <w:t xml:space="preserve">used </w:t>
      </w:r>
      <w:r w:rsidRPr="00970B85">
        <w:rPr>
          <w:sz w:val="20"/>
          <w:szCs w:val="20"/>
          <w:lang w:val="en-GB"/>
        </w:rPr>
        <w:t>in the Czech Republic</w:t>
      </w:r>
      <w:r>
        <w:rPr>
          <w:sz w:val="20"/>
          <w:szCs w:val="20"/>
          <w:lang w:val="en-GB"/>
        </w:rPr>
        <w:t>,</w:t>
      </w:r>
      <w:r w:rsidRPr="00970B85">
        <w:rPr>
          <w:sz w:val="20"/>
          <w:szCs w:val="20"/>
          <w:lang w:val="en-GB"/>
        </w:rPr>
        <w:t xml:space="preserve"> with its 904</w:t>
      </w:r>
      <w:r>
        <w:rPr>
          <w:sz w:val="20"/>
          <w:szCs w:val="20"/>
          <w:lang w:val="en-GB"/>
        </w:rPr>
        <w:t> </w:t>
      </w:r>
      <w:r w:rsidRPr="00970B85">
        <w:rPr>
          <w:sz w:val="20"/>
          <w:szCs w:val="20"/>
          <w:lang w:val="en-GB"/>
        </w:rPr>
        <w:t>thousand subscribers at the end of 2016, 72% of whom were individuals</w:t>
      </w:r>
      <w:r w:rsidRPr="00970B85">
        <w:rPr>
          <w:rStyle w:val="Znakapoznpodarou"/>
          <w:sz w:val="20"/>
          <w:szCs w:val="20"/>
          <w:lang w:val="en-GB"/>
        </w:rPr>
        <w:footnoteReference w:id="15"/>
      </w:r>
      <w:r w:rsidRPr="00970B85">
        <w:rPr>
          <w:sz w:val="20"/>
          <w:szCs w:val="20"/>
          <w:lang w:val="en-GB"/>
        </w:rPr>
        <w:t>.</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Internet connection via telephone cables by means of xDSL technology represents the most popular means of</w:t>
      </w:r>
      <w:r>
        <w:rPr>
          <w:sz w:val="20"/>
          <w:szCs w:val="20"/>
          <w:lang w:val="en-GB"/>
        </w:rPr>
        <w:t xml:space="preserve"> fixed internet connection in </w:t>
      </w:r>
      <w:r w:rsidRPr="00970B85">
        <w:rPr>
          <w:sz w:val="20"/>
          <w:szCs w:val="20"/>
          <w:lang w:val="en-GB"/>
        </w:rPr>
        <w:t>half of EU countries. It is represented significantly in Greece, France, Italy</w:t>
      </w:r>
      <w:r>
        <w:rPr>
          <w:sz w:val="20"/>
          <w:szCs w:val="20"/>
          <w:lang w:val="en-GB"/>
        </w:rPr>
        <w:t>, and</w:t>
      </w:r>
      <w:r w:rsidRPr="00970B85">
        <w:rPr>
          <w:sz w:val="20"/>
          <w:szCs w:val="20"/>
          <w:lang w:val="en-GB"/>
        </w:rPr>
        <w:t xml:space="preserve"> Germany. In the Czech Republic, the share of this technology in fixed internet</w:t>
      </w:r>
      <w:r>
        <w:rPr>
          <w:sz w:val="20"/>
          <w:szCs w:val="20"/>
          <w:lang w:val="en-GB"/>
        </w:rPr>
        <w:t>,</w:t>
      </w:r>
      <w:r w:rsidRPr="00970B85">
        <w:rPr>
          <w:sz w:val="20"/>
          <w:szCs w:val="20"/>
          <w:lang w:val="en-GB"/>
        </w:rPr>
        <w:t xml:space="preserve"> decreased from 44% in 2006 – at that time it was the most frequent means of internet access – to 30% in</w:t>
      </w:r>
      <w:r>
        <w:rPr>
          <w:sz w:val="20"/>
          <w:szCs w:val="20"/>
          <w:lang w:val="en-GB"/>
        </w:rPr>
        <w:t> </w:t>
      </w:r>
      <w:r w:rsidRPr="00970B85">
        <w:rPr>
          <w:sz w:val="20"/>
          <w:szCs w:val="20"/>
          <w:lang w:val="en-GB"/>
        </w:rPr>
        <w:t xml:space="preserve">2016. </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Up until the year 2014, the majority of these connections in our country was realised via </w:t>
      </w:r>
      <w:r w:rsidRPr="00970B85">
        <w:rPr>
          <w:b/>
          <w:sz w:val="20"/>
          <w:szCs w:val="20"/>
          <w:lang w:val="en-GB"/>
        </w:rPr>
        <w:t>ADSL lines</w:t>
      </w:r>
      <w:r w:rsidRPr="00970B85">
        <w:rPr>
          <w:sz w:val="20"/>
          <w:szCs w:val="20"/>
          <w:lang w:val="en-GB"/>
        </w:rPr>
        <w:t>; since 2015</w:t>
      </w:r>
      <w:r>
        <w:rPr>
          <w:sz w:val="20"/>
          <w:szCs w:val="20"/>
          <w:lang w:val="en-GB"/>
        </w:rPr>
        <w:t>,</w:t>
      </w:r>
      <w:r w:rsidRPr="00970B85">
        <w:rPr>
          <w:sz w:val="20"/>
          <w:szCs w:val="20"/>
          <w:lang w:val="en-GB"/>
        </w:rPr>
        <w:t xml:space="preserve"> the more modern </w:t>
      </w:r>
      <w:r>
        <w:rPr>
          <w:b/>
          <w:sz w:val="20"/>
          <w:szCs w:val="20"/>
          <w:lang w:val="en-GB"/>
        </w:rPr>
        <w:t>V</w:t>
      </w:r>
      <w:r w:rsidRPr="00970B85">
        <w:rPr>
          <w:b/>
          <w:sz w:val="20"/>
          <w:szCs w:val="20"/>
          <w:lang w:val="en-GB"/>
        </w:rPr>
        <w:t>D</w:t>
      </w:r>
      <w:r>
        <w:rPr>
          <w:b/>
          <w:sz w:val="20"/>
          <w:szCs w:val="20"/>
          <w:lang w:val="en-GB"/>
        </w:rPr>
        <w:t>S</w:t>
      </w:r>
      <w:r w:rsidRPr="00970B85">
        <w:rPr>
          <w:b/>
          <w:sz w:val="20"/>
          <w:szCs w:val="20"/>
          <w:lang w:val="en-GB"/>
        </w:rPr>
        <w:t>L lines</w:t>
      </w:r>
      <w:r w:rsidRPr="00970B85">
        <w:rPr>
          <w:sz w:val="20"/>
          <w:szCs w:val="20"/>
          <w:lang w:val="en-GB"/>
        </w:rPr>
        <w:t xml:space="preserve"> prevail. In 2016, there were 54 thousand active VDSL connect</w:t>
      </w:r>
      <w:r>
        <w:rPr>
          <w:sz w:val="20"/>
          <w:szCs w:val="20"/>
          <w:lang w:val="en-GB"/>
        </w:rPr>
        <w:t>ions</w:t>
      </w:r>
      <w:r w:rsidRPr="00970B85">
        <w:rPr>
          <w:sz w:val="20"/>
          <w:szCs w:val="20"/>
          <w:lang w:val="en-GB"/>
        </w:rPr>
        <w:t xml:space="preserve"> in the Czech Republic as opposed to 350 thousand realised by means of ADSL.</w:t>
      </w:r>
    </w:p>
    <w:p w:rsidR="00874476" w:rsidRPr="00970B85" w:rsidRDefault="00874476" w:rsidP="00874476">
      <w:pPr>
        <w:pStyle w:val="Zkladntext"/>
        <w:spacing w:before="0" w:line="264" w:lineRule="auto"/>
        <w:rPr>
          <w:sz w:val="20"/>
          <w:szCs w:val="20"/>
          <w:lang w:val="en-GB"/>
        </w:rPr>
      </w:pPr>
      <w:r>
        <w:rPr>
          <w:noProof/>
        </w:rPr>
        <w:drawing>
          <wp:inline distT="0" distB="0" distL="0" distR="0" wp14:anchorId="29B1F97D" wp14:editId="2BBCFC50">
            <wp:extent cx="5972810" cy="3240000"/>
            <wp:effectExtent l="0" t="0" r="8890" b="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70B85">
        <w:rPr>
          <w:sz w:val="20"/>
          <w:szCs w:val="20"/>
          <w:lang w:val="en-GB"/>
        </w:rPr>
        <w:t xml:space="preserve"> </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Internet access via </w:t>
      </w:r>
      <w:r w:rsidRPr="00970B85">
        <w:rPr>
          <w:b/>
          <w:sz w:val="20"/>
          <w:szCs w:val="20"/>
          <w:lang w:val="en-GB"/>
        </w:rPr>
        <w:t xml:space="preserve">cable </w:t>
      </w:r>
      <w:r w:rsidRPr="00970B85">
        <w:rPr>
          <w:sz w:val="20"/>
          <w:szCs w:val="20"/>
          <w:lang w:val="en-GB"/>
        </w:rPr>
        <w:t>(CATV) has recorded a slight increase in the Czech Republic. At the end of</w:t>
      </w:r>
      <w:r>
        <w:rPr>
          <w:sz w:val="20"/>
          <w:szCs w:val="20"/>
          <w:lang w:val="en-GB"/>
        </w:rPr>
        <w:t> </w:t>
      </w:r>
      <w:r w:rsidRPr="00970B85">
        <w:rPr>
          <w:sz w:val="20"/>
          <w:szCs w:val="20"/>
          <w:lang w:val="en-GB"/>
        </w:rPr>
        <w:t xml:space="preserve">2016 this means of internet access was used by 563 thousand subscribers; 95% of </w:t>
      </w:r>
      <w:r>
        <w:rPr>
          <w:sz w:val="20"/>
          <w:szCs w:val="20"/>
          <w:lang w:val="en-GB"/>
        </w:rPr>
        <w:t>which</w:t>
      </w:r>
      <w:r w:rsidRPr="00970B85">
        <w:rPr>
          <w:sz w:val="20"/>
          <w:szCs w:val="20"/>
          <w:lang w:val="en-GB"/>
        </w:rPr>
        <w:t xml:space="preserve"> were </w:t>
      </w:r>
      <w:r w:rsidRPr="00970B85">
        <w:rPr>
          <w:b/>
          <w:sz w:val="20"/>
          <w:szCs w:val="20"/>
          <w:lang w:val="en-GB"/>
        </w:rPr>
        <w:t>individuals</w:t>
      </w:r>
      <w:r w:rsidRPr="00970B85">
        <w:rPr>
          <w:sz w:val="20"/>
          <w:szCs w:val="20"/>
          <w:lang w:val="en-GB"/>
        </w:rPr>
        <w:t xml:space="preserve">. Out of </w:t>
      </w:r>
      <w:r w:rsidRPr="00970B85">
        <w:rPr>
          <w:b/>
          <w:sz w:val="20"/>
          <w:szCs w:val="20"/>
          <w:lang w:val="en-GB"/>
        </w:rPr>
        <w:t>EU countries</w:t>
      </w:r>
      <w:r w:rsidRPr="00970B85">
        <w:rPr>
          <w:sz w:val="20"/>
          <w:szCs w:val="20"/>
          <w:lang w:val="en-GB"/>
        </w:rPr>
        <w:t>, this technology is the most frequently used one in Belgium, the Netherlands, and Hungary where it represents nearly a 50% share of retail market of fixed internet access. Furthermore, Belgium and the Netherlands came close to 20 subscribers per 100 inhabitants in</w:t>
      </w:r>
      <w:r>
        <w:rPr>
          <w:sz w:val="20"/>
          <w:szCs w:val="20"/>
          <w:lang w:val="en-GB"/>
        </w:rPr>
        <w:t> </w:t>
      </w:r>
      <w:r w:rsidRPr="00970B85">
        <w:rPr>
          <w:sz w:val="20"/>
          <w:szCs w:val="20"/>
          <w:lang w:val="en-GB"/>
        </w:rPr>
        <w:t>2016.</w:t>
      </w:r>
    </w:p>
    <w:p w:rsidR="00874476" w:rsidRDefault="00874476" w:rsidP="0087447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Within the individual technologies of fixed internet access, since 2009 the connection via </w:t>
      </w:r>
      <w:r w:rsidRPr="00264338">
        <w:rPr>
          <w:b/>
          <w:sz w:val="20"/>
          <w:szCs w:val="20"/>
          <w:lang w:val="en-GB"/>
        </w:rPr>
        <w:t>fibre broadband (FTTH/B)</w:t>
      </w:r>
      <w:r>
        <w:rPr>
          <w:rStyle w:val="Znakapoznpodarou"/>
          <w:b/>
          <w:sz w:val="20"/>
          <w:szCs w:val="20"/>
          <w:lang w:val="en-GB"/>
        </w:rPr>
        <w:footnoteReference w:id="16"/>
      </w:r>
      <w:r w:rsidRPr="00970B85">
        <w:rPr>
          <w:sz w:val="20"/>
          <w:szCs w:val="20"/>
          <w:lang w:val="en-GB"/>
        </w:rPr>
        <w:t xml:space="preserve"> ha</w:t>
      </w:r>
      <w:r>
        <w:rPr>
          <w:sz w:val="20"/>
          <w:szCs w:val="20"/>
          <w:lang w:val="en-GB"/>
        </w:rPr>
        <w:t>s</w:t>
      </w:r>
      <w:r w:rsidRPr="00970B85">
        <w:rPr>
          <w:sz w:val="20"/>
          <w:szCs w:val="20"/>
          <w:lang w:val="en-GB"/>
        </w:rPr>
        <w:t xml:space="preserve"> recorded the greatest increase (fivefold) on the Czech market. At the end of</w:t>
      </w:r>
      <w:r>
        <w:rPr>
          <w:sz w:val="20"/>
          <w:szCs w:val="20"/>
          <w:lang w:val="en-GB"/>
        </w:rPr>
        <w:t> </w:t>
      </w:r>
      <w:r w:rsidRPr="00970B85">
        <w:rPr>
          <w:sz w:val="20"/>
          <w:szCs w:val="20"/>
          <w:lang w:val="en-GB"/>
        </w:rPr>
        <w:t xml:space="preserve">2016, this means of connection was used by 523 thousand subscribers, 91% of whom were </w:t>
      </w:r>
      <w:r w:rsidRPr="00970B85">
        <w:rPr>
          <w:sz w:val="20"/>
          <w:szCs w:val="20"/>
          <w:lang w:val="en-GB"/>
        </w:rPr>
        <w:lastRenderedPageBreak/>
        <w:t xml:space="preserve">individuals. However, the development of FTTx access in the Czech Republic is still being realised mainly by local providers. </w:t>
      </w:r>
      <w:r w:rsidRPr="00970B85">
        <w:rPr>
          <w:b/>
          <w:sz w:val="20"/>
          <w:szCs w:val="20"/>
          <w:lang w:val="en-GB"/>
        </w:rPr>
        <w:t>In international comparison</w:t>
      </w:r>
      <w:r w:rsidRPr="00970B85">
        <w:rPr>
          <w:sz w:val="20"/>
          <w:szCs w:val="20"/>
          <w:lang w:val="en-GB"/>
        </w:rPr>
        <w:t>, optical networks are the most commonly used means of</w:t>
      </w:r>
      <w:r>
        <w:rPr>
          <w:sz w:val="20"/>
          <w:szCs w:val="20"/>
          <w:lang w:val="en-GB"/>
        </w:rPr>
        <w:t> </w:t>
      </w:r>
      <w:r w:rsidRPr="00970B85">
        <w:rPr>
          <w:sz w:val="20"/>
          <w:szCs w:val="20"/>
          <w:lang w:val="en-GB"/>
        </w:rPr>
        <w:t>connection in the following EU countries – calculated by the number of subsc</w:t>
      </w:r>
      <w:r>
        <w:rPr>
          <w:sz w:val="20"/>
          <w:szCs w:val="20"/>
          <w:lang w:val="en-GB"/>
        </w:rPr>
        <w:t xml:space="preserve">ribers per 100 inhabitants – </w:t>
      </w:r>
      <w:r w:rsidRPr="00970B85">
        <w:rPr>
          <w:sz w:val="20"/>
          <w:szCs w:val="20"/>
          <w:lang w:val="en-GB"/>
        </w:rPr>
        <w:t>Sweden, Latvia, and Lithuania.</w:t>
      </w:r>
    </w:p>
    <w:p w:rsidR="00874476" w:rsidRPr="00B54C5E" w:rsidRDefault="00874476" w:rsidP="00874476">
      <w:pPr>
        <w:pStyle w:val="Zkladntext"/>
        <w:numPr>
          <w:ilvl w:val="0"/>
          <w:numId w:val="15"/>
        </w:numPr>
        <w:spacing w:before="0" w:after="80" w:line="264" w:lineRule="auto"/>
        <w:ind w:left="284" w:hanging="284"/>
        <w:rPr>
          <w:sz w:val="20"/>
          <w:szCs w:val="20"/>
          <w:lang w:val="en-GB"/>
        </w:rPr>
      </w:pPr>
      <w:r w:rsidRPr="00B54C5E">
        <w:rPr>
          <w:sz w:val="20"/>
          <w:szCs w:val="20"/>
          <w:lang w:val="en-GB"/>
        </w:rPr>
        <w:t>Deploying fibre closer to the home has been an on-going process in most EU countries for many years. More recently, network operators have started</w:t>
      </w:r>
      <w:r w:rsidRPr="00434FCB">
        <w:rPr>
          <w:sz w:val="20"/>
          <w:szCs w:val="20"/>
          <w:lang w:val="en-GB"/>
        </w:rPr>
        <w:t xml:space="preserve"> to evaluate whether to bring fibre directly to a premise or to</w:t>
      </w:r>
      <w:r>
        <w:rPr>
          <w:sz w:val="20"/>
          <w:szCs w:val="20"/>
          <w:lang w:val="en-GB"/>
        </w:rPr>
        <w:t> </w:t>
      </w:r>
      <w:r w:rsidRPr="00434FCB">
        <w:rPr>
          <w:sz w:val="20"/>
          <w:szCs w:val="20"/>
          <w:lang w:val="en-GB"/>
        </w:rPr>
        <w:t>a nearby point and use existing or upgraded</w:t>
      </w:r>
      <w:r w:rsidRPr="00956B74">
        <w:rPr>
          <w:sz w:val="20"/>
          <w:szCs w:val="20"/>
          <w:lang w:val="en-GB"/>
        </w:rPr>
        <w:t xml:space="preserve"> DSL and cable infrastructure. </w:t>
      </w:r>
      <w:r>
        <w:rPr>
          <w:sz w:val="20"/>
          <w:szCs w:val="20"/>
          <w:lang w:val="en-GB"/>
        </w:rPr>
        <w:t>However, t</w:t>
      </w:r>
      <w:r w:rsidRPr="00B54C5E">
        <w:rPr>
          <w:sz w:val="20"/>
          <w:szCs w:val="20"/>
          <w:lang w:val="en-GB"/>
        </w:rPr>
        <w:t>he majority of</w:t>
      </w:r>
      <w:r>
        <w:rPr>
          <w:sz w:val="20"/>
          <w:szCs w:val="20"/>
          <w:lang w:val="en-GB"/>
        </w:rPr>
        <w:t> </w:t>
      </w:r>
      <w:r w:rsidRPr="00B54C5E">
        <w:rPr>
          <w:sz w:val="20"/>
          <w:szCs w:val="20"/>
          <w:lang w:val="en-GB"/>
        </w:rPr>
        <w:t xml:space="preserve">fixed broadband connections are in EU countries currently provided </w:t>
      </w:r>
      <w:r>
        <w:rPr>
          <w:sz w:val="20"/>
          <w:szCs w:val="20"/>
          <w:lang w:val="en-GB"/>
        </w:rPr>
        <w:t xml:space="preserve">still </w:t>
      </w:r>
      <w:r w:rsidRPr="00B54C5E">
        <w:rPr>
          <w:sz w:val="20"/>
          <w:szCs w:val="20"/>
          <w:lang w:val="en-GB"/>
        </w:rPr>
        <w:t>mainly over DSL and cable modem technologies.</w:t>
      </w:r>
    </w:p>
    <w:p w:rsidR="00874476" w:rsidRPr="00BE6B68" w:rsidRDefault="00874476" w:rsidP="00874476">
      <w:pPr>
        <w:pStyle w:val="Zkladntext"/>
        <w:numPr>
          <w:ilvl w:val="0"/>
          <w:numId w:val="15"/>
        </w:numPr>
        <w:spacing w:before="0" w:after="80" w:line="264" w:lineRule="auto"/>
        <w:ind w:left="284" w:hanging="284"/>
        <w:rPr>
          <w:sz w:val="20"/>
          <w:szCs w:val="20"/>
          <w:lang w:val="en-GB"/>
        </w:rPr>
      </w:pPr>
      <w:r w:rsidRPr="00BE6B68">
        <w:rPr>
          <w:sz w:val="20"/>
          <w:szCs w:val="20"/>
          <w:lang w:val="en-GB"/>
        </w:rPr>
        <w:t>Adequate network access speed</w:t>
      </w:r>
      <w:r>
        <w:rPr>
          <w:rStyle w:val="Znakapoznpodarou"/>
          <w:sz w:val="20"/>
          <w:szCs w:val="20"/>
          <w:lang w:val="en-GB"/>
        </w:rPr>
        <w:footnoteReference w:id="17"/>
      </w:r>
      <w:r w:rsidRPr="00BE6B68">
        <w:rPr>
          <w:sz w:val="20"/>
          <w:szCs w:val="20"/>
          <w:lang w:val="en-GB"/>
        </w:rPr>
        <w:t xml:space="preserve"> is essential to fully exploit existing services over the </w:t>
      </w:r>
      <w:r>
        <w:rPr>
          <w:sz w:val="20"/>
          <w:szCs w:val="20"/>
          <w:lang w:val="en-GB"/>
        </w:rPr>
        <w:t>i</w:t>
      </w:r>
      <w:r w:rsidRPr="00BE6B68">
        <w:rPr>
          <w:sz w:val="20"/>
          <w:szCs w:val="20"/>
          <w:lang w:val="en-GB"/>
        </w:rPr>
        <w:t>nternet and to</w:t>
      </w:r>
      <w:r>
        <w:rPr>
          <w:sz w:val="20"/>
          <w:szCs w:val="20"/>
          <w:lang w:val="en-GB"/>
        </w:rPr>
        <w:t> </w:t>
      </w:r>
      <w:r w:rsidRPr="00BE6B68">
        <w:rPr>
          <w:sz w:val="20"/>
          <w:szCs w:val="20"/>
          <w:lang w:val="en-GB"/>
        </w:rPr>
        <w:t>foster the diffusion of new ones.</w:t>
      </w:r>
      <w:r>
        <w:rPr>
          <w:sz w:val="20"/>
          <w:szCs w:val="20"/>
          <w:lang w:val="en-GB"/>
        </w:rPr>
        <w:t xml:space="preserve"> </w:t>
      </w:r>
      <w:r w:rsidRPr="00BE6B68">
        <w:rPr>
          <w:sz w:val="20"/>
          <w:szCs w:val="20"/>
          <w:lang w:val="en-GB"/>
        </w:rPr>
        <w:t xml:space="preserve">Czech broadband network is </w:t>
      </w:r>
      <w:r w:rsidRPr="00565934">
        <w:rPr>
          <w:sz w:val="20"/>
          <w:szCs w:val="20"/>
          <w:lang w:val="en-GB"/>
        </w:rPr>
        <w:t>becoming increasingly faster. At the end of 2016, over 44% of subscribers in the Czech Republic accessed the internet via fixed network</w:t>
      </w:r>
      <w:r w:rsidRPr="00BE6B68">
        <w:rPr>
          <w:sz w:val="20"/>
          <w:szCs w:val="20"/>
          <w:lang w:val="en-GB"/>
        </w:rPr>
        <w:t>, by</w:t>
      </w:r>
      <w:r>
        <w:rPr>
          <w:sz w:val="20"/>
          <w:szCs w:val="20"/>
          <w:lang w:val="en-GB"/>
        </w:rPr>
        <w:t> </w:t>
      </w:r>
      <w:r w:rsidRPr="00BE6B68">
        <w:rPr>
          <w:sz w:val="20"/>
          <w:szCs w:val="20"/>
          <w:lang w:val="en-GB"/>
        </w:rPr>
        <w:t xml:space="preserve">means of technology with </w:t>
      </w:r>
      <w:r w:rsidRPr="00BE6B68">
        <w:rPr>
          <w:b/>
          <w:sz w:val="20"/>
          <w:szCs w:val="20"/>
          <w:lang w:val="en-GB"/>
        </w:rPr>
        <w:t>advertised speed over 30 Mb/s</w:t>
      </w:r>
      <w:r w:rsidRPr="00BE6B68">
        <w:rPr>
          <w:sz w:val="20"/>
          <w:szCs w:val="20"/>
          <w:lang w:val="en-GB"/>
        </w:rPr>
        <w:t>, which is a significant increase compared to</w:t>
      </w:r>
      <w:r>
        <w:rPr>
          <w:sz w:val="20"/>
          <w:szCs w:val="20"/>
          <w:lang w:val="en-GB"/>
        </w:rPr>
        <w:t> </w:t>
      </w:r>
      <w:r w:rsidRPr="00BE6B68">
        <w:rPr>
          <w:sz w:val="20"/>
          <w:szCs w:val="20"/>
          <w:lang w:val="en-GB"/>
        </w:rPr>
        <w:t>21% in 2012. In the year 2016, 680 thousand citizens and enterprises (subscribers) could use the internet access within the fixed network, enabling the speed of 100 Mbit data per second, compared to</w:t>
      </w:r>
      <w:r>
        <w:rPr>
          <w:sz w:val="20"/>
          <w:szCs w:val="20"/>
          <w:lang w:val="en-GB"/>
        </w:rPr>
        <w:t> </w:t>
      </w:r>
      <w:r w:rsidRPr="00BE6B68">
        <w:rPr>
          <w:sz w:val="20"/>
          <w:szCs w:val="20"/>
          <w:lang w:val="en-GB"/>
        </w:rPr>
        <w:t>40</w:t>
      </w:r>
      <w:r>
        <w:rPr>
          <w:sz w:val="20"/>
          <w:szCs w:val="20"/>
          <w:lang w:val="en-GB"/>
        </w:rPr>
        <w:t> </w:t>
      </w:r>
      <w:r w:rsidRPr="00BE6B68">
        <w:rPr>
          <w:sz w:val="20"/>
          <w:szCs w:val="20"/>
          <w:lang w:val="en-GB"/>
        </w:rPr>
        <w:t xml:space="preserve">thousand in 2012. </w:t>
      </w:r>
    </w:p>
    <w:p w:rsidR="00874476" w:rsidRPr="00970B85" w:rsidRDefault="00874476" w:rsidP="00874476">
      <w:pPr>
        <w:pStyle w:val="Zkladntext"/>
        <w:spacing w:before="0" w:after="100" w:line="264" w:lineRule="auto"/>
        <w:rPr>
          <w:sz w:val="20"/>
          <w:szCs w:val="20"/>
          <w:lang w:val="en-GB"/>
        </w:rPr>
      </w:pPr>
      <w:r w:rsidRPr="00970B85">
        <w:rPr>
          <w:noProof/>
        </w:rPr>
        <w:drawing>
          <wp:inline distT="0" distB="0" distL="0" distR="0" wp14:anchorId="0C2862FB" wp14:editId="0469E977">
            <wp:extent cx="3152775" cy="2880000"/>
            <wp:effectExtent l="0" t="0" r="0" b="0"/>
            <wp:docPr id="54" name="Graf 5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70B85">
        <w:rPr>
          <w:noProof/>
          <w:sz w:val="20"/>
          <w:szCs w:val="20"/>
          <w:lang w:val="en-GB"/>
        </w:rPr>
        <w:t xml:space="preserve"> </w:t>
      </w:r>
      <w:r w:rsidRPr="00970B85">
        <w:rPr>
          <w:noProof/>
        </w:rPr>
        <w:drawing>
          <wp:inline distT="0" distB="0" distL="0" distR="0" wp14:anchorId="6E2E2922" wp14:editId="7BECF250">
            <wp:extent cx="2895600" cy="2880000"/>
            <wp:effectExtent l="0" t="0" r="0" b="15875"/>
            <wp:docPr id="56" name="Graf 5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4476" w:rsidRPr="00970B85" w:rsidRDefault="00874476" w:rsidP="00874476">
      <w:pPr>
        <w:pStyle w:val="Zkladntext"/>
        <w:numPr>
          <w:ilvl w:val="0"/>
          <w:numId w:val="16"/>
        </w:numPr>
        <w:spacing w:before="0" w:after="80" w:line="264" w:lineRule="auto"/>
        <w:ind w:left="284" w:hanging="284"/>
        <w:rPr>
          <w:sz w:val="20"/>
          <w:szCs w:val="20"/>
          <w:lang w:val="en-GB"/>
        </w:rPr>
        <w:sectPr w:rsidR="00874476" w:rsidRPr="00970B85" w:rsidSect="00874476">
          <w:headerReference w:type="even" r:id="rId32"/>
          <w:headerReference w:type="default" r:id="rId33"/>
          <w:footerReference w:type="even" r:id="rId34"/>
          <w:footerReference w:type="default" r:id="rId35"/>
          <w:pgSz w:w="11906" w:h="16838" w:code="9"/>
          <w:pgMar w:top="1134" w:right="1134" w:bottom="1418" w:left="1134" w:header="680" w:footer="680" w:gutter="0"/>
          <w:cols w:space="708"/>
          <w:docGrid w:linePitch="360"/>
        </w:sectPr>
      </w:pPr>
    </w:p>
    <w:p w:rsidR="00874476" w:rsidRDefault="00874476" w:rsidP="00874476">
      <w:pPr>
        <w:pStyle w:val="Zkladntext"/>
        <w:numPr>
          <w:ilvl w:val="0"/>
          <w:numId w:val="16"/>
        </w:numPr>
        <w:spacing w:before="0" w:after="80" w:line="264" w:lineRule="auto"/>
        <w:rPr>
          <w:sz w:val="20"/>
          <w:szCs w:val="20"/>
          <w:lang w:val="en-GB"/>
        </w:rPr>
        <w:sectPr w:rsidR="00874476" w:rsidSect="008C4CA2">
          <w:headerReference w:type="even" r:id="rId36"/>
          <w:headerReference w:type="default" r:id="rId37"/>
          <w:footerReference w:type="even" r:id="rId38"/>
          <w:footerReference w:type="default" r:id="rId39"/>
          <w:footerReference w:type="first" r:id="rId40"/>
          <w:type w:val="continuous"/>
          <w:pgSz w:w="11906" w:h="16838" w:code="9"/>
          <w:pgMar w:top="1134" w:right="1134" w:bottom="1418" w:left="1134" w:header="680" w:footer="680" w:gutter="0"/>
          <w:cols w:space="708"/>
          <w:docGrid w:linePitch="360"/>
        </w:sectPr>
      </w:pPr>
    </w:p>
    <w:p w:rsidR="00874476" w:rsidRPr="00BE6B68" w:rsidRDefault="00874476" w:rsidP="00874476">
      <w:pPr>
        <w:pStyle w:val="Zkladntext"/>
        <w:numPr>
          <w:ilvl w:val="0"/>
          <w:numId w:val="16"/>
        </w:numPr>
        <w:spacing w:before="0" w:after="80" w:line="264" w:lineRule="auto"/>
        <w:ind w:left="284" w:hanging="284"/>
        <w:rPr>
          <w:sz w:val="20"/>
          <w:szCs w:val="20"/>
          <w:lang w:val="en-GB"/>
        </w:rPr>
      </w:pPr>
      <w:r w:rsidRPr="00BE6B68">
        <w:rPr>
          <w:sz w:val="20"/>
          <w:szCs w:val="20"/>
          <w:lang w:val="en-GB"/>
        </w:rPr>
        <w:lastRenderedPageBreak/>
        <w:t xml:space="preserve">Distribution of fixed broadband subscriptions across speed tiers varies significantly across countries, due to </w:t>
      </w:r>
      <w:r w:rsidRPr="00565934">
        <w:rPr>
          <w:sz w:val="20"/>
          <w:szCs w:val="20"/>
          <w:lang w:val="en-GB"/>
        </w:rPr>
        <w:t>a variety of factors (e.g. level of competition, population</w:t>
      </w:r>
      <w:r w:rsidRPr="00BE6B68">
        <w:rPr>
          <w:sz w:val="20"/>
          <w:szCs w:val="20"/>
          <w:lang w:val="en-GB"/>
        </w:rPr>
        <w:t xml:space="preserve"> density in the market addressed, availability of</w:t>
      </w:r>
      <w:r>
        <w:rPr>
          <w:sz w:val="20"/>
          <w:szCs w:val="20"/>
          <w:lang w:val="en-GB"/>
        </w:rPr>
        <w:t> </w:t>
      </w:r>
      <w:r w:rsidRPr="00BE6B68">
        <w:rPr>
          <w:sz w:val="20"/>
          <w:szCs w:val="20"/>
          <w:lang w:val="en-GB"/>
        </w:rPr>
        <w:t>back-haul, type of technology most widespread, etc.).</w:t>
      </w:r>
    </w:p>
    <w:p w:rsidR="00874476" w:rsidRPr="00970B85" w:rsidRDefault="00874476" w:rsidP="00874476">
      <w:pPr>
        <w:pStyle w:val="Zkladntext"/>
        <w:numPr>
          <w:ilvl w:val="0"/>
          <w:numId w:val="16"/>
        </w:numPr>
        <w:spacing w:before="0" w:after="80" w:line="264" w:lineRule="auto"/>
        <w:ind w:left="284" w:hanging="284"/>
        <w:rPr>
          <w:sz w:val="20"/>
          <w:szCs w:val="20"/>
          <w:lang w:val="en-GB"/>
        </w:rPr>
      </w:pPr>
      <w:r w:rsidRPr="00970B85">
        <w:rPr>
          <w:sz w:val="20"/>
          <w:szCs w:val="20"/>
          <w:lang w:val="en-GB"/>
        </w:rPr>
        <w:t xml:space="preserve">When comparing the number of subscribers to fixed high-speed internet </w:t>
      </w:r>
      <w:r w:rsidRPr="00970B85">
        <w:rPr>
          <w:b/>
          <w:sz w:val="20"/>
          <w:szCs w:val="20"/>
          <w:lang w:val="en-GB"/>
        </w:rPr>
        <w:t>with advertised speed of</w:t>
      </w:r>
      <w:r>
        <w:rPr>
          <w:b/>
          <w:sz w:val="20"/>
          <w:szCs w:val="20"/>
          <w:lang w:val="en-GB"/>
        </w:rPr>
        <w:t> </w:t>
      </w:r>
      <w:r w:rsidRPr="00970B85">
        <w:rPr>
          <w:b/>
          <w:sz w:val="20"/>
          <w:szCs w:val="20"/>
          <w:lang w:val="en-GB"/>
        </w:rPr>
        <w:t>at</w:t>
      </w:r>
      <w:r>
        <w:rPr>
          <w:b/>
          <w:sz w:val="20"/>
          <w:szCs w:val="20"/>
          <w:lang w:val="en-GB"/>
        </w:rPr>
        <w:t> </w:t>
      </w:r>
      <w:r w:rsidRPr="00970B85">
        <w:rPr>
          <w:b/>
          <w:sz w:val="20"/>
          <w:szCs w:val="20"/>
          <w:lang w:val="en-GB"/>
        </w:rPr>
        <w:t xml:space="preserve">least 100 Mb/s </w:t>
      </w:r>
      <w:r w:rsidRPr="00970B85">
        <w:rPr>
          <w:sz w:val="20"/>
          <w:szCs w:val="20"/>
          <w:lang w:val="en-GB"/>
        </w:rPr>
        <w:t>per 100 inhabitants in EU countries between the years 2013 and 2016, a great increase in values is evident – whereas in 2013 the EU average amounted to 1.6 subscribers per 100 inhabitants, in 2016 the number was already 5.9 subscribers (i.e. a fourfold increase). Since 2015, the</w:t>
      </w:r>
      <w:r>
        <w:rPr>
          <w:sz w:val="20"/>
          <w:szCs w:val="20"/>
          <w:lang w:val="en-GB"/>
        </w:rPr>
        <w:t> </w:t>
      </w:r>
      <w:r w:rsidRPr="00970B85">
        <w:rPr>
          <w:sz w:val="20"/>
          <w:szCs w:val="20"/>
          <w:lang w:val="en-GB"/>
        </w:rPr>
        <w:t xml:space="preserve">Czech Republic has recorded a significant increase in values; by the end of 2016 it exceeded the EU average with its 6 subscribers per 100 inhabitants. The best values have been recorded </w:t>
      </w:r>
      <w:r>
        <w:rPr>
          <w:sz w:val="20"/>
          <w:szCs w:val="20"/>
          <w:lang w:val="en-GB"/>
        </w:rPr>
        <w:t>in</w:t>
      </w:r>
      <w:r w:rsidRPr="00970B85">
        <w:rPr>
          <w:sz w:val="20"/>
          <w:szCs w:val="20"/>
          <w:lang w:val="en-GB"/>
        </w:rPr>
        <w:t xml:space="preserve"> Sweden</w:t>
      </w:r>
      <w:r>
        <w:rPr>
          <w:sz w:val="20"/>
          <w:szCs w:val="20"/>
          <w:lang w:val="en-GB"/>
        </w:rPr>
        <w:t>,</w:t>
      </w:r>
      <w:r w:rsidRPr="00970B85">
        <w:rPr>
          <w:sz w:val="20"/>
          <w:szCs w:val="20"/>
          <w:lang w:val="en-GB"/>
        </w:rPr>
        <w:t xml:space="preserve"> where there are 22.1 </w:t>
      </w:r>
      <w:r>
        <w:rPr>
          <w:sz w:val="20"/>
          <w:szCs w:val="20"/>
          <w:lang w:val="en-GB"/>
        </w:rPr>
        <w:t xml:space="preserve">fixed broadband </w:t>
      </w:r>
      <w:r w:rsidRPr="00970B85">
        <w:rPr>
          <w:sz w:val="20"/>
          <w:szCs w:val="20"/>
          <w:lang w:val="en-GB"/>
        </w:rPr>
        <w:t>subscribers per 100 inhabitants with advertised speed of at least 100 Mb/s</w:t>
      </w:r>
      <w:r>
        <w:rPr>
          <w:sz w:val="20"/>
          <w:szCs w:val="20"/>
          <w:lang w:val="en-GB"/>
        </w:rPr>
        <w:t>.</w:t>
      </w:r>
      <w:r w:rsidRPr="00970B85">
        <w:rPr>
          <w:sz w:val="20"/>
          <w:szCs w:val="20"/>
          <w:lang w:val="en-GB"/>
        </w:rPr>
        <w:t xml:space="preserve"> </w:t>
      </w:r>
    </w:p>
    <w:p w:rsidR="00874476" w:rsidRPr="00970B85" w:rsidRDefault="00874476" w:rsidP="00874476">
      <w:pPr>
        <w:pStyle w:val="Zkladntext"/>
        <w:spacing w:before="0" w:after="100" w:line="264" w:lineRule="auto"/>
        <w:rPr>
          <w:sz w:val="20"/>
          <w:szCs w:val="20"/>
          <w:lang w:val="en-GB"/>
        </w:rPr>
      </w:pPr>
      <w:r>
        <w:rPr>
          <w:noProof/>
        </w:rPr>
        <w:drawing>
          <wp:inline distT="0" distB="0" distL="0" distR="0" wp14:anchorId="4C18D5BB" wp14:editId="6FCC4BB6">
            <wp:extent cx="5972810" cy="3420000"/>
            <wp:effectExtent l="0" t="0" r="0" b="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4476" w:rsidRPr="00970B85" w:rsidRDefault="00874476" w:rsidP="00874476">
      <w:pPr>
        <w:pStyle w:val="Nadpis3"/>
      </w:pPr>
      <w:bookmarkStart w:id="17" w:name="_Toc533697486"/>
      <w:bookmarkStart w:id="18" w:name="_Toc534711985"/>
      <w:r>
        <w:t>Mobile broadband penetration – Subscriptions by type of mobile connection</w:t>
      </w:r>
      <w:bookmarkEnd w:id="17"/>
      <w:bookmarkEnd w:id="18"/>
    </w:p>
    <w:p w:rsidR="00874476" w:rsidRDefault="00874476" w:rsidP="00874476">
      <w:pPr>
        <w:pStyle w:val="Zkladntext"/>
        <w:spacing w:before="0" w:after="80" w:line="264" w:lineRule="auto"/>
        <w:rPr>
          <w:i/>
          <w:sz w:val="20"/>
          <w:lang w:val="en-GB"/>
        </w:rPr>
      </w:pPr>
      <w:r w:rsidRPr="00C43C03">
        <w:rPr>
          <w:i/>
          <w:sz w:val="20"/>
          <w:lang w:val="en-GB"/>
        </w:rPr>
        <w:t>The function of the mobile phone has changed significantly. Up until a few years ago, the telephone was primarily used as a device for making telephone calls and sending/receiving text messages. Since the</w:t>
      </w:r>
      <w:r>
        <w:rPr>
          <w:i/>
          <w:sz w:val="20"/>
          <w:lang w:val="en-GB"/>
        </w:rPr>
        <w:t> </w:t>
      </w:r>
      <w:r w:rsidRPr="00C43C03">
        <w:rPr>
          <w:i/>
          <w:sz w:val="20"/>
          <w:lang w:val="en-GB"/>
        </w:rPr>
        <w:t>appearance of the smartphone many people use the telephone primarily for accessing the internet. As a</w:t>
      </w:r>
      <w:r>
        <w:rPr>
          <w:i/>
          <w:sz w:val="20"/>
          <w:lang w:val="en-GB"/>
        </w:rPr>
        <w:t> </w:t>
      </w:r>
      <w:r w:rsidRPr="00C43C03">
        <w:rPr>
          <w:i/>
          <w:sz w:val="20"/>
          <w:lang w:val="en-GB"/>
        </w:rPr>
        <w:t>result, mobile connections are now processing far more data traffic</w:t>
      </w:r>
      <w:r>
        <w:rPr>
          <w:i/>
          <w:sz w:val="20"/>
          <w:lang w:val="en-GB"/>
        </w:rPr>
        <w:t>.</w:t>
      </w:r>
      <w:r w:rsidRPr="00C43C03">
        <w:rPr>
          <w:i/>
          <w:sz w:val="20"/>
          <w:lang w:val="en-GB"/>
        </w:rPr>
        <w:t xml:space="preserve"> </w:t>
      </w:r>
    </w:p>
    <w:p w:rsidR="00874476" w:rsidRDefault="00874476" w:rsidP="00874476">
      <w:pPr>
        <w:pStyle w:val="Zkladntext"/>
        <w:spacing w:before="0" w:after="80" w:line="264" w:lineRule="auto"/>
        <w:rPr>
          <w:i/>
          <w:sz w:val="20"/>
          <w:lang w:val="en-GB"/>
        </w:rPr>
      </w:pPr>
      <w:r w:rsidRPr="00136F03">
        <w:rPr>
          <w:i/>
          <w:sz w:val="20"/>
          <w:lang w:val="en-GB"/>
        </w:rPr>
        <w:t>According to ITU, at the end of 201</w:t>
      </w:r>
      <w:r>
        <w:rPr>
          <w:i/>
          <w:sz w:val="20"/>
          <w:lang w:val="en-GB"/>
        </w:rPr>
        <w:t>7</w:t>
      </w:r>
      <w:r w:rsidRPr="00136F03">
        <w:rPr>
          <w:i/>
          <w:sz w:val="20"/>
          <w:lang w:val="en-GB"/>
        </w:rPr>
        <w:t xml:space="preserve">, there were, throughout the world, approximately four times more active mobile broadband subscriptions than fixed broadband subscriptions. </w:t>
      </w:r>
      <w:r w:rsidRPr="00B50B0C">
        <w:rPr>
          <w:i/>
          <w:sz w:val="20"/>
          <w:lang w:val="en-GB"/>
        </w:rPr>
        <w:t>Growth in mobile broadband subscriptions has far outstripped fixed broadband growth since 2010, with worldwide subscriptions increasing from 825 million in 2010 to 4</w:t>
      </w:r>
      <w:r>
        <w:rPr>
          <w:i/>
          <w:sz w:val="20"/>
          <w:lang w:val="en-GB"/>
        </w:rPr>
        <w:t>.</w:t>
      </w:r>
      <w:r w:rsidRPr="00B50B0C">
        <w:rPr>
          <w:i/>
          <w:sz w:val="20"/>
          <w:lang w:val="en-GB"/>
        </w:rPr>
        <w:t>6 million in 2017 and representing 82% of all broadband access paths in the world</w:t>
      </w:r>
      <w:r>
        <w:rPr>
          <w:i/>
          <w:sz w:val="20"/>
          <w:lang w:val="en-GB"/>
        </w:rPr>
        <w:t xml:space="preserve">, </w:t>
      </w:r>
      <w:r w:rsidRPr="00136F03">
        <w:rPr>
          <w:i/>
          <w:sz w:val="20"/>
          <w:lang w:val="en-GB"/>
        </w:rPr>
        <w:t>making mobile broadband the most dynamic broadband market.</w:t>
      </w:r>
    </w:p>
    <w:p w:rsidR="00874476" w:rsidRDefault="00874476" w:rsidP="00874476">
      <w:pPr>
        <w:pStyle w:val="Zkladntext"/>
        <w:spacing w:before="0" w:after="80" w:line="264" w:lineRule="auto"/>
        <w:rPr>
          <w:i/>
          <w:sz w:val="20"/>
          <w:lang w:val="en-GB"/>
        </w:rPr>
      </w:pPr>
      <w:r w:rsidRPr="00565934">
        <w:rPr>
          <w:i/>
          <w:sz w:val="20"/>
          <w:lang w:val="en-GB"/>
        </w:rPr>
        <w:t xml:space="preserve">Mobile operators </w:t>
      </w:r>
      <w:r>
        <w:rPr>
          <w:i/>
          <w:sz w:val="20"/>
          <w:lang w:val="en-GB"/>
        </w:rPr>
        <w:t xml:space="preserve">in the Czech Republic </w:t>
      </w:r>
      <w:r w:rsidRPr="00565934">
        <w:rPr>
          <w:i/>
          <w:sz w:val="20"/>
          <w:lang w:val="en-GB"/>
        </w:rPr>
        <w:t xml:space="preserve">offered three basic types of </w:t>
      </w:r>
      <w:r>
        <w:rPr>
          <w:i/>
          <w:sz w:val="20"/>
          <w:lang w:val="en-GB"/>
        </w:rPr>
        <w:t>i</w:t>
      </w:r>
      <w:r w:rsidRPr="00565934">
        <w:rPr>
          <w:i/>
          <w:sz w:val="20"/>
          <w:lang w:val="en-GB"/>
        </w:rPr>
        <w:t>nternet access services</w:t>
      </w:r>
      <w:r>
        <w:rPr>
          <w:i/>
          <w:sz w:val="20"/>
          <w:lang w:val="en-GB"/>
        </w:rPr>
        <w:t xml:space="preserve"> i) “</w:t>
      </w:r>
      <w:r w:rsidRPr="00565934">
        <w:rPr>
          <w:i/>
          <w:sz w:val="20"/>
          <w:lang w:val="en-GB"/>
        </w:rPr>
        <w:t>Internet on</w:t>
      </w:r>
      <w:r>
        <w:rPr>
          <w:i/>
          <w:sz w:val="20"/>
          <w:lang w:val="en-GB"/>
        </w:rPr>
        <w:t> </w:t>
      </w:r>
      <w:r w:rsidRPr="00565934">
        <w:rPr>
          <w:i/>
          <w:sz w:val="20"/>
          <w:lang w:val="en-GB"/>
        </w:rPr>
        <w:t>a</w:t>
      </w:r>
      <w:r>
        <w:rPr>
          <w:i/>
          <w:sz w:val="20"/>
          <w:lang w:val="en-GB"/>
        </w:rPr>
        <w:t> M</w:t>
      </w:r>
      <w:r w:rsidRPr="00565934">
        <w:rPr>
          <w:i/>
          <w:sz w:val="20"/>
          <w:lang w:val="en-GB"/>
        </w:rPr>
        <w:t xml:space="preserve">obile </w:t>
      </w:r>
      <w:r>
        <w:rPr>
          <w:i/>
          <w:sz w:val="20"/>
          <w:lang w:val="en-GB"/>
        </w:rPr>
        <w:t>T</w:t>
      </w:r>
      <w:r w:rsidRPr="00565934">
        <w:rPr>
          <w:i/>
          <w:sz w:val="20"/>
          <w:lang w:val="en-GB"/>
        </w:rPr>
        <w:t>elephone</w:t>
      </w:r>
      <w:r>
        <w:rPr>
          <w:i/>
          <w:sz w:val="20"/>
          <w:lang w:val="en-GB"/>
        </w:rPr>
        <w:t>”</w:t>
      </w:r>
      <w:r w:rsidRPr="00565934">
        <w:rPr>
          <w:i/>
          <w:sz w:val="20"/>
          <w:lang w:val="en-GB"/>
        </w:rPr>
        <w:t xml:space="preserve"> (used in mobile phones and smart phones),</w:t>
      </w:r>
      <w:r>
        <w:rPr>
          <w:i/>
          <w:sz w:val="20"/>
          <w:lang w:val="en-GB"/>
        </w:rPr>
        <w:t xml:space="preserve"> ii)</w:t>
      </w:r>
      <w:r w:rsidRPr="00565934">
        <w:rPr>
          <w:i/>
          <w:sz w:val="20"/>
          <w:lang w:val="en-GB"/>
        </w:rPr>
        <w:t xml:space="preserve"> </w:t>
      </w:r>
      <w:r>
        <w:rPr>
          <w:i/>
          <w:sz w:val="20"/>
          <w:lang w:val="en-GB"/>
        </w:rPr>
        <w:t>“M</w:t>
      </w:r>
      <w:r w:rsidRPr="00565934">
        <w:rPr>
          <w:i/>
          <w:sz w:val="20"/>
          <w:lang w:val="en-GB"/>
        </w:rPr>
        <w:t>obile Internet</w:t>
      </w:r>
      <w:r>
        <w:rPr>
          <w:i/>
          <w:sz w:val="20"/>
          <w:lang w:val="en-GB"/>
        </w:rPr>
        <w:t>”</w:t>
      </w:r>
      <w:r w:rsidRPr="00565934">
        <w:rPr>
          <w:i/>
          <w:sz w:val="20"/>
          <w:lang w:val="en-GB"/>
        </w:rPr>
        <w:t xml:space="preserve">, which is intended for portable devices (tablets, notebooks) with the use of a separate data SIM card, </w:t>
      </w:r>
      <w:r>
        <w:rPr>
          <w:i/>
          <w:sz w:val="20"/>
          <w:lang w:val="en-GB"/>
        </w:rPr>
        <w:t xml:space="preserve">iii) </w:t>
      </w:r>
      <w:r w:rsidRPr="00565934">
        <w:rPr>
          <w:i/>
          <w:sz w:val="20"/>
          <w:lang w:val="en-GB"/>
        </w:rPr>
        <w:t>and also services of</w:t>
      </w:r>
      <w:r>
        <w:rPr>
          <w:i/>
          <w:sz w:val="20"/>
          <w:lang w:val="en-GB"/>
        </w:rPr>
        <w:t> </w:t>
      </w:r>
      <w:r w:rsidRPr="00565934">
        <w:rPr>
          <w:i/>
          <w:sz w:val="20"/>
          <w:lang w:val="en-GB"/>
        </w:rPr>
        <w:t xml:space="preserve">high-speed </w:t>
      </w:r>
      <w:r>
        <w:rPr>
          <w:i/>
          <w:sz w:val="20"/>
          <w:lang w:val="en-GB"/>
        </w:rPr>
        <w:t>i</w:t>
      </w:r>
      <w:r w:rsidRPr="00565934">
        <w:rPr>
          <w:i/>
          <w:sz w:val="20"/>
          <w:lang w:val="en-GB"/>
        </w:rPr>
        <w:t>nternet access at a fixed location which are provided via SIM cards in mobile networks.</w:t>
      </w:r>
    </w:p>
    <w:p w:rsidR="00874476" w:rsidRPr="00970B85" w:rsidRDefault="00874476" w:rsidP="00874476">
      <w:pPr>
        <w:pStyle w:val="Zkladntext"/>
        <w:numPr>
          <w:ilvl w:val="0"/>
          <w:numId w:val="17"/>
        </w:numPr>
        <w:spacing w:before="0" w:after="80" w:line="264" w:lineRule="auto"/>
        <w:ind w:left="341" w:hanging="284"/>
        <w:rPr>
          <w:sz w:val="20"/>
          <w:szCs w:val="20"/>
          <w:lang w:val="en-GB"/>
        </w:rPr>
      </w:pPr>
      <w:r w:rsidRPr="00970B85">
        <w:rPr>
          <w:sz w:val="20"/>
          <w:szCs w:val="20"/>
          <w:lang w:val="en-GB"/>
        </w:rPr>
        <w:t>The most frequent means of high-speed internet connection</w:t>
      </w:r>
      <w:r>
        <w:rPr>
          <w:sz w:val="20"/>
          <w:szCs w:val="20"/>
          <w:lang w:val="en-GB"/>
        </w:rPr>
        <w:t>,</w:t>
      </w:r>
      <w:r w:rsidRPr="00970B85">
        <w:rPr>
          <w:sz w:val="20"/>
          <w:szCs w:val="20"/>
          <w:lang w:val="en-GB"/>
        </w:rPr>
        <w:t xml:space="preserve"> in the Czech Republic</w:t>
      </w:r>
      <w:r>
        <w:rPr>
          <w:sz w:val="20"/>
          <w:szCs w:val="20"/>
          <w:lang w:val="en-GB"/>
        </w:rPr>
        <w:t>,</w:t>
      </w:r>
      <w:r w:rsidRPr="00970B85">
        <w:rPr>
          <w:sz w:val="20"/>
          <w:szCs w:val="20"/>
          <w:lang w:val="en-GB"/>
        </w:rPr>
        <w:t xml:space="preserve"> is </w:t>
      </w:r>
      <w:r>
        <w:rPr>
          <w:sz w:val="20"/>
          <w:szCs w:val="20"/>
          <w:lang w:val="en-GB"/>
        </w:rPr>
        <w:t xml:space="preserve">nowadays </w:t>
      </w:r>
      <w:r w:rsidRPr="00970B85">
        <w:rPr>
          <w:sz w:val="20"/>
          <w:szCs w:val="20"/>
          <w:lang w:val="en-GB"/>
        </w:rPr>
        <w:t>via</w:t>
      </w:r>
      <w:r>
        <w:rPr>
          <w:sz w:val="20"/>
          <w:szCs w:val="20"/>
          <w:lang w:val="en-GB"/>
        </w:rPr>
        <w:t> </w:t>
      </w:r>
      <w:r w:rsidRPr="00970B85">
        <w:rPr>
          <w:sz w:val="20"/>
          <w:szCs w:val="20"/>
          <w:lang w:val="en-GB"/>
        </w:rPr>
        <w:t>mobile networks</w:t>
      </w:r>
      <w:r>
        <w:rPr>
          <w:sz w:val="20"/>
          <w:szCs w:val="20"/>
          <w:lang w:val="en-GB"/>
        </w:rPr>
        <w:t xml:space="preserve"> – mobile broadband. </w:t>
      </w:r>
      <w:r w:rsidRPr="00970B85">
        <w:rPr>
          <w:sz w:val="20"/>
          <w:szCs w:val="20"/>
          <w:lang w:val="en-GB"/>
        </w:rPr>
        <w:t xml:space="preserve">At the end of 2016, there were </w:t>
      </w:r>
      <w:r>
        <w:rPr>
          <w:sz w:val="20"/>
          <w:szCs w:val="20"/>
          <w:lang w:val="en-GB"/>
        </w:rPr>
        <w:t>recorded</w:t>
      </w:r>
      <w:r w:rsidRPr="00970B85">
        <w:rPr>
          <w:sz w:val="20"/>
          <w:szCs w:val="20"/>
          <w:lang w:val="en-GB"/>
        </w:rPr>
        <w:t xml:space="preserve"> 8.5 million SIM </w:t>
      </w:r>
      <w:r>
        <w:rPr>
          <w:sz w:val="20"/>
          <w:szCs w:val="20"/>
          <w:lang w:val="en-GB"/>
        </w:rPr>
        <w:t xml:space="preserve">or data </w:t>
      </w:r>
      <w:r w:rsidRPr="00970B85">
        <w:rPr>
          <w:sz w:val="20"/>
          <w:szCs w:val="20"/>
          <w:lang w:val="en-GB"/>
        </w:rPr>
        <w:t xml:space="preserve">cards serving for high-speed </w:t>
      </w:r>
      <w:r w:rsidRPr="00970B85">
        <w:rPr>
          <w:b/>
          <w:sz w:val="20"/>
          <w:szCs w:val="20"/>
          <w:lang w:val="en-GB"/>
        </w:rPr>
        <w:t>mobile internet access</w:t>
      </w:r>
      <w:r>
        <w:rPr>
          <w:b/>
          <w:sz w:val="20"/>
          <w:szCs w:val="20"/>
          <w:lang w:val="en-GB"/>
        </w:rPr>
        <w:t xml:space="preserve"> </w:t>
      </w:r>
      <w:r w:rsidRPr="00970B85">
        <w:rPr>
          <w:sz w:val="20"/>
          <w:szCs w:val="20"/>
          <w:lang w:val="en-GB"/>
        </w:rPr>
        <w:t xml:space="preserve">– in 2012 </w:t>
      </w:r>
      <w:r>
        <w:rPr>
          <w:sz w:val="20"/>
          <w:szCs w:val="20"/>
          <w:lang w:val="en-GB"/>
        </w:rPr>
        <w:t xml:space="preserve">it </w:t>
      </w:r>
      <w:r w:rsidRPr="00970B85">
        <w:rPr>
          <w:sz w:val="20"/>
          <w:szCs w:val="20"/>
          <w:lang w:val="en-GB"/>
        </w:rPr>
        <w:t>was 4.6 million. As opposed to th</w:t>
      </w:r>
      <w:r>
        <w:rPr>
          <w:sz w:val="20"/>
          <w:szCs w:val="20"/>
          <w:lang w:val="en-GB"/>
        </w:rPr>
        <w:t>is</w:t>
      </w:r>
      <w:r w:rsidRPr="00970B85">
        <w:rPr>
          <w:sz w:val="20"/>
          <w:szCs w:val="20"/>
          <w:lang w:val="en-GB"/>
        </w:rPr>
        <w:t>, in</w:t>
      </w:r>
      <w:r>
        <w:rPr>
          <w:sz w:val="20"/>
          <w:szCs w:val="20"/>
          <w:lang w:val="en-GB"/>
        </w:rPr>
        <w:t> </w:t>
      </w:r>
      <w:r w:rsidRPr="00970B85">
        <w:rPr>
          <w:sz w:val="20"/>
          <w:szCs w:val="20"/>
          <w:lang w:val="en-GB"/>
        </w:rPr>
        <w:t xml:space="preserve">2016 the aforementioned 3 million </w:t>
      </w:r>
      <w:r>
        <w:rPr>
          <w:sz w:val="20"/>
          <w:szCs w:val="20"/>
          <w:lang w:val="en-GB"/>
        </w:rPr>
        <w:t xml:space="preserve">subscriptions </w:t>
      </w:r>
      <w:r w:rsidRPr="00970B85">
        <w:rPr>
          <w:sz w:val="20"/>
          <w:szCs w:val="20"/>
          <w:lang w:val="en-GB"/>
        </w:rPr>
        <w:t xml:space="preserve">were used for </w:t>
      </w:r>
      <w:r>
        <w:rPr>
          <w:sz w:val="20"/>
          <w:szCs w:val="20"/>
          <w:lang w:val="en-GB"/>
        </w:rPr>
        <w:t>fixed broadband</w:t>
      </w:r>
      <w:r w:rsidRPr="00970B85">
        <w:rPr>
          <w:sz w:val="20"/>
          <w:szCs w:val="20"/>
          <w:lang w:val="en-GB"/>
        </w:rPr>
        <w:t xml:space="preserve"> connection.</w:t>
      </w:r>
    </w:p>
    <w:p w:rsidR="00874476" w:rsidRPr="00970B85" w:rsidRDefault="00874476" w:rsidP="0087447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Up until the year 2011, the access to </w:t>
      </w:r>
      <w:r w:rsidRPr="00970B85">
        <w:rPr>
          <w:b/>
          <w:sz w:val="20"/>
          <w:szCs w:val="20"/>
          <w:lang w:val="en-GB"/>
        </w:rPr>
        <w:t>mobile internet</w:t>
      </w:r>
      <w:r w:rsidRPr="00970B85">
        <w:rPr>
          <w:sz w:val="20"/>
          <w:szCs w:val="20"/>
          <w:lang w:val="en-GB"/>
        </w:rPr>
        <w:t xml:space="preserve"> in the Czech Republic was mainly realised as</w:t>
      </w:r>
      <w:r>
        <w:rPr>
          <w:sz w:val="20"/>
          <w:szCs w:val="20"/>
          <w:lang w:val="en-GB"/>
        </w:rPr>
        <w:t> </w:t>
      </w:r>
      <w:r w:rsidRPr="00970B85">
        <w:rPr>
          <w:b/>
          <w:sz w:val="20"/>
          <w:szCs w:val="20"/>
          <w:lang w:val="en-GB"/>
        </w:rPr>
        <w:t xml:space="preserve">temporary </w:t>
      </w:r>
      <w:r>
        <w:rPr>
          <w:b/>
          <w:sz w:val="20"/>
          <w:szCs w:val="20"/>
          <w:lang w:val="en-GB"/>
        </w:rPr>
        <w:t>“</w:t>
      </w:r>
      <w:r w:rsidRPr="0008716B">
        <w:rPr>
          <w:b/>
          <w:sz w:val="20"/>
          <w:szCs w:val="20"/>
          <w:lang w:val="en-GB"/>
        </w:rPr>
        <w:t>ad-hoc</w:t>
      </w:r>
      <w:r>
        <w:rPr>
          <w:b/>
          <w:sz w:val="20"/>
          <w:szCs w:val="20"/>
          <w:lang w:val="en-GB"/>
        </w:rPr>
        <w:t>”</w:t>
      </w:r>
      <w:r w:rsidRPr="0008716B">
        <w:rPr>
          <w:b/>
          <w:sz w:val="20"/>
          <w:szCs w:val="20"/>
          <w:lang w:val="en-GB"/>
        </w:rPr>
        <w:t xml:space="preserve"> access</w:t>
      </w:r>
      <w:r w:rsidRPr="00970B85">
        <w:rPr>
          <w:sz w:val="20"/>
          <w:szCs w:val="20"/>
          <w:lang w:val="en-GB"/>
        </w:rPr>
        <w:t xml:space="preserve"> within the standard voice and data services. Since 2012</w:t>
      </w:r>
      <w:r>
        <w:rPr>
          <w:sz w:val="20"/>
          <w:szCs w:val="20"/>
          <w:lang w:val="en-GB"/>
        </w:rPr>
        <w:t>,</w:t>
      </w:r>
      <w:r w:rsidRPr="00970B85">
        <w:rPr>
          <w:sz w:val="20"/>
          <w:szCs w:val="20"/>
          <w:lang w:val="en-GB"/>
        </w:rPr>
        <w:t xml:space="preserve"> the prevailing </w:t>
      </w:r>
      <w:r w:rsidRPr="00970B85">
        <w:rPr>
          <w:sz w:val="20"/>
          <w:szCs w:val="20"/>
          <w:lang w:val="en-GB"/>
        </w:rPr>
        <w:lastRenderedPageBreak/>
        <w:t xml:space="preserve">access provided within monthly tariffs has been the </w:t>
      </w:r>
      <w:r w:rsidRPr="00970B85">
        <w:rPr>
          <w:b/>
          <w:sz w:val="20"/>
          <w:szCs w:val="20"/>
          <w:lang w:val="en-GB"/>
        </w:rPr>
        <w:t>permanent</w:t>
      </w:r>
      <w:r w:rsidRPr="00970B85">
        <w:rPr>
          <w:sz w:val="20"/>
          <w:szCs w:val="20"/>
          <w:lang w:val="en-GB"/>
        </w:rPr>
        <w:t xml:space="preserve"> </w:t>
      </w:r>
      <w:r w:rsidRPr="0008716B">
        <w:rPr>
          <w:b/>
          <w:sz w:val="20"/>
          <w:szCs w:val="20"/>
          <w:lang w:val="en-GB"/>
        </w:rPr>
        <w:t>access</w:t>
      </w:r>
      <w:r w:rsidRPr="00970B85">
        <w:rPr>
          <w:sz w:val="20"/>
          <w:szCs w:val="20"/>
          <w:lang w:val="en-GB"/>
        </w:rPr>
        <w:t>. In 2016 this option was used by</w:t>
      </w:r>
      <w:r>
        <w:rPr>
          <w:sz w:val="20"/>
          <w:szCs w:val="20"/>
          <w:lang w:val="en-GB"/>
        </w:rPr>
        <w:t> </w:t>
      </w:r>
      <w:r w:rsidRPr="00970B85">
        <w:rPr>
          <w:sz w:val="20"/>
          <w:szCs w:val="20"/>
          <w:lang w:val="en-GB"/>
        </w:rPr>
        <w:t>6.6 million subscribers as opposed to 1.9 million those using the ad-hoc access.</w:t>
      </w:r>
    </w:p>
    <w:p w:rsidR="00874476" w:rsidRPr="00970B85" w:rsidRDefault="00874476" w:rsidP="00874476">
      <w:pPr>
        <w:pStyle w:val="Zkladntext"/>
        <w:spacing w:before="0" w:after="100" w:line="264" w:lineRule="auto"/>
        <w:rPr>
          <w:lang w:val="en-GB"/>
        </w:rPr>
      </w:pPr>
      <w:r w:rsidRPr="00970B85">
        <w:rPr>
          <w:noProof/>
        </w:rPr>
        <w:drawing>
          <wp:inline distT="0" distB="0" distL="0" distR="0" wp14:anchorId="0B816AB9" wp14:editId="7EE7FA5E">
            <wp:extent cx="3024000" cy="2880000"/>
            <wp:effectExtent l="0" t="0" r="508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70B85">
        <w:rPr>
          <w:lang w:val="en-GB"/>
        </w:rPr>
        <w:t xml:space="preserve"> </w:t>
      </w:r>
      <w:r w:rsidRPr="00970B85">
        <w:rPr>
          <w:noProof/>
        </w:rPr>
        <w:drawing>
          <wp:inline distT="0" distB="0" distL="0" distR="0" wp14:anchorId="247CED13" wp14:editId="679FAE5E">
            <wp:extent cx="3024000" cy="2880000"/>
            <wp:effectExtent l="0" t="0" r="508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4476" w:rsidRDefault="00874476" w:rsidP="00874476">
      <w:pPr>
        <w:pStyle w:val="Zkladntext"/>
        <w:numPr>
          <w:ilvl w:val="0"/>
          <w:numId w:val="15"/>
        </w:numPr>
        <w:spacing w:before="0" w:after="80" w:line="264" w:lineRule="auto"/>
        <w:ind w:left="284" w:hanging="284"/>
        <w:rPr>
          <w:sz w:val="20"/>
          <w:szCs w:val="20"/>
          <w:lang w:val="en-GB"/>
        </w:rPr>
      </w:pPr>
      <w:r w:rsidRPr="00643633">
        <w:rPr>
          <w:sz w:val="20"/>
          <w:szCs w:val="20"/>
          <w:lang w:val="en-GB"/>
        </w:rPr>
        <w:t xml:space="preserve">Mobile broadband is often combined with a mobile telephony subscription. Such </w:t>
      </w:r>
      <w:r w:rsidRPr="00D74C98">
        <w:rPr>
          <w:b/>
          <w:sz w:val="20"/>
          <w:szCs w:val="20"/>
          <w:lang w:val="en-GB"/>
        </w:rPr>
        <w:t>“</w:t>
      </w:r>
      <w:r w:rsidRPr="007622B2">
        <w:rPr>
          <w:b/>
          <w:sz w:val="20"/>
          <w:szCs w:val="20"/>
          <w:lang w:val="en-GB"/>
        </w:rPr>
        <w:t>standard</w:t>
      </w:r>
      <w:r>
        <w:rPr>
          <w:b/>
          <w:sz w:val="20"/>
          <w:szCs w:val="20"/>
          <w:lang w:val="en-GB"/>
        </w:rPr>
        <w:t>”</w:t>
      </w:r>
      <w:r w:rsidRPr="007622B2">
        <w:rPr>
          <w:b/>
          <w:sz w:val="20"/>
          <w:szCs w:val="20"/>
          <w:lang w:val="en-GB"/>
        </w:rPr>
        <w:t xml:space="preserve"> mobile subscriptions</w:t>
      </w:r>
      <w:r>
        <w:rPr>
          <w:sz w:val="20"/>
          <w:szCs w:val="20"/>
          <w:lang w:val="en-GB"/>
        </w:rPr>
        <w:t xml:space="preserve"> (data and voice)</w:t>
      </w:r>
      <w:r w:rsidRPr="00643633">
        <w:rPr>
          <w:sz w:val="20"/>
          <w:szCs w:val="20"/>
          <w:lang w:val="en-GB"/>
        </w:rPr>
        <w:t xml:space="preserve"> are very well suited for smartphones</w:t>
      </w:r>
      <w:r>
        <w:rPr>
          <w:sz w:val="20"/>
          <w:szCs w:val="20"/>
          <w:lang w:val="en-GB"/>
        </w:rPr>
        <w:t>. In 2016 it</w:t>
      </w:r>
      <w:r w:rsidRPr="007622B2">
        <w:rPr>
          <w:sz w:val="20"/>
          <w:szCs w:val="20"/>
          <w:lang w:val="en-GB"/>
        </w:rPr>
        <w:t xml:space="preserve"> was used by 7</w:t>
      </w:r>
      <w:r>
        <w:rPr>
          <w:sz w:val="20"/>
          <w:szCs w:val="20"/>
          <w:lang w:val="en-GB"/>
        </w:rPr>
        <w:t>.</w:t>
      </w:r>
      <w:r w:rsidRPr="007622B2">
        <w:rPr>
          <w:sz w:val="20"/>
          <w:szCs w:val="20"/>
          <w:lang w:val="en-GB"/>
        </w:rPr>
        <w:t xml:space="preserve">5 million subscribers </w:t>
      </w:r>
      <w:r>
        <w:rPr>
          <w:sz w:val="20"/>
          <w:szCs w:val="20"/>
          <w:lang w:val="en-GB"/>
        </w:rPr>
        <w:t xml:space="preserve">in the Czech Republic </w:t>
      </w:r>
      <w:r w:rsidRPr="007622B2">
        <w:rPr>
          <w:sz w:val="20"/>
          <w:szCs w:val="20"/>
          <w:lang w:val="en-GB"/>
        </w:rPr>
        <w:t>of which 6</w:t>
      </w:r>
      <w:r>
        <w:rPr>
          <w:sz w:val="20"/>
          <w:szCs w:val="20"/>
          <w:lang w:val="en-GB"/>
        </w:rPr>
        <w:t>.</w:t>
      </w:r>
      <w:r w:rsidRPr="007622B2">
        <w:rPr>
          <w:sz w:val="20"/>
          <w:szCs w:val="20"/>
          <w:lang w:val="en-GB"/>
        </w:rPr>
        <w:t>6 million were using permanent access</w:t>
      </w:r>
      <w:r w:rsidRPr="00983BD5">
        <w:rPr>
          <w:sz w:val="20"/>
          <w:szCs w:val="20"/>
          <w:lang w:val="en-GB"/>
        </w:rPr>
        <w:t>.</w:t>
      </w:r>
      <w:r w:rsidRPr="00643633">
        <w:rPr>
          <w:sz w:val="20"/>
          <w:szCs w:val="20"/>
          <w:lang w:val="en-GB"/>
        </w:rPr>
        <w:t xml:space="preserve"> </w:t>
      </w:r>
      <w:r w:rsidRPr="00565934">
        <w:rPr>
          <w:sz w:val="20"/>
          <w:szCs w:val="20"/>
          <w:lang w:val="en-GB"/>
        </w:rPr>
        <w:t>The number of</w:t>
      </w:r>
      <w:r>
        <w:rPr>
          <w:sz w:val="20"/>
          <w:szCs w:val="20"/>
          <w:lang w:val="en-GB"/>
        </w:rPr>
        <w:t> </w:t>
      </w:r>
      <w:r w:rsidRPr="00565934">
        <w:rPr>
          <w:sz w:val="20"/>
          <w:szCs w:val="20"/>
          <w:lang w:val="en-GB"/>
        </w:rPr>
        <w:t xml:space="preserve">subscribers (SIM cards) using </w:t>
      </w:r>
      <w:r>
        <w:rPr>
          <w:sz w:val="20"/>
          <w:szCs w:val="20"/>
          <w:lang w:val="en-GB"/>
        </w:rPr>
        <w:t>i</w:t>
      </w:r>
      <w:r w:rsidRPr="00565934">
        <w:rPr>
          <w:sz w:val="20"/>
          <w:szCs w:val="20"/>
          <w:lang w:val="en-GB"/>
        </w:rPr>
        <w:t xml:space="preserve">nternet in </w:t>
      </w:r>
      <w:r>
        <w:rPr>
          <w:sz w:val="20"/>
          <w:szCs w:val="20"/>
          <w:lang w:val="en-GB"/>
        </w:rPr>
        <w:t>their m</w:t>
      </w:r>
      <w:r w:rsidRPr="00565934">
        <w:rPr>
          <w:sz w:val="20"/>
          <w:szCs w:val="20"/>
          <w:lang w:val="en-GB"/>
        </w:rPr>
        <w:t xml:space="preserve">obile </w:t>
      </w:r>
      <w:r>
        <w:rPr>
          <w:sz w:val="20"/>
          <w:szCs w:val="20"/>
          <w:lang w:val="en-GB"/>
        </w:rPr>
        <w:t>p</w:t>
      </w:r>
      <w:r w:rsidRPr="00565934">
        <w:rPr>
          <w:sz w:val="20"/>
          <w:szCs w:val="20"/>
          <w:lang w:val="en-GB"/>
        </w:rPr>
        <w:t>hone</w:t>
      </w:r>
      <w:r>
        <w:rPr>
          <w:sz w:val="20"/>
          <w:szCs w:val="20"/>
          <w:lang w:val="en-GB"/>
        </w:rPr>
        <w:t>s</w:t>
      </w:r>
      <w:r w:rsidRPr="00565934">
        <w:rPr>
          <w:sz w:val="20"/>
          <w:szCs w:val="20"/>
          <w:lang w:val="en-GB"/>
        </w:rPr>
        <w:t xml:space="preserve"> </w:t>
      </w:r>
      <w:r>
        <w:rPr>
          <w:sz w:val="20"/>
          <w:szCs w:val="20"/>
          <w:lang w:val="en-GB"/>
        </w:rPr>
        <w:t xml:space="preserve">is growing gradually in the Czech Republic. </w:t>
      </w:r>
      <w:r w:rsidRPr="00565934">
        <w:rPr>
          <w:sz w:val="20"/>
          <w:szCs w:val="20"/>
          <w:lang w:val="en-GB"/>
        </w:rPr>
        <w:t xml:space="preserve">This growth </w:t>
      </w:r>
      <w:r>
        <w:rPr>
          <w:sz w:val="20"/>
          <w:szCs w:val="20"/>
          <w:lang w:val="en-GB"/>
        </w:rPr>
        <w:t xml:space="preserve">– by 250 per cent since 2010 – </w:t>
      </w:r>
      <w:r w:rsidRPr="00565934">
        <w:rPr>
          <w:sz w:val="20"/>
          <w:szCs w:val="20"/>
          <w:lang w:val="en-GB"/>
        </w:rPr>
        <w:t>is attributable mainly to the expansion of LTE networks in the recent period as well as to the emergence of more attractive mobile data plans which took place (in particular within offers of network operators)</w:t>
      </w:r>
      <w:r>
        <w:rPr>
          <w:sz w:val="20"/>
          <w:szCs w:val="20"/>
          <w:lang w:val="en-GB"/>
        </w:rPr>
        <w:t xml:space="preserve"> recently.</w:t>
      </w:r>
    </w:p>
    <w:p w:rsidR="00874476" w:rsidRDefault="00874476" w:rsidP="00874476">
      <w:pPr>
        <w:pStyle w:val="Zkladntext"/>
        <w:numPr>
          <w:ilvl w:val="0"/>
          <w:numId w:val="15"/>
        </w:numPr>
        <w:spacing w:before="0" w:after="80" w:line="264" w:lineRule="auto"/>
        <w:ind w:left="284" w:hanging="284"/>
        <w:rPr>
          <w:sz w:val="20"/>
          <w:szCs w:val="20"/>
          <w:lang w:val="en-GB"/>
        </w:rPr>
      </w:pPr>
      <w:r w:rsidRPr="00643633">
        <w:rPr>
          <w:sz w:val="20"/>
          <w:szCs w:val="20"/>
          <w:lang w:val="en-GB"/>
        </w:rPr>
        <w:t xml:space="preserve">In addition, there are </w:t>
      </w:r>
      <w:r w:rsidRPr="007622B2">
        <w:rPr>
          <w:b/>
          <w:sz w:val="20"/>
          <w:szCs w:val="20"/>
          <w:lang w:val="en-GB"/>
        </w:rPr>
        <w:t>dedicated mobile data connections</w:t>
      </w:r>
      <w:r w:rsidRPr="00643633">
        <w:rPr>
          <w:sz w:val="20"/>
          <w:szCs w:val="20"/>
          <w:lang w:val="en-GB"/>
        </w:rPr>
        <w:t>: mobile broadband</w:t>
      </w:r>
      <w:r>
        <w:rPr>
          <w:sz w:val="20"/>
          <w:szCs w:val="20"/>
          <w:lang w:val="en-GB"/>
        </w:rPr>
        <w:t xml:space="preserve"> (data only)</w:t>
      </w:r>
      <w:r w:rsidRPr="00643633">
        <w:rPr>
          <w:sz w:val="20"/>
          <w:szCs w:val="20"/>
          <w:lang w:val="en-GB"/>
        </w:rPr>
        <w:t xml:space="preserve"> subscriptions that do not comprise mobile telephony. These connections are well suited for </w:t>
      </w:r>
      <w:r w:rsidRPr="007622B2">
        <w:rPr>
          <w:i/>
          <w:sz w:val="20"/>
          <w:szCs w:val="20"/>
          <w:lang w:val="en-GB"/>
        </w:rPr>
        <w:t>Mobile Internet</w:t>
      </w:r>
      <w:r w:rsidRPr="00643633">
        <w:rPr>
          <w:sz w:val="20"/>
          <w:szCs w:val="20"/>
          <w:lang w:val="en-GB"/>
        </w:rPr>
        <w:t>, for</w:t>
      </w:r>
      <w:r>
        <w:rPr>
          <w:sz w:val="20"/>
          <w:szCs w:val="20"/>
          <w:lang w:val="en-GB"/>
        </w:rPr>
        <w:t> </w:t>
      </w:r>
      <w:r w:rsidRPr="00643633">
        <w:rPr>
          <w:sz w:val="20"/>
          <w:szCs w:val="20"/>
          <w:lang w:val="en-GB"/>
        </w:rPr>
        <w:t>example on a laptop or tablet. In 201</w:t>
      </w:r>
      <w:r>
        <w:rPr>
          <w:sz w:val="20"/>
          <w:szCs w:val="20"/>
          <w:lang w:val="en-GB"/>
        </w:rPr>
        <w:t>6</w:t>
      </w:r>
      <w:r w:rsidRPr="00643633">
        <w:rPr>
          <w:sz w:val="20"/>
          <w:szCs w:val="20"/>
          <w:lang w:val="en-GB"/>
        </w:rPr>
        <w:t xml:space="preserve">, </w:t>
      </w:r>
      <w:r>
        <w:rPr>
          <w:sz w:val="20"/>
          <w:szCs w:val="20"/>
          <w:lang w:val="en-GB"/>
        </w:rPr>
        <w:t>11</w:t>
      </w:r>
      <w:r w:rsidRPr="00643633">
        <w:rPr>
          <w:sz w:val="20"/>
          <w:szCs w:val="20"/>
          <w:lang w:val="en-GB"/>
        </w:rPr>
        <w:t xml:space="preserve"> percent </w:t>
      </w:r>
      <w:r>
        <w:rPr>
          <w:sz w:val="20"/>
          <w:szCs w:val="20"/>
          <w:lang w:val="en-GB"/>
        </w:rPr>
        <w:t xml:space="preserve">(976 thousand) </w:t>
      </w:r>
      <w:r w:rsidRPr="00643633">
        <w:rPr>
          <w:sz w:val="20"/>
          <w:szCs w:val="20"/>
          <w:lang w:val="en-GB"/>
        </w:rPr>
        <w:t xml:space="preserve">of the mobile broadband connections in the </w:t>
      </w:r>
      <w:r>
        <w:rPr>
          <w:sz w:val="20"/>
          <w:szCs w:val="20"/>
          <w:lang w:val="en-GB"/>
        </w:rPr>
        <w:t xml:space="preserve">Czech Republic </w:t>
      </w:r>
      <w:r w:rsidRPr="00643633">
        <w:rPr>
          <w:sz w:val="20"/>
          <w:szCs w:val="20"/>
          <w:lang w:val="en-GB"/>
        </w:rPr>
        <w:t>w</w:t>
      </w:r>
      <w:r>
        <w:rPr>
          <w:sz w:val="20"/>
          <w:szCs w:val="20"/>
          <w:lang w:val="en-GB"/>
        </w:rPr>
        <w:t xml:space="preserve">ere </w:t>
      </w:r>
      <w:r w:rsidRPr="00643633">
        <w:rPr>
          <w:sz w:val="20"/>
          <w:szCs w:val="20"/>
          <w:lang w:val="en-GB"/>
        </w:rPr>
        <w:t>a dedicated mobile data subscription</w:t>
      </w:r>
      <w:r>
        <w:rPr>
          <w:sz w:val="20"/>
          <w:szCs w:val="20"/>
          <w:lang w:val="en-GB"/>
        </w:rPr>
        <w:t xml:space="preserve"> using a stand-alone service and USB data cards/keys/modems integrated usually into portable computers or tablets. </w:t>
      </w:r>
    </w:p>
    <w:p w:rsidR="00874476" w:rsidRDefault="00874476" w:rsidP="00874476">
      <w:pPr>
        <w:pStyle w:val="Zkladntext"/>
        <w:numPr>
          <w:ilvl w:val="0"/>
          <w:numId w:val="15"/>
        </w:numPr>
        <w:spacing w:before="0" w:after="80" w:line="264" w:lineRule="auto"/>
        <w:ind w:left="284" w:hanging="284"/>
        <w:rPr>
          <w:sz w:val="20"/>
          <w:szCs w:val="20"/>
          <w:lang w:val="en-GB"/>
        </w:rPr>
      </w:pPr>
      <w:r w:rsidRPr="00FB0502">
        <w:rPr>
          <w:sz w:val="20"/>
          <w:szCs w:val="20"/>
          <w:lang w:val="en-GB"/>
        </w:rPr>
        <w:t xml:space="preserve">A growing trend can be observed in the number of </w:t>
      </w:r>
      <w:r>
        <w:rPr>
          <w:sz w:val="20"/>
          <w:szCs w:val="20"/>
          <w:lang w:val="en-GB"/>
        </w:rPr>
        <w:t xml:space="preserve">dedicated data </w:t>
      </w:r>
      <w:r w:rsidRPr="00FB0502">
        <w:rPr>
          <w:sz w:val="20"/>
          <w:szCs w:val="20"/>
          <w:lang w:val="en-GB"/>
        </w:rPr>
        <w:t xml:space="preserve">subscribers using the services of </w:t>
      </w:r>
      <w:r w:rsidRPr="007622B2">
        <w:rPr>
          <w:i/>
          <w:sz w:val="20"/>
          <w:szCs w:val="20"/>
          <w:lang w:val="en-GB"/>
        </w:rPr>
        <w:t>Mobile Internet</w:t>
      </w:r>
      <w:r>
        <w:rPr>
          <w:sz w:val="20"/>
          <w:szCs w:val="20"/>
          <w:lang w:val="en-GB"/>
        </w:rPr>
        <w:t xml:space="preserve">. </w:t>
      </w:r>
      <w:r w:rsidRPr="00FB0502">
        <w:rPr>
          <w:sz w:val="20"/>
          <w:szCs w:val="20"/>
          <w:lang w:val="en-GB"/>
        </w:rPr>
        <w:t>In</w:t>
      </w:r>
      <w:r>
        <w:rPr>
          <w:sz w:val="20"/>
          <w:szCs w:val="20"/>
          <w:lang w:val="en-GB"/>
        </w:rPr>
        <w:t> </w:t>
      </w:r>
      <w:r w:rsidRPr="00FB0502">
        <w:rPr>
          <w:sz w:val="20"/>
          <w:szCs w:val="20"/>
          <w:lang w:val="en-GB"/>
        </w:rPr>
        <w:t xml:space="preserve">comparison with the service of Internet </w:t>
      </w:r>
      <w:r>
        <w:rPr>
          <w:sz w:val="20"/>
          <w:szCs w:val="20"/>
          <w:lang w:val="en-GB"/>
        </w:rPr>
        <w:t>o</w:t>
      </w:r>
      <w:r w:rsidRPr="00FB0502">
        <w:rPr>
          <w:sz w:val="20"/>
          <w:szCs w:val="20"/>
          <w:lang w:val="en-GB"/>
        </w:rPr>
        <w:t xml:space="preserve">n a Mobile Phone, however, </w:t>
      </w:r>
      <w:bookmarkStart w:id="19" w:name="_Toc528845436"/>
      <w:r>
        <w:rPr>
          <w:sz w:val="20"/>
          <w:szCs w:val="20"/>
          <w:lang w:val="en-GB"/>
        </w:rPr>
        <w:t>a </w:t>
      </w:r>
      <w:r w:rsidRPr="00FB0502">
        <w:rPr>
          <w:sz w:val="20"/>
          <w:szCs w:val="20"/>
          <w:lang w:val="en-GB"/>
        </w:rPr>
        <w:t xml:space="preserve">year-on-year growth is </w:t>
      </w:r>
      <w:r>
        <w:rPr>
          <w:sz w:val="20"/>
          <w:szCs w:val="20"/>
          <w:lang w:val="en-GB"/>
        </w:rPr>
        <w:t>slower – from 542 thousand subscriptions in 2010 to above mentioned 976 thousand in 2016 (by 180 per cent)</w:t>
      </w:r>
      <w:r w:rsidRPr="00FB0502">
        <w:rPr>
          <w:sz w:val="20"/>
          <w:szCs w:val="20"/>
          <w:lang w:val="en-GB"/>
        </w:rPr>
        <w:t>.</w:t>
      </w:r>
    </w:p>
    <w:p w:rsidR="00874476" w:rsidRDefault="00874476" w:rsidP="00874476">
      <w:pPr>
        <w:pStyle w:val="Zkladntext"/>
        <w:numPr>
          <w:ilvl w:val="0"/>
          <w:numId w:val="15"/>
        </w:numPr>
        <w:spacing w:before="0" w:after="80" w:line="264" w:lineRule="auto"/>
        <w:ind w:left="284" w:hanging="284"/>
        <w:rPr>
          <w:sz w:val="20"/>
          <w:szCs w:val="20"/>
          <w:lang w:val="en-GB"/>
        </w:rPr>
      </w:pPr>
      <w:r w:rsidRPr="00BE6B68">
        <w:rPr>
          <w:sz w:val="20"/>
          <w:szCs w:val="20"/>
          <w:lang w:val="en-GB"/>
        </w:rPr>
        <w:t>In most EU countries, mobile connectivity is undergoing major advancements through the deployment of</w:t>
      </w:r>
      <w:r>
        <w:rPr>
          <w:sz w:val="20"/>
          <w:szCs w:val="20"/>
          <w:lang w:val="en-GB"/>
        </w:rPr>
        <w:t> </w:t>
      </w:r>
      <w:r w:rsidRPr="00BE6B68">
        <w:rPr>
          <w:sz w:val="20"/>
          <w:szCs w:val="20"/>
          <w:lang w:val="en-GB"/>
        </w:rPr>
        <w:t>Long Term Evolution (LTE) networks. Mobile broadband providers are advertising download speeds at</w:t>
      </w:r>
      <w:r>
        <w:rPr>
          <w:sz w:val="20"/>
          <w:szCs w:val="20"/>
          <w:lang w:val="en-GB"/>
        </w:rPr>
        <w:t> </w:t>
      </w:r>
      <w:r w:rsidRPr="00BE6B68">
        <w:rPr>
          <w:sz w:val="20"/>
          <w:szCs w:val="20"/>
          <w:lang w:val="en-GB"/>
        </w:rPr>
        <w:t xml:space="preserve">levels increasingly closer to those of some fixed broadband offers. As a consequence, </w:t>
      </w:r>
      <w:r>
        <w:rPr>
          <w:sz w:val="20"/>
          <w:szCs w:val="20"/>
          <w:lang w:val="en-GB"/>
        </w:rPr>
        <w:t>m</w:t>
      </w:r>
      <w:r w:rsidRPr="00BE6B68">
        <w:rPr>
          <w:sz w:val="20"/>
          <w:szCs w:val="20"/>
          <w:lang w:val="en-GB"/>
        </w:rPr>
        <w:t xml:space="preserve">obile connections are now processing far more data traffic. </w:t>
      </w:r>
    </w:p>
    <w:p w:rsidR="00874476" w:rsidRPr="00BE6B68" w:rsidRDefault="00874476" w:rsidP="00874476">
      <w:pPr>
        <w:pStyle w:val="Zkladntext"/>
        <w:numPr>
          <w:ilvl w:val="0"/>
          <w:numId w:val="15"/>
        </w:numPr>
        <w:spacing w:before="0" w:after="80" w:line="264" w:lineRule="auto"/>
        <w:ind w:left="284" w:hanging="284"/>
        <w:rPr>
          <w:sz w:val="20"/>
          <w:szCs w:val="20"/>
          <w:lang w:val="en-GB"/>
        </w:rPr>
      </w:pPr>
      <w:r w:rsidRPr="00BE6B68">
        <w:rPr>
          <w:sz w:val="20"/>
          <w:szCs w:val="20"/>
          <w:lang w:val="en-GB"/>
        </w:rPr>
        <w:t xml:space="preserve">In the Czech Republic in 2016, the </w:t>
      </w:r>
      <w:r w:rsidRPr="00565934">
        <w:rPr>
          <w:sz w:val="20"/>
          <w:szCs w:val="20"/>
          <w:lang w:val="en-GB"/>
        </w:rPr>
        <w:t xml:space="preserve">average mobile data traffic </w:t>
      </w:r>
      <w:r w:rsidRPr="00FB0502">
        <w:rPr>
          <w:sz w:val="20"/>
          <w:szCs w:val="20"/>
          <w:lang w:val="en-GB"/>
        </w:rPr>
        <w:t>per one active SIM card was 983 megabytes compare to 203 megabytes five years ag</w:t>
      </w:r>
      <w:r w:rsidRPr="003445DD">
        <w:rPr>
          <w:sz w:val="20"/>
          <w:szCs w:val="20"/>
          <w:lang w:val="en-GB"/>
        </w:rPr>
        <w:t>o. However, the volume of mobile data is still only a fraction of the volume that is routed exclusively across fixed connections. The mobile internet figures do not include data traffic routed via Wi</w:t>
      </w:r>
      <w:r>
        <w:rPr>
          <w:sz w:val="20"/>
          <w:szCs w:val="20"/>
          <w:lang w:val="en-GB"/>
        </w:rPr>
        <w:t>-</w:t>
      </w:r>
      <w:r w:rsidRPr="003445DD">
        <w:rPr>
          <w:sz w:val="20"/>
          <w:szCs w:val="20"/>
          <w:lang w:val="en-GB"/>
        </w:rPr>
        <w:t>Fi. After all, Wi</w:t>
      </w:r>
      <w:r>
        <w:rPr>
          <w:sz w:val="20"/>
          <w:szCs w:val="20"/>
          <w:lang w:val="en-GB"/>
        </w:rPr>
        <w:t>-</w:t>
      </w:r>
      <w:r w:rsidRPr="00BE6B68">
        <w:rPr>
          <w:sz w:val="20"/>
          <w:szCs w:val="20"/>
          <w:lang w:val="en-GB"/>
        </w:rPr>
        <w:t>Fi does not make use of the network for</w:t>
      </w:r>
      <w:r>
        <w:rPr>
          <w:sz w:val="20"/>
          <w:szCs w:val="20"/>
          <w:lang w:val="en-GB"/>
        </w:rPr>
        <w:t> </w:t>
      </w:r>
      <w:r w:rsidRPr="00BE6B68">
        <w:rPr>
          <w:sz w:val="20"/>
          <w:szCs w:val="20"/>
          <w:lang w:val="en-GB"/>
        </w:rPr>
        <w:t>mobile data traffic.</w:t>
      </w:r>
    </w:p>
    <w:p w:rsidR="00874476" w:rsidRDefault="00874476" w:rsidP="00874476">
      <w:pPr>
        <w:pStyle w:val="Zkladntext"/>
        <w:numPr>
          <w:ilvl w:val="0"/>
          <w:numId w:val="15"/>
        </w:numPr>
        <w:spacing w:before="0" w:after="80" w:line="264" w:lineRule="auto"/>
        <w:ind w:left="284" w:hanging="284"/>
        <w:rPr>
          <w:sz w:val="20"/>
          <w:szCs w:val="20"/>
          <w:lang w:val="en-GB"/>
        </w:rPr>
      </w:pPr>
      <w:r w:rsidRPr="008D447D">
        <w:rPr>
          <w:sz w:val="20"/>
          <w:szCs w:val="20"/>
          <w:lang w:val="en-GB"/>
        </w:rPr>
        <w:t>Relative to population, mobile broadband take-up appears to be much higher than for fixed broadband</w:t>
      </w:r>
      <w:r>
        <w:rPr>
          <w:sz w:val="20"/>
          <w:szCs w:val="20"/>
          <w:lang w:val="en-GB"/>
        </w:rPr>
        <w:t xml:space="preserve">. </w:t>
      </w:r>
      <w:r w:rsidRPr="008776DE">
        <w:rPr>
          <w:sz w:val="20"/>
          <w:szCs w:val="20"/>
          <w:lang w:val="en-GB"/>
        </w:rPr>
        <w:t>In</w:t>
      </w:r>
      <w:r>
        <w:rPr>
          <w:sz w:val="20"/>
          <w:szCs w:val="20"/>
          <w:lang w:val="en-GB"/>
        </w:rPr>
        <w:t> </w:t>
      </w:r>
      <w:r w:rsidRPr="008776DE">
        <w:rPr>
          <w:sz w:val="20"/>
          <w:szCs w:val="20"/>
          <w:lang w:val="en-GB"/>
        </w:rPr>
        <w:t>2016, there were 80</w:t>
      </w:r>
      <w:r>
        <w:rPr>
          <w:sz w:val="20"/>
          <w:szCs w:val="20"/>
          <w:lang w:val="en-GB"/>
        </w:rPr>
        <w:t>.</w:t>
      </w:r>
      <w:r w:rsidRPr="008776DE">
        <w:rPr>
          <w:sz w:val="20"/>
          <w:szCs w:val="20"/>
          <w:lang w:val="en-GB"/>
        </w:rPr>
        <w:t>6 mobile broadband connections (subscriptions) per 100 inhabitants in the Czech Republic, whereas the EU average in the same year was 86.8 subscriptions.</w:t>
      </w:r>
      <w:r>
        <w:rPr>
          <w:sz w:val="20"/>
          <w:szCs w:val="20"/>
          <w:lang w:val="en-GB"/>
        </w:rPr>
        <w:t xml:space="preserve"> </w:t>
      </w:r>
      <w:r w:rsidRPr="008776DE">
        <w:rPr>
          <w:sz w:val="20"/>
          <w:szCs w:val="20"/>
          <w:lang w:val="en-GB"/>
        </w:rPr>
        <w:t>In Finland this number was 14</w:t>
      </w:r>
      <w:r w:rsidRPr="00104821">
        <w:rPr>
          <w:sz w:val="20"/>
          <w:szCs w:val="20"/>
          <w:lang w:val="en-GB"/>
        </w:rPr>
        <w:t>6. This is the highest number among EU countries. Estonia, Denmark and Sweden also have a high mobile broadband penetration rates.</w:t>
      </w:r>
    </w:p>
    <w:p w:rsidR="00874476" w:rsidRPr="008776DE" w:rsidRDefault="00874476" w:rsidP="00874476">
      <w:pPr>
        <w:pStyle w:val="Zkladntext"/>
        <w:numPr>
          <w:ilvl w:val="0"/>
          <w:numId w:val="15"/>
        </w:numPr>
        <w:spacing w:before="0" w:after="80" w:line="264" w:lineRule="auto"/>
        <w:ind w:left="284" w:hanging="284"/>
        <w:rPr>
          <w:sz w:val="20"/>
          <w:szCs w:val="20"/>
          <w:lang w:val="en-GB"/>
        </w:rPr>
      </w:pPr>
      <w:r w:rsidRPr="008776DE">
        <w:rPr>
          <w:sz w:val="20"/>
          <w:szCs w:val="20"/>
          <w:lang w:val="en-GB"/>
        </w:rPr>
        <w:t xml:space="preserve">In all countries, a majority of subscriptions are packages including both calls and data but data-only subscriptions have considerable market share in </w:t>
      </w:r>
      <w:r>
        <w:rPr>
          <w:sz w:val="20"/>
          <w:szCs w:val="20"/>
          <w:lang w:val="en-GB"/>
        </w:rPr>
        <w:t xml:space="preserve">Finland </w:t>
      </w:r>
      <w:r w:rsidRPr="008776DE">
        <w:rPr>
          <w:sz w:val="20"/>
          <w:szCs w:val="20"/>
          <w:lang w:val="en-GB"/>
        </w:rPr>
        <w:t xml:space="preserve">and Estonia. </w:t>
      </w:r>
      <w:r>
        <w:rPr>
          <w:sz w:val="20"/>
          <w:szCs w:val="20"/>
          <w:lang w:val="en-GB"/>
        </w:rPr>
        <w:t>Even if d</w:t>
      </w:r>
      <w:r w:rsidRPr="008776DE">
        <w:rPr>
          <w:sz w:val="20"/>
          <w:szCs w:val="20"/>
          <w:lang w:val="en-GB"/>
        </w:rPr>
        <w:t xml:space="preserve">ata for </w:t>
      </w:r>
      <w:r>
        <w:rPr>
          <w:sz w:val="20"/>
          <w:szCs w:val="20"/>
          <w:lang w:val="en-GB"/>
        </w:rPr>
        <w:t xml:space="preserve">mobile </w:t>
      </w:r>
      <w:r w:rsidRPr="008776DE">
        <w:rPr>
          <w:sz w:val="20"/>
          <w:szCs w:val="20"/>
          <w:lang w:val="en-GB"/>
        </w:rPr>
        <w:t xml:space="preserve">broadband subscriptions have improved greatly in recent years, especially with regard to measurement of data only </w:t>
      </w:r>
      <w:r w:rsidRPr="008776DE">
        <w:rPr>
          <w:sz w:val="20"/>
          <w:szCs w:val="20"/>
          <w:lang w:val="en-GB"/>
        </w:rPr>
        <w:lastRenderedPageBreak/>
        <w:t>and data and voice mobile data subscriptions</w:t>
      </w:r>
      <w:r>
        <w:rPr>
          <w:sz w:val="20"/>
          <w:szCs w:val="20"/>
          <w:lang w:val="en-GB"/>
        </w:rPr>
        <w:t xml:space="preserve">, the </w:t>
      </w:r>
      <w:r w:rsidRPr="008776DE">
        <w:rPr>
          <w:sz w:val="20"/>
          <w:szCs w:val="20"/>
          <w:lang w:val="en-GB"/>
        </w:rPr>
        <w:t xml:space="preserve">international comparability of mobile communications statistics is </w:t>
      </w:r>
      <w:r>
        <w:rPr>
          <w:sz w:val="20"/>
          <w:szCs w:val="20"/>
          <w:lang w:val="en-GB"/>
        </w:rPr>
        <w:t xml:space="preserve">still </w:t>
      </w:r>
      <w:r w:rsidRPr="008776DE">
        <w:rPr>
          <w:sz w:val="20"/>
          <w:szCs w:val="20"/>
          <w:lang w:val="en-GB"/>
        </w:rPr>
        <w:t xml:space="preserve">limited by the fact that not all countries are able to comply </w:t>
      </w:r>
      <w:r>
        <w:rPr>
          <w:sz w:val="20"/>
          <w:szCs w:val="20"/>
          <w:lang w:val="en-GB"/>
        </w:rPr>
        <w:t xml:space="preserve">fully </w:t>
      </w:r>
      <w:r w:rsidRPr="008776DE">
        <w:rPr>
          <w:sz w:val="20"/>
          <w:szCs w:val="20"/>
          <w:lang w:val="en-GB"/>
        </w:rPr>
        <w:t>with the same definitions.</w:t>
      </w:r>
    </w:p>
    <w:p w:rsidR="00874476" w:rsidRDefault="00874476" w:rsidP="00874476">
      <w:pPr>
        <w:pStyle w:val="Zkladntext"/>
        <w:spacing w:before="0" w:after="100" w:line="264" w:lineRule="auto"/>
        <w:rPr>
          <w:sz w:val="20"/>
          <w:szCs w:val="20"/>
          <w:lang w:val="en-GB"/>
        </w:rPr>
      </w:pPr>
      <w:r>
        <w:rPr>
          <w:noProof/>
        </w:rPr>
        <w:drawing>
          <wp:inline distT="0" distB="0" distL="0" distR="0" wp14:anchorId="73F13C63" wp14:editId="08A6A5EB">
            <wp:extent cx="5972810" cy="3600000"/>
            <wp:effectExtent l="0" t="0" r="0" b="0"/>
            <wp:docPr id="75" name="Graf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B78A6" w:rsidRDefault="00874476" w:rsidP="00874476">
      <w:pPr>
        <w:pStyle w:val="Zkladntext"/>
        <w:numPr>
          <w:ilvl w:val="0"/>
          <w:numId w:val="15"/>
        </w:numPr>
        <w:spacing w:before="0" w:after="80" w:line="264" w:lineRule="auto"/>
        <w:ind w:left="284" w:hanging="284"/>
        <w:rPr>
          <w:sz w:val="20"/>
          <w:szCs w:val="20"/>
          <w:lang w:val="en-GB"/>
        </w:rPr>
      </w:pPr>
      <w:r w:rsidRPr="00C650A6">
        <w:rPr>
          <w:sz w:val="20"/>
          <w:szCs w:val="20"/>
          <w:lang w:val="en-GB"/>
        </w:rPr>
        <w:t xml:space="preserve">SIM cards for machine-to-machine (M2M) usage account for a growing segment of mobile data subscriptions. These are dedicated exclusively to communication between equipment at a distance and are not intended for interpersonal communications. Some of the functionality of M2M communications is built into navigation services for automobiles, access to the </w:t>
      </w:r>
      <w:r>
        <w:rPr>
          <w:sz w:val="20"/>
          <w:szCs w:val="20"/>
          <w:lang w:val="en-GB"/>
        </w:rPr>
        <w:t>i</w:t>
      </w:r>
      <w:r w:rsidRPr="00C650A6">
        <w:rPr>
          <w:sz w:val="20"/>
          <w:szCs w:val="20"/>
          <w:lang w:val="en-GB"/>
        </w:rPr>
        <w:t>nternet and emergency communications, among others. These devices connect millions of sensors and actuators, providing ever-greater amounts of “big data” to facilitate the monitoring of machines, environments and people’s health. However, there is not yet an official methodology to define the limits of M2M SIM cards. National telecom regulators in some EU countries have begun to release M2M SIM cards figures along with mobile and wireless broadband subscriptions. However, M2M use may still be mixed in with other subscriptions.</w:t>
      </w:r>
    </w:p>
    <w:p w:rsidR="00BB78A6" w:rsidRDefault="00BB78A6">
      <w:pPr>
        <w:spacing w:after="0" w:line="240" w:lineRule="auto"/>
        <w:rPr>
          <w:szCs w:val="20"/>
        </w:rPr>
      </w:pPr>
      <w:r>
        <w:rPr>
          <w:szCs w:val="20"/>
        </w:rPr>
        <w:br w:type="page"/>
      </w:r>
    </w:p>
    <w:p w:rsidR="00BB78A6" w:rsidRPr="00970B85" w:rsidRDefault="00BB78A6" w:rsidP="00BB78A6">
      <w:pPr>
        <w:pStyle w:val="Nadpis1"/>
      </w:pPr>
      <w:bookmarkStart w:id="20" w:name="_Toc533697487"/>
      <w:bookmarkStart w:id="21" w:name="_Toc534711986"/>
      <w:bookmarkStart w:id="22" w:name="_Toc526839141"/>
      <w:bookmarkStart w:id="23" w:name="_Toc527107102"/>
      <w:r w:rsidRPr="00970B85">
        <w:lastRenderedPageBreak/>
        <w:t xml:space="preserve">Chapter B </w:t>
      </w:r>
      <w:r>
        <w:t>H</w:t>
      </w:r>
      <w:r w:rsidRPr="00970B85">
        <w:t>ouseholds</w:t>
      </w:r>
      <w:r>
        <w:t xml:space="preserve"> and ICT</w:t>
      </w:r>
      <w:bookmarkEnd w:id="20"/>
      <w:bookmarkEnd w:id="21"/>
    </w:p>
    <w:p w:rsidR="00BB78A6" w:rsidRPr="00970B85" w:rsidRDefault="00BB78A6" w:rsidP="00BB78A6">
      <w:pPr>
        <w:pStyle w:val="Zkladntext"/>
        <w:spacing w:before="0" w:after="80" w:line="264" w:lineRule="auto"/>
        <w:rPr>
          <w:i/>
          <w:sz w:val="20"/>
          <w:lang w:val="en-GB"/>
        </w:rPr>
      </w:pPr>
      <w:r w:rsidRPr="00970B85">
        <w:rPr>
          <w:i/>
          <w:sz w:val="20"/>
          <w:lang w:val="en-GB"/>
        </w:rPr>
        <w:t>In recent years, we have witnessed some significant changes in the use of information and communication technologies (hereinafter referred to as the “ICT”) not only in the Czech Republic, but also abroad. This mainly concerns the switch-over from non-portable devices, such as desktop computer or a fixed telephone line, to portable and mobile devices and connection. Whereas the percentage of households equipped with a</w:t>
      </w:r>
      <w:r>
        <w:rPr>
          <w:i/>
          <w:sz w:val="20"/>
          <w:lang w:val="en-GB"/>
        </w:rPr>
        <w:t> </w:t>
      </w:r>
      <w:r w:rsidRPr="00970B85">
        <w:rPr>
          <w:i/>
          <w:sz w:val="20"/>
          <w:lang w:val="en-GB"/>
        </w:rPr>
        <w:t>computer in the Czech Republic has not been increasing dramatically</w:t>
      </w:r>
      <w:r>
        <w:rPr>
          <w:i/>
          <w:sz w:val="20"/>
          <w:lang w:val="en-GB"/>
        </w:rPr>
        <w:t xml:space="preserve"> any more</w:t>
      </w:r>
      <w:r w:rsidRPr="00970B85">
        <w:rPr>
          <w:i/>
          <w:sz w:val="20"/>
          <w:lang w:val="en-GB"/>
        </w:rPr>
        <w:t xml:space="preserve">, the percentage of households equipped with several ICT devices is </w:t>
      </w:r>
      <w:r>
        <w:rPr>
          <w:i/>
          <w:sz w:val="20"/>
          <w:lang w:val="en-GB"/>
        </w:rPr>
        <w:t xml:space="preserve">still </w:t>
      </w:r>
      <w:r w:rsidRPr="00970B85">
        <w:rPr>
          <w:i/>
          <w:sz w:val="20"/>
          <w:lang w:val="en-GB"/>
        </w:rPr>
        <w:t xml:space="preserve">on the </w:t>
      </w:r>
      <w:r>
        <w:rPr>
          <w:i/>
          <w:sz w:val="20"/>
          <w:lang w:val="en-GB"/>
        </w:rPr>
        <w:t>rise</w:t>
      </w:r>
      <w:r w:rsidRPr="00970B85">
        <w:rPr>
          <w:i/>
          <w:sz w:val="20"/>
          <w:lang w:val="en-GB"/>
        </w:rPr>
        <w:t>. Also</w:t>
      </w:r>
      <w:r>
        <w:rPr>
          <w:i/>
          <w:sz w:val="20"/>
          <w:lang w:val="en-GB"/>
        </w:rPr>
        <w:t>,</w:t>
      </w:r>
      <w:r w:rsidRPr="00970B85">
        <w:rPr>
          <w:i/>
          <w:sz w:val="20"/>
          <w:lang w:val="en-GB"/>
        </w:rPr>
        <w:t xml:space="preserve"> the character of usage of these digital devices has been changing from </w:t>
      </w:r>
      <w:r>
        <w:rPr>
          <w:i/>
          <w:sz w:val="20"/>
          <w:lang w:val="en-GB"/>
        </w:rPr>
        <w:t>shared usage to individual</w:t>
      </w:r>
      <w:r w:rsidRPr="00970B85">
        <w:rPr>
          <w:i/>
          <w:sz w:val="20"/>
          <w:lang w:val="en-GB"/>
        </w:rPr>
        <w:t xml:space="preserve">. </w:t>
      </w:r>
    </w:p>
    <w:p w:rsidR="00BB78A6" w:rsidRDefault="00BB78A6" w:rsidP="00BB78A6">
      <w:pPr>
        <w:pStyle w:val="Zkladntext"/>
        <w:spacing w:before="0" w:after="80" w:line="264" w:lineRule="auto"/>
        <w:rPr>
          <w:i/>
          <w:sz w:val="20"/>
          <w:lang w:val="en-GB"/>
        </w:rPr>
      </w:pPr>
      <w:r w:rsidRPr="00970B85">
        <w:rPr>
          <w:i/>
          <w:sz w:val="20"/>
          <w:lang w:val="en-GB"/>
        </w:rPr>
        <w:t xml:space="preserve">On a long-term scale, </w:t>
      </w:r>
      <w:r>
        <w:rPr>
          <w:i/>
          <w:sz w:val="20"/>
          <w:lang w:val="en-GB"/>
        </w:rPr>
        <w:t xml:space="preserve">the </w:t>
      </w:r>
      <w:r w:rsidRPr="00970B85">
        <w:rPr>
          <w:i/>
          <w:sz w:val="20"/>
          <w:lang w:val="en-GB"/>
        </w:rPr>
        <w:t xml:space="preserve">Czech Statistical Office has been recording these changes by means of a yearly </w:t>
      </w:r>
      <w:r>
        <w:rPr>
          <w:i/>
          <w:sz w:val="20"/>
          <w:lang w:val="en-GB"/>
        </w:rPr>
        <w:t xml:space="preserve">harmonised </w:t>
      </w:r>
      <w:r w:rsidRPr="00970B85">
        <w:rPr>
          <w:i/>
          <w:sz w:val="20"/>
          <w:lang w:val="en-GB"/>
        </w:rPr>
        <w:t xml:space="preserve">survey </w:t>
      </w:r>
      <w:r>
        <w:rPr>
          <w:i/>
          <w:sz w:val="20"/>
          <w:lang w:val="en-GB"/>
        </w:rPr>
        <w:t xml:space="preserve">in all EU countries </w:t>
      </w:r>
      <w:r w:rsidRPr="00970B85">
        <w:rPr>
          <w:i/>
          <w:sz w:val="20"/>
          <w:lang w:val="en-GB"/>
        </w:rPr>
        <w:t xml:space="preserve">on </w:t>
      </w:r>
      <w:r>
        <w:rPr>
          <w:i/>
          <w:sz w:val="20"/>
          <w:lang w:val="en-GB"/>
        </w:rPr>
        <w:t>the usage of ICT</w:t>
      </w:r>
      <w:r w:rsidRPr="00970B85">
        <w:rPr>
          <w:i/>
          <w:sz w:val="20"/>
          <w:lang w:val="en-GB"/>
        </w:rPr>
        <w:t xml:space="preserve"> in households</w:t>
      </w:r>
      <w:r w:rsidRPr="00970B85">
        <w:rPr>
          <w:rStyle w:val="Znakapoznpodarou"/>
          <w:i/>
          <w:sz w:val="20"/>
          <w:lang w:val="en-GB"/>
        </w:rPr>
        <w:footnoteReference w:id="18"/>
      </w:r>
      <w:r w:rsidRPr="00970B85">
        <w:rPr>
          <w:i/>
          <w:sz w:val="20"/>
          <w:lang w:val="en-GB"/>
        </w:rPr>
        <w:t>. The results from this survey</w:t>
      </w:r>
      <w:r>
        <w:rPr>
          <w:i/>
          <w:sz w:val="20"/>
          <w:lang w:val="en-GB"/>
        </w:rPr>
        <w:t>,</w:t>
      </w:r>
      <w:r w:rsidRPr="00970B85">
        <w:rPr>
          <w:i/>
          <w:sz w:val="20"/>
          <w:lang w:val="en-GB"/>
        </w:rPr>
        <w:t xml:space="preserve"> on the expansion of selected digital technologies to Czech and European households</w:t>
      </w:r>
      <w:r>
        <w:rPr>
          <w:i/>
          <w:sz w:val="20"/>
          <w:lang w:val="en-GB"/>
        </w:rPr>
        <w:t>,</w:t>
      </w:r>
      <w:r w:rsidRPr="00970B85">
        <w:rPr>
          <w:i/>
          <w:sz w:val="20"/>
          <w:lang w:val="en-GB"/>
        </w:rPr>
        <w:t xml:space="preserve"> provide interesting data, especially if monitoring the individual types of households. They confirm how great the difference may be between the households with or without children, households of younger generation compared to households of pensioners, and between the households of various income groups.</w:t>
      </w:r>
      <w:r w:rsidRPr="00970B85">
        <w:rPr>
          <w:lang w:val="en-GB"/>
        </w:rPr>
        <w:t xml:space="preserve"> </w:t>
      </w:r>
    </w:p>
    <w:p w:rsidR="00BB78A6" w:rsidRPr="00C650A6" w:rsidRDefault="00BB78A6" w:rsidP="00BB78A6">
      <w:pPr>
        <w:pStyle w:val="Nadpis2"/>
      </w:pPr>
      <w:bookmarkStart w:id="24" w:name="_Toc533697488"/>
      <w:bookmarkStart w:id="25" w:name="_Toc534711987"/>
      <w:r w:rsidRPr="00C650A6">
        <w:rPr>
          <w:bCs w:val="0"/>
        </w:rPr>
        <w:t xml:space="preserve">B.1 Households </w:t>
      </w:r>
      <w:r>
        <w:rPr>
          <w:bCs w:val="0"/>
        </w:rPr>
        <w:t>and telephone</w:t>
      </w:r>
      <w:bookmarkEnd w:id="24"/>
      <w:bookmarkEnd w:id="25"/>
    </w:p>
    <w:p w:rsidR="00BB78A6" w:rsidRPr="00970B85" w:rsidRDefault="00BB78A6" w:rsidP="00BB78A6">
      <w:pPr>
        <w:spacing w:after="80" w:line="264" w:lineRule="auto"/>
        <w:jc w:val="both"/>
        <w:rPr>
          <w:i/>
        </w:rPr>
      </w:pPr>
      <w:r w:rsidRPr="00970B85">
        <w:rPr>
          <w:i/>
        </w:rPr>
        <w:t>With some exceptions, all households in the Czech Republic currently have access to a telephone</w:t>
      </w:r>
      <w:r w:rsidRPr="00970B85">
        <w:rPr>
          <w:rStyle w:val="Znakapoznpodarou"/>
          <w:i/>
        </w:rPr>
        <w:footnoteReference w:id="19"/>
      </w:r>
      <w:r w:rsidRPr="00970B85">
        <w:rPr>
          <w:i/>
        </w:rPr>
        <w:t>. Compared to the past</w:t>
      </w:r>
      <w:r>
        <w:rPr>
          <w:i/>
        </w:rPr>
        <w:t>,</w:t>
      </w:r>
      <w:r w:rsidRPr="00970B85">
        <w:rPr>
          <w:i/>
        </w:rPr>
        <w:t xml:space="preserve"> when mainly the fixed telephone line was used, nowadays all households prefer the usage of mobile phones. Whereas Czech households changed fixed telephone lines to mobile phones, both types of devices are </w:t>
      </w:r>
      <w:r>
        <w:rPr>
          <w:i/>
        </w:rPr>
        <w:t xml:space="preserve">to some extent still </w:t>
      </w:r>
      <w:r w:rsidRPr="00970B85">
        <w:rPr>
          <w:i/>
        </w:rPr>
        <w:t>commonly used in some EU countries.</w:t>
      </w:r>
    </w:p>
    <w:p w:rsidR="00BB78A6" w:rsidRDefault="00BB78A6" w:rsidP="00BB78A6">
      <w:pPr>
        <w:pStyle w:val="Nadpis3"/>
      </w:pPr>
      <w:bookmarkStart w:id="26" w:name="_Toc533697489"/>
      <w:bookmarkStart w:id="27" w:name="_Toc534711988"/>
      <w:r w:rsidRPr="00970B85">
        <w:t>Households with a fixed telephone</w:t>
      </w:r>
      <w:bookmarkEnd w:id="26"/>
      <w:bookmarkEnd w:id="27"/>
    </w:p>
    <w:p w:rsidR="00BB78A6" w:rsidRPr="004D1EC1" w:rsidRDefault="00BB78A6" w:rsidP="00DA3469">
      <w:pPr>
        <w:spacing w:after="80" w:line="264" w:lineRule="auto"/>
        <w:jc w:val="both"/>
        <w:rPr>
          <w:i/>
        </w:rPr>
      </w:pPr>
      <w:r w:rsidRPr="004D1EC1">
        <w:rPr>
          <w:i/>
        </w:rPr>
        <w:t>The way in which the Czech population is using telephony is changing rapidly. Fewer households have a fixed telephone connection. Telephone calls are more often routed via internet applications and the number of mobile subscriptions is growing. In addition, the function of the mobile telephone is changing. Many people are now using their smartphone for internet browsing and to communicate via internet applications, such as WhatsApp and social media. These changes have drastic consequences for the telecom market.</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bCs/>
          <w:sz w:val="20"/>
          <w:szCs w:val="20"/>
          <w:lang w:val="en-GB"/>
        </w:rPr>
        <w:t>Since 2000</w:t>
      </w:r>
      <w:r>
        <w:rPr>
          <w:bCs/>
          <w:sz w:val="20"/>
          <w:szCs w:val="20"/>
          <w:lang w:val="en-GB"/>
        </w:rPr>
        <w:t>,</w:t>
      </w:r>
      <w:r w:rsidRPr="00970B85">
        <w:rPr>
          <w:bCs/>
          <w:sz w:val="20"/>
          <w:szCs w:val="20"/>
          <w:lang w:val="en-GB"/>
        </w:rPr>
        <w:t xml:space="preserve"> the percentage of Czech households using </w:t>
      </w:r>
      <w:r w:rsidRPr="00970B85">
        <w:rPr>
          <w:b/>
          <w:bCs/>
          <w:sz w:val="20"/>
          <w:szCs w:val="20"/>
          <w:lang w:val="en-GB"/>
        </w:rPr>
        <w:t>fixed telephone lines</w:t>
      </w:r>
      <w:r>
        <w:rPr>
          <w:bCs/>
          <w:sz w:val="20"/>
          <w:szCs w:val="20"/>
          <w:lang w:val="en-GB"/>
        </w:rPr>
        <w:t xml:space="preserve"> has been</w:t>
      </w:r>
      <w:r w:rsidRPr="00970B85">
        <w:rPr>
          <w:bCs/>
          <w:sz w:val="20"/>
          <w:szCs w:val="20"/>
          <w:lang w:val="en-GB"/>
        </w:rPr>
        <w:t xml:space="preserve"> decreasing. At the end of 2016</w:t>
      </w:r>
      <w:r>
        <w:rPr>
          <w:bCs/>
          <w:sz w:val="20"/>
          <w:szCs w:val="20"/>
          <w:lang w:val="en-GB"/>
        </w:rPr>
        <w:t>,</w:t>
      </w:r>
      <w:r w:rsidRPr="00970B85">
        <w:rPr>
          <w:bCs/>
          <w:sz w:val="20"/>
          <w:szCs w:val="20"/>
          <w:lang w:val="en-GB"/>
        </w:rPr>
        <w:t xml:space="preserve"> a fixed telephone was used by less than 14% of households, whereas in 2000 </w:t>
      </w:r>
      <w:r>
        <w:rPr>
          <w:bCs/>
          <w:sz w:val="20"/>
          <w:szCs w:val="20"/>
          <w:lang w:val="en-GB"/>
        </w:rPr>
        <w:t>they</w:t>
      </w:r>
      <w:r w:rsidRPr="00970B85">
        <w:rPr>
          <w:bCs/>
          <w:sz w:val="20"/>
          <w:szCs w:val="20"/>
          <w:lang w:val="en-GB"/>
        </w:rPr>
        <w:t xml:space="preserve"> were used by three quarters of Czech households.</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bCs/>
          <w:sz w:val="20"/>
          <w:szCs w:val="20"/>
          <w:lang w:val="en-GB"/>
        </w:rPr>
        <w:t xml:space="preserve">A fixed telephone is most frequently used in the households of </w:t>
      </w:r>
      <w:r w:rsidRPr="00970B85">
        <w:rPr>
          <w:b/>
          <w:bCs/>
          <w:sz w:val="20"/>
          <w:szCs w:val="20"/>
          <w:lang w:val="en-GB"/>
        </w:rPr>
        <w:t>pensioners</w:t>
      </w:r>
      <w:r>
        <w:rPr>
          <w:b/>
          <w:bCs/>
          <w:sz w:val="20"/>
          <w:szCs w:val="20"/>
          <w:lang w:val="en-GB"/>
        </w:rPr>
        <w:t xml:space="preserve">. </w:t>
      </w:r>
      <w:r w:rsidRPr="0058273D">
        <w:rPr>
          <w:bCs/>
          <w:sz w:val="20"/>
          <w:szCs w:val="20"/>
          <w:lang w:val="en-GB"/>
        </w:rPr>
        <w:t>In</w:t>
      </w:r>
      <w:r>
        <w:rPr>
          <w:bCs/>
          <w:sz w:val="20"/>
          <w:szCs w:val="20"/>
          <w:lang w:val="en-GB"/>
        </w:rPr>
        <w:t xml:space="preserve"> 2016 a fixed telephone was still used by a fifth of these households</w:t>
      </w:r>
      <w:r w:rsidRPr="00970B85">
        <w:rPr>
          <w:bCs/>
          <w:sz w:val="20"/>
          <w:szCs w:val="20"/>
          <w:lang w:val="en-GB"/>
        </w:rPr>
        <w:t xml:space="preserve">. In the households of </w:t>
      </w:r>
      <w:r w:rsidRPr="00CA251B">
        <w:rPr>
          <w:b/>
          <w:bCs/>
          <w:sz w:val="20"/>
          <w:szCs w:val="20"/>
          <w:lang w:val="en-GB"/>
        </w:rPr>
        <w:t>“</w:t>
      </w:r>
      <w:r w:rsidRPr="00970B85">
        <w:rPr>
          <w:b/>
          <w:bCs/>
          <w:sz w:val="20"/>
          <w:szCs w:val="20"/>
          <w:lang w:val="en-GB"/>
        </w:rPr>
        <w:t>young</w:t>
      </w:r>
      <w:r w:rsidRPr="00FD1FE6">
        <w:rPr>
          <w:b/>
          <w:bCs/>
          <w:sz w:val="20"/>
          <w:szCs w:val="20"/>
          <w:lang w:val="en-GB"/>
        </w:rPr>
        <w:t>”</w:t>
      </w:r>
      <w:r w:rsidRPr="00970B85">
        <w:rPr>
          <w:bCs/>
          <w:sz w:val="20"/>
          <w:szCs w:val="20"/>
          <w:lang w:val="en-GB"/>
        </w:rPr>
        <w:t xml:space="preserve"> families</w:t>
      </w:r>
      <w:r>
        <w:rPr>
          <w:bCs/>
          <w:sz w:val="20"/>
          <w:szCs w:val="20"/>
          <w:lang w:val="en-GB"/>
        </w:rPr>
        <w:t>,</w:t>
      </w:r>
      <w:r w:rsidRPr="00970B85">
        <w:rPr>
          <w:bCs/>
          <w:sz w:val="20"/>
          <w:szCs w:val="20"/>
          <w:lang w:val="en-GB"/>
        </w:rPr>
        <w:t xml:space="preserve"> the use of fixed telephone lines</w:t>
      </w:r>
      <w:r>
        <w:rPr>
          <w:bCs/>
          <w:sz w:val="20"/>
          <w:szCs w:val="20"/>
          <w:lang w:val="en-GB"/>
        </w:rPr>
        <w:t>,</w:t>
      </w:r>
      <w:r w:rsidRPr="00970B85">
        <w:rPr>
          <w:bCs/>
          <w:sz w:val="20"/>
          <w:szCs w:val="20"/>
          <w:lang w:val="en-GB"/>
        </w:rPr>
        <w:t xml:space="preserve"> in order to mak</w:t>
      </w:r>
      <w:r>
        <w:rPr>
          <w:bCs/>
          <w:sz w:val="20"/>
          <w:szCs w:val="20"/>
          <w:lang w:val="en-GB"/>
        </w:rPr>
        <w:t>e</w:t>
      </w:r>
      <w:r w:rsidRPr="00970B85">
        <w:rPr>
          <w:bCs/>
          <w:sz w:val="20"/>
          <w:szCs w:val="20"/>
          <w:lang w:val="en-GB"/>
        </w:rPr>
        <w:t xml:space="preserve"> phone calls</w:t>
      </w:r>
      <w:r>
        <w:rPr>
          <w:bCs/>
          <w:sz w:val="20"/>
          <w:szCs w:val="20"/>
          <w:lang w:val="en-GB"/>
        </w:rPr>
        <w:t>,</w:t>
      </w:r>
      <w:r w:rsidRPr="00970B85">
        <w:rPr>
          <w:bCs/>
          <w:sz w:val="20"/>
          <w:szCs w:val="20"/>
          <w:lang w:val="en-GB"/>
        </w:rPr>
        <w:t xml:space="preserve"> is rather exceptional. In 2016, a fixed telephone was used by 1.5% of households with a leading person aged up to 29.</w:t>
      </w:r>
    </w:p>
    <w:p w:rsidR="00BB78A6" w:rsidRPr="00970B85" w:rsidRDefault="00BB78A6" w:rsidP="00BB78A6">
      <w:pPr>
        <w:pStyle w:val="Zkladntext"/>
        <w:spacing w:after="120" w:line="264" w:lineRule="auto"/>
        <w:rPr>
          <w:b/>
          <w:i/>
          <w:color w:val="009BB4"/>
          <w:sz w:val="22"/>
          <w:lang w:val="en-GB"/>
        </w:rPr>
      </w:pPr>
      <w:bookmarkStart w:id="28" w:name="_Toc528845439"/>
      <w:bookmarkEnd w:id="22"/>
      <w:bookmarkEnd w:id="23"/>
      <w:r w:rsidRPr="00970B85">
        <w:rPr>
          <w:noProof/>
        </w:rPr>
        <w:lastRenderedPageBreak/>
        <w:drawing>
          <wp:inline distT="0" distB="0" distL="0" distR="0" wp14:anchorId="35BCBC5E" wp14:editId="24933DB6">
            <wp:extent cx="6120000" cy="2700000"/>
            <wp:effectExtent l="0" t="0" r="0" b="571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b/>
          <w:bCs/>
          <w:sz w:val="20"/>
          <w:szCs w:val="20"/>
          <w:lang w:val="en-GB"/>
        </w:rPr>
        <w:t>Among the EU countries</w:t>
      </w:r>
      <w:r w:rsidRPr="00970B85">
        <w:rPr>
          <w:bCs/>
          <w:sz w:val="20"/>
          <w:szCs w:val="20"/>
          <w:lang w:val="en-GB"/>
        </w:rPr>
        <w:t xml:space="preserve">, the least frequent usage of a fixed telephone line </w:t>
      </w:r>
      <w:r>
        <w:rPr>
          <w:bCs/>
          <w:sz w:val="20"/>
          <w:szCs w:val="20"/>
          <w:lang w:val="en-GB"/>
        </w:rPr>
        <w:t>with</w:t>
      </w:r>
      <w:r w:rsidRPr="00970B85">
        <w:rPr>
          <w:bCs/>
          <w:sz w:val="20"/>
          <w:szCs w:val="20"/>
          <w:lang w:val="en-GB"/>
        </w:rPr>
        <w:t>in households is in the Czech Republic. In 2015 – new data for international comparison is not available – only 13% of households claimed to be using a fixed telephone line for voice services. A similar percentage (14%) was recorded in Finland.</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Pr>
          <w:bCs/>
          <w:sz w:val="20"/>
          <w:szCs w:val="20"/>
          <w:lang w:val="en-GB"/>
        </w:rPr>
        <w:t>O</w:t>
      </w:r>
      <w:r w:rsidRPr="00970B85">
        <w:rPr>
          <w:bCs/>
          <w:sz w:val="20"/>
          <w:szCs w:val="20"/>
          <w:lang w:val="en-GB"/>
        </w:rPr>
        <w:t>pposed to th</w:t>
      </w:r>
      <w:r>
        <w:rPr>
          <w:bCs/>
          <w:sz w:val="20"/>
          <w:szCs w:val="20"/>
          <w:lang w:val="en-GB"/>
        </w:rPr>
        <w:t>is</w:t>
      </w:r>
      <w:r w:rsidRPr="00970B85">
        <w:rPr>
          <w:bCs/>
          <w:sz w:val="20"/>
          <w:szCs w:val="20"/>
          <w:lang w:val="en-GB"/>
        </w:rPr>
        <w:t>, the</w:t>
      </w:r>
      <w:r w:rsidRPr="00970B85">
        <w:rPr>
          <w:b/>
          <w:bCs/>
          <w:sz w:val="20"/>
          <w:szCs w:val="20"/>
          <w:lang w:val="en-GB"/>
        </w:rPr>
        <w:t xml:space="preserve"> EU28 average</w:t>
      </w:r>
      <w:r w:rsidRPr="00970B85">
        <w:rPr>
          <w:bCs/>
          <w:sz w:val="20"/>
          <w:szCs w:val="20"/>
          <w:lang w:val="en-GB"/>
        </w:rPr>
        <w:t xml:space="preserve"> still reached a relatively high number (65%)</w:t>
      </w:r>
      <w:r>
        <w:rPr>
          <w:bCs/>
          <w:sz w:val="20"/>
          <w:szCs w:val="20"/>
          <w:lang w:val="en-GB"/>
        </w:rPr>
        <w:t>,</w:t>
      </w:r>
      <w:r w:rsidRPr="00970B85">
        <w:rPr>
          <w:bCs/>
          <w:sz w:val="20"/>
          <w:szCs w:val="20"/>
          <w:lang w:val="en-GB"/>
        </w:rPr>
        <w:t xml:space="preserve"> which was due to the high percentage of households using a fixed telephone line within its largest countries: 85% in Germany, 81% in France, and 78% in Great Britain. However, the highest percentage </w:t>
      </w:r>
      <w:r>
        <w:rPr>
          <w:bCs/>
          <w:sz w:val="20"/>
          <w:szCs w:val="20"/>
          <w:lang w:val="en-GB"/>
        </w:rPr>
        <w:t>over</w:t>
      </w:r>
      <w:r w:rsidRPr="00970B85">
        <w:rPr>
          <w:bCs/>
          <w:sz w:val="20"/>
          <w:szCs w:val="20"/>
          <w:lang w:val="en-GB"/>
        </w:rPr>
        <w:t xml:space="preserve">all was recorded in Malta (93%). </w:t>
      </w:r>
    </w:p>
    <w:p w:rsidR="00BB78A6" w:rsidRDefault="00BB78A6" w:rsidP="00BB78A6">
      <w:pPr>
        <w:pStyle w:val="Zkladntext"/>
        <w:spacing w:before="0" w:after="120" w:line="288" w:lineRule="auto"/>
        <w:rPr>
          <w:sz w:val="20"/>
          <w:szCs w:val="20"/>
          <w:lang w:val="en-GB"/>
        </w:rPr>
      </w:pPr>
      <w:r w:rsidRPr="00970B85">
        <w:rPr>
          <w:noProof/>
        </w:rPr>
        <w:drawing>
          <wp:inline distT="0" distB="0" distL="0" distR="0" wp14:anchorId="3FB3479C" wp14:editId="5BCEF301">
            <wp:extent cx="5972175" cy="3060000"/>
            <wp:effectExtent l="0" t="0" r="0" b="762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78A6" w:rsidRPr="00970B85" w:rsidRDefault="00BB78A6" w:rsidP="00DA3469">
      <w:pPr>
        <w:pStyle w:val="Nadpis3"/>
      </w:pPr>
      <w:bookmarkStart w:id="29" w:name="_Toc533697490"/>
      <w:bookmarkStart w:id="30" w:name="_Toc534711989"/>
      <w:bookmarkStart w:id="31" w:name="_Toc526839145"/>
      <w:bookmarkStart w:id="32" w:name="_Toc527107106"/>
      <w:bookmarkEnd w:id="28"/>
      <w:r w:rsidRPr="00970B85">
        <w:t xml:space="preserve">Households </w:t>
      </w:r>
      <w:r>
        <w:t xml:space="preserve">with a </w:t>
      </w:r>
      <w:r w:rsidRPr="00970B85">
        <w:t>mobile telephone</w:t>
      </w:r>
      <w:bookmarkEnd w:id="29"/>
      <w:bookmarkEnd w:id="30"/>
    </w:p>
    <w:p w:rsidR="00BB78A6" w:rsidRPr="00970B85" w:rsidRDefault="00BB78A6" w:rsidP="00BB78A6">
      <w:pPr>
        <w:pStyle w:val="Zkladntext"/>
        <w:numPr>
          <w:ilvl w:val="0"/>
          <w:numId w:val="15"/>
        </w:numPr>
        <w:tabs>
          <w:tab w:val="clear" w:pos="360"/>
        </w:tabs>
        <w:spacing w:before="0" w:after="80" w:line="264" w:lineRule="auto"/>
        <w:ind w:left="284" w:hanging="284"/>
        <w:rPr>
          <w:bCs/>
          <w:sz w:val="20"/>
          <w:szCs w:val="20"/>
          <w:lang w:val="en-GB"/>
        </w:rPr>
      </w:pPr>
      <w:r w:rsidRPr="00970B85">
        <w:rPr>
          <w:bCs/>
          <w:sz w:val="20"/>
          <w:szCs w:val="20"/>
          <w:lang w:val="en-GB"/>
        </w:rPr>
        <w:t>In the past few years, the most commonly used information technology in Czech households has been a</w:t>
      </w:r>
      <w:r>
        <w:rPr>
          <w:bCs/>
          <w:sz w:val="20"/>
          <w:szCs w:val="20"/>
          <w:lang w:val="en-GB"/>
        </w:rPr>
        <w:t> </w:t>
      </w:r>
      <w:r w:rsidRPr="00970B85">
        <w:rPr>
          <w:b/>
          <w:bCs/>
          <w:sz w:val="20"/>
          <w:szCs w:val="20"/>
          <w:lang w:val="en-GB"/>
        </w:rPr>
        <w:t>mobile phone</w:t>
      </w:r>
      <w:r w:rsidRPr="00970B85">
        <w:rPr>
          <w:bCs/>
          <w:sz w:val="20"/>
          <w:szCs w:val="20"/>
          <w:lang w:val="en-GB"/>
        </w:rPr>
        <w:t>. In 2016 a mobile phone was owned nearly by all Czech households (99%), whereas in</w:t>
      </w:r>
      <w:r>
        <w:rPr>
          <w:bCs/>
          <w:sz w:val="20"/>
          <w:szCs w:val="20"/>
          <w:lang w:val="en-GB"/>
        </w:rPr>
        <w:t xml:space="preserve"> 2000 it was only a third</w:t>
      </w:r>
      <w:r w:rsidRPr="00970B85">
        <w:rPr>
          <w:bCs/>
          <w:sz w:val="20"/>
          <w:szCs w:val="20"/>
          <w:lang w:val="en-GB"/>
        </w:rPr>
        <w:t>.</w:t>
      </w:r>
    </w:p>
    <w:p w:rsidR="00BB78A6" w:rsidRPr="00970B85" w:rsidRDefault="00BB78A6" w:rsidP="00BB78A6">
      <w:pPr>
        <w:pStyle w:val="Zkladntext"/>
        <w:numPr>
          <w:ilvl w:val="0"/>
          <w:numId w:val="15"/>
        </w:numPr>
        <w:tabs>
          <w:tab w:val="clear" w:pos="360"/>
        </w:tabs>
        <w:spacing w:before="0" w:after="80" w:line="264" w:lineRule="auto"/>
        <w:ind w:left="284" w:hanging="284"/>
        <w:rPr>
          <w:bCs/>
          <w:sz w:val="20"/>
          <w:szCs w:val="20"/>
          <w:lang w:val="en-GB"/>
        </w:rPr>
      </w:pPr>
      <w:r w:rsidRPr="00970B85">
        <w:rPr>
          <w:bCs/>
          <w:sz w:val="20"/>
          <w:szCs w:val="20"/>
          <w:lang w:val="en-GB"/>
        </w:rPr>
        <w:t>In 2016</w:t>
      </w:r>
      <w:r>
        <w:rPr>
          <w:bCs/>
          <w:sz w:val="20"/>
          <w:szCs w:val="20"/>
          <w:lang w:val="en-GB"/>
        </w:rPr>
        <w:t>,</w:t>
      </w:r>
      <w:r w:rsidRPr="00970B85">
        <w:rPr>
          <w:bCs/>
          <w:sz w:val="20"/>
          <w:szCs w:val="20"/>
          <w:lang w:val="en-GB"/>
        </w:rPr>
        <w:t xml:space="preserve"> the average </w:t>
      </w:r>
      <w:r w:rsidRPr="00970B85">
        <w:rPr>
          <w:b/>
          <w:bCs/>
          <w:sz w:val="20"/>
          <w:szCs w:val="20"/>
          <w:lang w:val="en-GB"/>
        </w:rPr>
        <w:t>number of mobile phones</w:t>
      </w:r>
      <w:r w:rsidRPr="00970B85">
        <w:rPr>
          <w:bCs/>
          <w:sz w:val="20"/>
          <w:szCs w:val="20"/>
          <w:lang w:val="en-GB"/>
        </w:rPr>
        <w:t xml:space="preserve"> used in Cz</w:t>
      </w:r>
      <w:r>
        <w:rPr>
          <w:bCs/>
          <w:sz w:val="20"/>
          <w:szCs w:val="20"/>
          <w:lang w:val="en-GB"/>
        </w:rPr>
        <w:t xml:space="preserve">ech households, </w:t>
      </w:r>
      <w:r w:rsidRPr="00970B85">
        <w:rPr>
          <w:bCs/>
          <w:sz w:val="20"/>
          <w:szCs w:val="20"/>
          <w:lang w:val="en-GB"/>
        </w:rPr>
        <w:t xml:space="preserve">was one device (0.99) per each household member over the age of 6; eleven </w:t>
      </w:r>
      <w:r>
        <w:rPr>
          <w:bCs/>
          <w:sz w:val="20"/>
          <w:szCs w:val="20"/>
          <w:lang w:val="en-GB"/>
        </w:rPr>
        <w:t>years ago, it was only 0.64 of a device</w:t>
      </w:r>
      <w:r w:rsidRPr="00970B85">
        <w:rPr>
          <w:bCs/>
          <w:sz w:val="20"/>
          <w:szCs w:val="20"/>
          <w:lang w:val="en-GB"/>
        </w:rPr>
        <w:t>.</w:t>
      </w:r>
    </w:p>
    <w:p w:rsidR="00BB78A6" w:rsidRDefault="00BB78A6" w:rsidP="00BB78A6">
      <w:pPr>
        <w:pStyle w:val="Zkladntext"/>
        <w:numPr>
          <w:ilvl w:val="0"/>
          <w:numId w:val="15"/>
        </w:numPr>
        <w:tabs>
          <w:tab w:val="clear" w:pos="360"/>
        </w:tabs>
        <w:spacing w:before="0" w:after="80" w:line="264" w:lineRule="auto"/>
        <w:ind w:left="284" w:hanging="284"/>
        <w:rPr>
          <w:bCs/>
          <w:sz w:val="20"/>
          <w:szCs w:val="20"/>
          <w:lang w:val="en-GB"/>
        </w:rPr>
      </w:pPr>
      <w:r w:rsidRPr="00970B85">
        <w:rPr>
          <w:bCs/>
          <w:sz w:val="20"/>
          <w:szCs w:val="20"/>
          <w:lang w:val="en-GB"/>
        </w:rPr>
        <w:t xml:space="preserve">The difference in household </w:t>
      </w:r>
      <w:r w:rsidRPr="00970B85">
        <w:rPr>
          <w:b/>
          <w:bCs/>
          <w:sz w:val="20"/>
          <w:szCs w:val="20"/>
          <w:lang w:val="en-GB"/>
        </w:rPr>
        <w:t>equipment by mobile phones</w:t>
      </w:r>
      <w:r w:rsidRPr="00970B85">
        <w:rPr>
          <w:bCs/>
          <w:sz w:val="20"/>
          <w:szCs w:val="20"/>
          <w:lang w:val="en-GB"/>
        </w:rPr>
        <w:t xml:space="preserve"> is recorded within various income categories of households. While in 2016</w:t>
      </w:r>
      <w:r>
        <w:rPr>
          <w:bCs/>
          <w:sz w:val="20"/>
          <w:szCs w:val="20"/>
          <w:lang w:val="en-GB"/>
        </w:rPr>
        <w:t>,</w:t>
      </w:r>
      <w:r w:rsidRPr="00970B85">
        <w:rPr>
          <w:bCs/>
          <w:sz w:val="20"/>
          <w:szCs w:val="20"/>
          <w:lang w:val="en-GB"/>
        </w:rPr>
        <w:t xml:space="preserve"> households with the highest income (the fifth income quintile) </w:t>
      </w:r>
      <w:r>
        <w:rPr>
          <w:bCs/>
          <w:sz w:val="20"/>
          <w:szCs w:val="20"/>
          <w:lang w:val="en-GB"/>
        </w:rPr>
        <w:t xml:space="preserve">had </w:t>
      </w:r>
      <w:r w:rsidRPr="00970B85">
        <w:rPr>
          <w:bCs/>
          <w:sz w:val="20"/>
          <w:szCs w:val="20"/>
          <w:lang w:val="en-GB"/>
        </w:rPr>
        <w:t xml:space="preserve">one </w:t>
      </w:r>
      <w:r w:rsidRPr="00970B85">
        <w:rPr>
          <w:bCs/>
          <w:sz w:val="20"/>
          <w:szCs w:val="20"/>
          <w:lang w:val="en-GB"/>
        </w:rPr>
        <w:lastRenderedPageBreak/>
        <w:t>member over the age of 6 us</w:t>
      </w:r>
      <w:r>
        <w:rPr>
          <w:bCs/>
          <w:sz w:val="20"/>
          <w:szCs w:val="20"/>
          <w:lang w:val="en-GB"/>
        </w:rPr>
        <w:t>ing</w:t>
      </w:r>
      <w:r w:rsidRPr="00970B85">
        <w:rPr>
          <w:bCs/>
          <w:sz w:val="20"/>
          <w:szCs w:val="20"/>
          <w:lang w:val="en-GB"/>
        </w:rPr>
        <w:t xml:space="preserve"> 1.16 mobile phone</w:t>
      </w:r>
      <w:r>
        <w:rPr>
          <w:bCs/>
          <w:sz w:val="20"/>
          <w:szCs w:val="20"/>
          <w:lang w:val="en-GB"/>
        </w:rPr>
        <w:t>s</w:t>
      </w:r>
      <w:r w:rsidRPr="00970B85">
        <w:rPr>
          <w:bCs/>
          <w:sz w:val="20"/>
          <w:szCs w:val="20"/>
          <w:lang w:val="en-GB"/>
        </w:rPr>
        <w:t xml:space="preserve">, in households with the lowest income (the first income quintile) it was 0.88 </w:t>
      </w:r>
      <w:r>
        <w:rPr>
          <w:bCs/>
          <w:sz w:val="20"/>
          <w:szCs w:val="20"/>
          <w:lang w:val="en-GB"/>
        </w:rPr>
        <w:t xml:space="preserve">of a </w:t>
      </w:r>
      <w:r w:rsidRPr="00970B85">
        <w:rPr>
          <w:bCs/>
          <w:sz w:val="20"/>
          <w:szCs w:val="20"/>
          <w:lang w:val="en-GB"/>
        </w:rPr>
        <w:t>mobile phone.</w:t>
      </w:r>
    </w:p>
    <w:p w:rsidR="00BB78A6" w:rsidRPr="00970B85" w:rsidRDefault="00BB78A6" w:rsidP="00BB78A6">
      <w:pPr>
        <w:pStyle w:val="Zkladntext"/>
        <w:spacing w:before="0" w:line="264" w:lineRule="auto"/>
        <w:ind w:left="284"/>
        <w:rPr>
          <w:bCs/>
          <w:sz w:val="20"/>
          <w:szCs w:val="20"/>
          <w:lang w:val="en-GB"/>
        </w:rPr>
      </w:pPr>
    </w:p>
    <w:p w:rsidR="00BB78A6" w:rsidRPr="00970B85" w:rsidRDefault="00BB78A6" w:rsidP="00BB78A6">
      <w:pPr>
        <w:pStyle w:val="Titulek"/>
        <w:keepNext/>
        <w:spacing w:after="0"/>
        <w:jc w:val="both"/>
        <w:rPr>
          <w:lang w:val="en-GB"/>
        </w:rPr>
        <w:sectPr w:rsidR="00BB78A6" w:rsidRPr="00970B85" w:rsidSect="00BB78A6">
          <w:footerReference w:type="default" r:id="rId47"/>
          <w:pgSz w:w="11906" w:h="16838" w:code="9"/>
          <w:pgMar w:top="1134" w:right="1134" w:bottom="1418" w:left="1134" w:header="680" w:footer="680" w:gutter="0"/>
          <w:cols w:space="708"/>
          <w:docGrid w:linePitch="360"/>
        </w:sectPr>
      </w:pPr>
    </w:p>
    <w:p w:rsidR="00BB78A6" w:rsidRPr="00970B85" w:rsidRDefault="00BB78A6" w:rsidP="00BB78A6">
      <w:pPr>
        <w:pStyle w:val="Zkladntext"/>
        <w:spacing w:before="0" w:after="120" w:line="288" w:lineRule="auto"/>
        <w:rPr>
          <w:bCs/>
          <w:sz w:val="20"/>
          <w:szCs w:val="20"/>
          <w:lang w:val="en-GB"/>
        </w:rPr>
        <w:sectPr w:rsidR="00BB78A6" w:rsidRPr="00970B85" w:rsidSect="00DA3469">
          <w:type w:val="continuous"/>
          <w:pgSz w:w="11906" w:h="16838" w:code="9"/>
          <w:pgMar w:top="1134" w:right="1134" w:bottom="1418" w:left="1134" w:header="680" w:footer="680" w:gutter="0"/>
          <w:cols w:space="2"/>
          <w:docGrid w:linePitch="360"/>
        </w:sectPr>
      </w:pPr>
      <w:r w:rsidRPr="00970B85">
        <w:rPr>
          <w:noProof/>
        </w:rPr>
        <w:drawing>
          <wp:inline distT="0" distB="0" distL="0" distR="0" wp14:anchorId="2D4D4435" wp14:editId="083E6CBD">
            <wp:extent cx="2952000" cy="2880000"/>
            <wp:effectExtent l="0" t="0" r="127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70B85">
        <w:rPr>
          <w:lang w:val="en-GB"/>
        </w:rPr>
        <w:t xml:space="preserve"> </w:t>
      </w:r>
      <w:r w:rsidRPr="00970B85">
        <w:rPr>
          <w:noProof/>
        </w:rPr>
        <w:drawing>
          <wp:inline distT="0" distB="0" distL="0" distR="0" wp14:anchorId="5DDE4D13" wp14:editId="343FB782">
            <wp:extent cx="3060000" cy="2880000"/>
            <wp:effectExtent l="0" t="0" r="762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B78A6" w:rsidRPr="00970B85" w:rsidRDefault="00BB78A6" w:rsidP="00BB78A6">
      <w:pPr>
        <w:pStyle w:val="Zkladntext"/>
        <w:numPr>
          <w:ilvl w:val="0"/>
          <w:numId w:val="15"/>
        </w:numPr>
        <w:tabs>
          <w:tab w:val="clear" w:pos="360"/>
        </w:tabs>
        <w:spacing w:before="0" w:after="80" w:line="264" w:lineRule="auto"/>
        <w:ind w:left="284" w:hanging="284"/>
        <w:rPr>
          <w:bCs/>
          <w:sz w:val="20"/>
          <w:szCs w:val="20"/>
          <w:lang w:val="en-GB"/>
        </w:rPr>
      </w:pPr>
      <w:r w:rsidRPr="00970B85">
        <w:rPr>
          <w:bCs/>
          <w:sz w:val="20"/>
          <w:szCs w:val="20"/>
          <w:lang w:val="en-GB"/>
        </w:rPr>
        <w:t>The Czech Republic</w:t>
      </w:r>
      <w:r>
        <w:rPr>
          <w:bCs/>
          <w:sz w:val="20"/>
          <w:szCs w:val="20"/>
          <w:lang w:val="en-GB"/>
        </w:rPr>
        <w:t>,</w:t>
      </w:r>
      <w:r w:rsidRPr="00970B85">
        <w:rPr>
          <w:bCs/>
          <w:sz w:val="20"/>
          <w:szCs w:val="20"/>
          <w:lang w:val="en-GB"/>
        </w:rPr>
        <w:t xml:space="preserve"> together with Finland</w:t>
      </w:r>
      <w:r>
        <w:rPr>
          <w:bCs/>
          <w:sz w:val="20"/>
          <w:szCs w:val="20"/>
          <w:lang w:val="en-GB"/>
        </w:rPr>
        <w:t>,</w:t>
      </w:r>
      <w:r w:rsidRPr="00970B85">
        <w:rPr>
          <w:bCs/>
          <w:sz w:val="20"/>
          <w:szCs w:val="20"/>
          <w:lang w:val="en-GB"/>
        </w:rPr>
        <w:t xml:space="preserve"> belongs </w:t>
      </w:r>
      <w:r>
        <w:rPr>
          <w:bCs/>
          <w:sz w:val="20"/>
          <w:szCs w:val="20"/>
          <w:lang w:val="en-GB"/>
        </w:rPr>
        <w:t xml:space="preserve">to </w:t>
      </w:r>
      <w:r w:rsidRPr="00970B85">
        <w:rPr>
          <w:bCs/>
          <w:sz w:val="20"/>
          <w:szCs w:val="20"/>
          <w:lang w:val="en-GB"/>
        </w:rPr>
        <w:t>the two</w:t>
      </w:r>
      <w:r w:rsidRPr="00970B85">
        <w:rPr>
          <w:b/>
          <w:bCs/>
          <w:sz w:val="20"/>
          <w:szCs w:val="20"/>
          <w:lang w:val="en-GB"/>
        </w:rPr>
        <w:t xml:space="preserve"> </w:t>
      </w:r>
      <w:r w:rsidRPr="00970B85">
        <w:rPr>
          <w:bCs/>
          <w:sz w:val="20"/>
          <w:szCs w:val="20"/>
          <w:lang w:val="en-GB"/>
        </w:rPr>
        <w:t xml:space="preserve">EU countries with </w:t>
      </w:r>
      <w:r w:rsidRPr="00970B85">
        <w:rPr>
          <w:b/>
          <w:bCs/>
          <w:sz w:val="20"/>
          <w:szCs w:val="20"/>
          <w:lang w:val="en-GB"/>
        </w:rPr>
        <w:t>only mobile phone access</w:t>
      </w:r>
      <w:r w:rsidRPr="00970B85">
        <w:rPr>
          <w:bCs/>
          <w:sz w:val="20"/>
          <w:szCs w:val="20"/>
          <w:lang w:val="en-GB"/>
        </w:rPr>
        <w:t xml:space="preserve">, i.e. households do not have a fixed telephone, but only a mobile phone. In 2015 there were 84% of such households in the Czech Republic and in Finland the number was even higher – 87% – whereas the EU28 average in the same year was 33%. </w:t>
      </w:r>
    </w:p>
    <w:p w:rsidR="00BB78A6" w:rsidRPr="00970B85" w:rsidRDefault="00BB78A6" w:rsidP="00BB78A6">
      <w:pPr>
        <w:pStyle w:val="Nadpis3"/>
      </w:pPr>
      <w:bookmarkStart w:id="33" w:name="_Toc533697491"/>
      <w:bookmarkStart w:id="34" w:name="_Toc534711990"/>
      <w:r w:rsidRPr="00970B85">
        <w:t>Household</w:t>
      </w:r>
      <w:r>
        <w:t>s</w:t>
      </w:r>
      <w:r w:rsidRPr="00970B85">
        <w:t xml:space="preserve"> telecommunication expenditure</w:t>
      </w:r>
      <w:r>
        <w:t>s</w:t>
      </w:r>
      <w:bookmarkEnd w:id="33"/>
      <w:bookmarkEnd w:id="34"/>
    </w:p>
    <w:p w:rsidR="00BB78A6" w:rsidRPr="00970B85" w:rsidRDefault="00BB78A6" w:rsidP="00BB78A6">
      <w:pPr>
        <w:pStyle w:val="Zkladntext"/>
        <w:spacing w:before="0" w:after="80" w:line="264" w:lineRule="auto"/>
        <w:rPr>
          <w:i/>
          <w:sz w:val="20"/>
          <w:lang w:val="en-GB"/>
        </w:rPr>
      </w:pPr>
      <w:r w:rsidRPr="00970B85">
        <w:rPr>
          <w:i/>
          <w:sz w:val="20"/>
          <w:lang w:val="en-GB"/>
        </w:rPr>
        <w:t>Along with the expansion of mobile phone usage betwe</w:t>
      </w:r>
      <w:r>
        <w:rPr>
          <w:i/>
          <w:sz w:val="20"/>
          <w:lang w:val="en-GB"/>
        </w:rPr>
        <w:t>en the years 1995 and 2005,</w:t>
      </w:r>
      <w:r w:rsidRPr="00970B85">
        <w:rPr>
          <w:i/>
          <w:sz w:val="20"/>
          <w:lang w:val="en-GB"/>
        </w:rPr>
        <w:t xml:space="preserve"> the percentage of household expenditure on telecommunication services has</w:t>
      </w:r>
      <w:r>
        <w:rPr>
          <w:i/>
          <w:sz w:val="20"/>
          <w:lang w:val="en-GB"/>
        </w:rPr>
        <w:t xml:space="preserve"> also</w:t>
      </w:r>
      <w:r w:rsidRPr="00970B85">
        <w:rPr>
          <w:i/>
          <w:sz w:val="20"/>
          <w:lang w:val="en-GB"/>
        </w:rPr>
        <w:t xml:space="preserve"> increased with respect to the total expenditure. Subsequently, despite further expansion of mobile phone usage, the increase slowed down significantly; in the Czech Republic as well as the EU it has even been </w:t>
      </w:r>
      <w:r>
        <w:rPr>
          <w:i/>
          <w:sz w:val="20"/>
          <w:lang w:val="en-GB"/>
        </w:rPr>
        <w:t>decreasing</w:t>
      </w:r>
      <w:r w:rsidRPr="00970B85">
        <w:rPr>
          <w:i/>
          <w:sz w:val="20"/>
          <w:lang w:val="en-GB"/>
        </w:rPr>
        <w:t xml:space="preserve"> in recent years. Despite this fact, however, Czech citizens spend a higher percentage of their total income on telecommunication services than the EU average.</w:t>
      </w:r>
    </w:p>
    <w:p w:rsidR="00BB78A6"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Cs/>
          <w:sz w:val="20"/>
          <w:szCs w:val="20"/>
          <w:lang w:val="en-GB"/>
        </w:rPr>
        <w:t xml:space="preserve">In 2016, the </w:t>
      </w:r>
      <w:r w:rsidRPr="00970B85">
        <w:rPr>
          <w:b/>
          <w:bCs/>
          <w:sz w:val="20"/>
          <w:szCs w:val="20"/>
          <w:lang w:val="en-GB"/>
        </w:rPr>
        <w:t>total</w:t>
      </w:r>
      <w:r w:rsidRPr="00970B85">
        <w:rPr>
          <w:bCs/>
          <w:sz w:val="20"/>
          <w:szCs w:val="20"/>
          <w:lang w:val="en-GB"/>
        </w:rPr>
        <w:t xml:space="preserve"> expenditure of Czech households </w:t>
      </w:r>
      <w:r w:rsidRPr="00970B85">
        <w:rPr>
          <w:b/>
          <w:bCs/>
          <w:sz w:val="20"/>
          <w:szCs w:val="20"/>
          <w:lang w:val="en-GB"/>
        </w:rPr>
        <w:t>on telecommunication services</w:t>
      </w:r>
      <w:r w:rsidRPr="00970B85">
        <w:rPr>
          <w:bCs/>
          <w:sz w:val="20"/>
          <w:szCs w:val="20"/>
          <w:lang w:val="en-GB"/>
        </w:rPr>
        <w:t xml:space="preserve"> amounted</w:t>
      </w:r>
      <w:r w:rsidRPr="00FD1FE6">
        <w:rPr>
          <w:rStyle w:val="Znakapoznpodarou"/>
          <w:bCs/>
          <w:sz w:val="20"/>
          <w:szCs w:val="20"/>
          <w:lang w:val="en-GB"/>
        </w:rPr>
        <w:footnoteReference w:id="20"/>
      </w:r>
      <w:r>
        <w:rPr>
          <w:bCs/>
          <w:sz w:val="20"/>
          <w:szCs w:val="20"/>
          <w:lang w:val="en-GB"/>
        </w:rPr>
        <w:t xml:space="preserve"> to nearly </w:t>
      </w:r>
      <w:r w:rsidRPr="00970B85">
        <w:rPr>
          <w:bCs/>
          <w:sz w:val="20"/>
          <w:szCs w:val="20"/>
          <w:lang w:val="en-GB"/>
        </w:rPr>
        <w:t>60 billion</w:t>
      </w:r>
      <w:r>
        <w:rPr>
          <w:bCs/>
          <w:sz w:val="20"/>
          <w:szCs w:val="20"/>
          <w:lang w:val="en-GB"/>
        </w:rPr>
        <w:t xml:space="preserve"> CZK</w:t>
      </w:r>
      <w:r w:rsidRPr="00970B85">
        <w:rPr>
          <w:bCs/>
          <w:sz w:val="20"/>
          <w:szCs w:val="20"/>
          <w:lang w:val="en-GB"/>
        </w:rPr>
        <w:t>. The share of this expenditure was 2.5% of total household expenditure – ten year</w:t>
      </w:r>
      <w:r>
        <w:rPr>
          <w:bCs/>
          <w:sz w:val="20"/>
          <w:szCs w:val="20"/>
          <w:lang w:val="en-GB"/>
        </w:rPr>
        <w:t>s ago (in 2006), it was 3%, and</w:t>
      </w:r>
      <w:r w:rsidRPr="00970B85">
        <w:rPr>
          <w:bCs/>
          <w:sz w:val="20"/>
          <w:szCs w:val="20"/>
          <w:lang w:val="en-GB"/>
        </w:rPr>
        <w:t xml:space="preserve"> 20 years ago it was only 1.5%.</w:t>
      </w:r>
      <w:r w:rsidRPr="00D23D5F">
        <w:rPr>
          <w:sz w:val="20"/>
          <w:szCs w:val="20"/>
          <w:lang w:val="en-GB"/>
        </w:rPr>
        <w:t xml:space="preserve"> </w:t>
      </w:r>
    </w:p>
    <w:p w:rsidR="00BB78A6" w:rsidRPr="00D23D5F"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2016, the amount spent on telecommunication services </w:t>
      </w:r>
      <w:r w:rsidRPr="00970B85">
        <w:rPr>
          <w:b/>
          <w:sz w:val="20"/>
          <w:szCs w:val="20"/>
          <w:lang w:val="en-GB"/>
        </w:rPr>
        <w:t>per one household member</w:t>
      </w:r>
      <w:r w:rsidRPr="00970B85">
        <w:rPr>
          <w:rStyle w:val="Znakapoznpodarou"/>
          <w:sz w:val="20"/>
          <w:szCs w:val="20"/>
          <w:lang w:val="en-GB"/>
        </w:rPr>
        <w:footnoteReference w:id="21"/>
      </w:r>
      <w:r w:rsidRPr="00970B85">
        <w:rPr>
          <w:b/>
          <w:sz w:val="20"/>
          <w:szCs w:val="20"/>
          <w:lang w:val="en-GB"/>
        </w:rPr>
        <w:t xml:space="preserve"> </w:t>
      </w:r>
      <w:r>
        <w:rPr>
          <w:sz w:val="20"/>
          <w:szCs w:val="20"/>
          <w:lang w:val="en-GB"/>
        </w:rPr>
        <w:t>was</w:t>
      </w:r>
      <w:r w:rsidRPr="00970B85">
        <w:rPr>
          <w:b/>
          <w:sz w:val="20"/>
          <w:szCs w:val="20"/>
          <w:lang w:val="en-GB"/>
        </w:rPr>
        <w:t xml:space="preserve"> </w:t>
      </w:r>
      <w:r w:rsidRPr="00970B85">
        <w:rPr>
          <w:sz w:val="20"/>
          <w:szCs w:val="20"/>
          <w:lang w:val="en-GB"/>
        </w:rPr>
        <w:t>4.7 thousand</w:t>
      </w:r>
      <w:r>
        <w:rPr>
          <w:sz w:val="20"/>
          <w:szCs w:val="20"/>
          <w:lang w:val="en-GB"/>
        </w:rPr>
        <w:t xml:space="preserve"> CZK</w:t>
      </w:r>
      <w:r w:rsidRPr="00970B85">
        <w:rPr>
          <w:sz w:val="20"/>
          <w:szCs w:val="20"/>
          <w:lang w:val="en-GB"/>
        </w:rPr>
        <w:t>; in households with the highest income (the fifth income quintile</w:t>
      </w:r>
      <w:r>
        <w:rPr>
          <w:sz w:val="20"/>
          <w:szCs w:val="20"/>
          <w:lang w:val="en-GB"/>
        </w:rPr>
        <w:t xml:space="preserve">), the average amount spent was </w:t>
      </w:r>
      <w:r w:rsidRPr="00970B85">
        <w:rPr>
          <w:sz w:val="20"/>
          <w:szCs w:val="20"/>
          <w:lang w:val="en-GB"/>
        </w:rPr>
        <w:t xml:space="preserve">6.3 thousand </w:t>
      </w:r>
      <w:r>
        <w:rPr>
          <w:sz w:val="20"/>
          <w:szCs w:val="20"/>
          <w:lang w:val="en-GB"/>
        </w:rPr>
        <w:t xml:space="preserve">CZK, </w:t>
      </w:r>
      <w:r w:rsidRPr="00970B85">
        <w:rPr>
          <w:sz w:val="20"/>
          <w:szCs w:val="20"/>
          <w:lang w:val="en-GB"/>
        </w:rPr>
        <w:t>and in households with the lowest income (the first income quintile)</w:t>
      </w:r>
      <w:r>
        <w:rPr>
          <w:sz w:val="20"/>
          <w:szCs w:val="20"/>
          <w:lang w:val="en-GB"/>
        </w:rPr>
        <w:t>,</w:t>
      </w:r>
      <w:r w:rsidRPr="00970B85">
        <w:rPr>
          <w:sz w:val="20"/>
          <w:szCs w:val="20"/>
          <w:lang w:val="en-GB"/>
        </w:rPr>
        <w:t xml:space="preserve"> the amount spent was 3.7 thousand</w:t>
      </w:r>
      <w:r>
        <w:rPr>
          <w:sz w:val="20"/>
          <w:szCs w:val="20"/>
          <w:lang w:val="en-GB"/>
        </w:rPr>
        <w:t xml:space="preserve"> CZK</w:t>
      </w:r>
      <w:r w:rsidRPr="00970B85">
        <w:rPr>
          <w:sz w:val="20"/>
          <w:szCs w:val="20"/>
          <w:lang w:val="en-GB"/>
        </w:rPr>
        <w:t xml:space="preserve">. </w:t>
      </w:r>
    </w:p>
    <w:p w:rsidR="00BB78A6" w:rsidRPr="00970B85" w:rsidRDefault="00BB78A6" w:rsidP="00BB78A6">
      <w:pPr>
        <w:pStyle w:val="Zkladntext"/>
        <w:spacing w:before="0" w:after="120" w:line="288" w:lineRule="auto"/>
        <w:rPr>
          <w:lang w:val="en-GB"/>
        </w:rPr>
      </w:pPr>
      <w:bookmarkStart w:id="35" w:name="_Toc526839147"/>
      <w:bookmarkStart w:id="36" w:name="_Toc527107108"/>
      <w:bookmarkEnd w:id="31"/>
      <w:bookmarkEnd w:id="32"/>
      <w:r w:rsidRPr="00970B85">
        <w:rPr>
          <w:noProof/>
        </w:rPr>
        <w:lastRenderedPageBreak/>
        <w:drawing>
          <wp:inline distT="0" distB="0" distL="0" distR="0" wp14:anchorId="0B6FB565" wp14:editId="578E9BE3">
            <wp:extent cx="2981326" cy="25200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70B85">
        <w:rPr>
          <w:lang w:val="en-GB"/>
        </w:rPr>
        <w:t xml:space="preserve"> </w:t>
      </w:r>
      <w:r w:rsidRPr="00970B85">
        <w:rPr>
          <w:noProof/>
        </w:rPr>
        <w:drawing>
          <wp:inline distT="0" distB="0" distL="0" distR="0" wp14:anchorId="14FF3626" wp14:editId="1DCD0BC0">
            <wp:extent cx="3060000" cy="2520000"/>
            <wp:effectExtent l="0" t="0" r="7620" b="1397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Since the beginning of the new decade, there is a decrease in household consumption expenditures on telecommunication services per 1 household member from 5.0 thousand in 2010 to the aforementioned 4.7</w:t>
      </w:r>
      <w:r>
        <w:rPr>
          <w:sz w:val="20"/>
          <w:szCs w:val="20"/>
          <w:lang w:val="en-GB"/>
        </w:rPr>
        <w:t> </w:t>
      </w:r>
      <w:r w:rsidRPr="00970B85">
        <w:rPr>
          <w:sz w:val="20"/>
          <w:szCs w:val="20"/>
          <w:lang w:val="en-GB"/>
        </w:rPr>
        <w:t>thousand</w:t>
      </w:r>
      <w:r>
        <w:rPr>
          <w:sz w:val="20"/>
          <w:szCs w:val="20"/>
          <w:lang w:val="en-GB"/>
        </w:rPr>
        <w:t xml:space="preserve"> CZK</w:t>
      </w:r>
      <w:r w:rsidRPr="00970B85">
        <w:rPr>
          <w:sz w:val="20"/>
          <w:szCs w:val="20"/>
          <w:lang w:val="en-GB"/>
        </w:rPr>
        <w:t xml:space="preserve"> in 2016.</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Despite the fact that the households with the lowest income spend, on average, approximately 2.5 thousand </w:t>
      </w:r>
      <w:r>
        <w:rPr>
          <w:sz w:val="20"/>
          <w:szCs w:val="20"/>
          <w:lang w:val="en-GB"/>
        </w:rPr>
        <w:t xml:space="preserve">CZK </w:t>
      </w:r>
      <w:r w:rsidRPr="00970B85">
        <w:rPr>
          <w:sz w:val="20"/>
          <w:szCs w:val="20"/>
          <w:lang w:val="en-GB"/>
        </w:rPr>
        <w:t xml:space="preserve">less on telecommunication services per one household member than the households with the highest income, the percentage of this expenditure with respect to the </w:t>
      </w:r>
      <w:r w:rsidRPr="00970B85">
        <w:rPr>
          <w:b/>
          <w:sz w:val="20"/>
          <w:szCs w:val="20"/>
          <w:lang w:val="en-GB"/>
        </w:rPr>
        <w:t>total consumption expenditure</w:t>
      </w:r>
      <w:r w:rsidRPr="00970B85">
        <w:rPr>
          <w:sz w:val="20"/>
          <w:szCs w:val="20"/>
          <w:lang w:val="en-GB"/>
        </w:rPr>
        <w:t xml:space="preserve"> is higher (4.4% vs. 3.2% in 2016).</w:t>
      </w:r>
    </w:p>
    <w:bookmarkEnd w:id="35"/>
    <w:bookmarkEnd w:id="36"/>
    <w:p w:rsidR="00BB78A6" w:rsidRPr="00970B85" w:rsidRDefault="00BB78A6" w:rsidP="00BB78A6">
      <w:pPr>
        <w:pStyle w:val="Zkladntext"/>
        <w:spacing w:before="0" w:after="120" w:line="288" w:lineRule="auto"/>
        <w:rPr>
          <w:sz w:val="20"/>
          <w:szCs w:val="20"/>
          <w:lang w:val="en-GB"/>
        </w:rPr>
      </w:pPr>
      <w:r w:rsidRPr="00970B85">
        <w:rPr>
          <w:noProof/>
        </w:rPr>
        <w:drawing>
          <wp:inline distT="0" distB="0" distL="0" distR="0" wp14:anchorId="5E488436" wp14:editId="1F05060D">
            <wp:extent cx="5972810" cy="2880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Cs/>
          <w:sz w:val="20"/>
          <w:szCs w:val="20"/>
          <w:lang w:val="en-GB"/>
        </w:rPr>
        <w:t xml:space="preserve">Most households spend money on the </w:t>
      </w:r>
      <w:r w:rsidRPr="00970B85">
        <w:rPr>
          <w:b/>
          <w:bCs/>
          <w:sz w:val="20"/>
          <w:szCs w:val="20"/>
          <w:lang w:val="en-GB"/>
        </w:rPr>
        <w:t xml:space="preserve">operation of mobile phones </w:t>
      </w:r>
      <w:r w:rsidRPr="00970B85">
        <w:rPr>
          <w:bCs/>
          <w:sz w:val="20"/>
          <w:szCs w:val="20"/>
          <w:lang w:val="en-GB"/>
        </w:rPr>
        <w:t xml:space="preserve">(67% of total household expenditure on telecommunication services </w:t>
      </w:r>
      <w:r>
        <w:rPr>
          <w:bCs/>
          <w:sz w:val="20"/>
          <w:szCs w:val="20"/>
          <w:lang w:val="en-GB"/>
        </w:rPr>
        <w:t>–</w:t>
      </w:r>
      <w:r w:rsidRPr="00970B85">
        <w:rPr>
          <w:bCs/>
          <w:sz w:val="20"/>
          <w:szCs w:val="20"/>
          <w:lang w:val="en-GB"/>
        </w:rPr>
        <w:t xml:space="preserve"> data for 2016)</w:t>
      </w:r>
      <w:r>
        <w:rPr>
          <w:bCs/>
          <w:sz w:val="20"/>
          <w:szCs w:val="20"/>
          <w:lang w:val="en-GB"/>
        </w:rPr>
        <w:t>. A</w:t>
      </w:r>
      <w:r w:rsidRPr="00970B85">
        <w:rPr>
          <w:bCs/>
          <w:sz w:val="20"/>
          <w:szCs w:val="20"/>
          <w:lang w:val="en-GB"/>
        </w:rPr>
        <w:t xml:space="preserve">nother, yet less significant item, is expenditure on </w:t>
      </w:r>
      <w:r w:rsidRPr="00970B85">
        <w:rPr>
          <w:b/>
          <w:bCs/>
          <w:sz w:val="20"/>
          <w:szCs w:val="20"/>
          <w:lang w:val="en-GB"/>
        </w:rPr>
        <w:t>internet connection</w:t>
      </w:r>
      <w:r w:rsidRPr="00970B85">
        <w:rPr>
          <w:bCs/>
          <w:sz w:val="20"/>
          <w:szCs w:val="20"/>
          <w:lang w:val="en-GB"/>
        </w:rPr>
        <w:t xml:space="preserve"> (29%)</w:t>
      </w:r>
      <w:r>
        <w:rPr>
          <w:bCs/>
          <w:sz w:val="20"/>
          <w:szCs w:val="20"/>
          <w:lang w:val="en-GB"/>
        </w:rPr>
        <w:t>,</w:t>
      </w:r>
      <w:r w:rsidRPr="00970B85">
        <w:rPr>
          <w:bCs/>
          <w:sz w:val="20"/>
          <w:szCs w:val="20"/>
          <w:lang w:val="en-GB"/>
        </w:rPr>
        <w:t xml:space="preserve"> which has been increasing as time goes</w:t>
      </w:r>
      <w:r>
        <w:rPr>
          <w:bCs/>
          <w:sz w:val="20"/>
          <w:szCs w:val="20"/>
          <w:lang w:val="en-GB"/>
        </w:rPr>
        <w:t xml:space="preserve"> on</w:t>
      </w:r>
      <w:r w:rsidRPr="00970B85">
        <w:rPr>
          <w:bCs/>
          <w:sz w:val="20"/>
          <w:szCs w:val="20"/>
          <w:lang w:val="en-GB"/>
        </w:rPr>
        <w:t xml:space="preserve">. </w:t>
      </w:r>
    </w:p>
    <w:p w:rsidR="00BB78A6"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Cs/>
          <w:sz w:val="20"/>
          <w:szCs w:val="20"/>
          <w:lang w:val="en-GB"/>
        </w:rPr>
        <w:t xml:space="preserve">In comparison with the situation 10 years ago, Czech households spend a significantly </w:t>
      </w:r>
      <w:r w:rsidRPr="00327120">
        <w:rPr>
          <w:bCs/>
          <w:sz w:val="20"/>
          <w:szCs w:val="20"/>
          <w:lang w:val="en-GB"/>
        </w:rPr>
        <w:t>lower amount on the operation of a fixed telephone</w:t>
      </w:r>
      <w:r w:rsidRPr="00970B85">
        <w:rPr>
          <w:bCs/>
          <w:sz w:val="20"/>
          <w:szCs w:val="20"/>
          <w:lang w:val="en-GB"/>
        </w:rPr>
        <w:t>.</w:t>
      </w:r>
      <w:r>
        <w:rPr>
          <w:sz w:val="20"/>
          <w:szCs w:val="20"/>
          <w:lang w:val="en-GB"/>
        </w:rPr>
        <w:t xml:space="preserve"> Whereas in 1995</w:t>
      </w:r>
      <w:r w:rsidRPr="00970B85">
        <w:rPr>
          <w:sz w:val="20"/>
          <w:szCs w:val="20"/>
          <w:lang w:val="en-GB"/>
        </w:rPr>
        <w:t xml:space="preserve"> nearly the whole amount spent by households on telecommunication services was used for the </w:t>
      </w:r>
      <w:r w:rsidRPr="00970B85">
        <w:rPr>
          <w:b/>
          <w:sz w:val="20"/>
          <w:szCs w:val="20"/>
          <w:lang w:val="en-GB"/>
        </w:rPr>
        <w:t>operation of fixed telephone lines</w:t>
      </w:r>
      <w:r w:rsidRPr="00970B85">
        <w:rPr>
          <w:sz w:val="20"/>
          <w:szCs w:val="20"/>
          <w:lang w:val="en-GB"/>
        </w:rPr>
        <w:t>, in 2010</w:t>
      </w:r>
      <w:r>
        <w:rPr>
          <w:sz w:val="20"/>
          <w:szCs w:val="20"/>
          <w:lang w:val="en-GB"/>
        </w:rPr>
        <w:t>,</w:t>
      </w:r>
      <w:r w:rsidRPr="00970B85">
        <w:rPr>
          <w:sz w:val="20"/>
          <w:szCs w:val="20"/>
          <w:lang w:val="en-GB"/>
        </w:rPr>
        <w:t xml:space="preserve"> it was only ten per cent</w:t>
      </w:r>
      <w:r>
        <w:rPr>
          <w:sz w:val="20"/>
          <w:szCs w:val="20"/>
          <w:lang w:val="en-GB"/>
        </w:rPr>
        <w:t>,</w:t>
      </w:r>
      <w:r w:rsidRPr="00970B85">
        <w:rPr>
          <w:sz w:val="20"/>
          <w:szCs w:val="20"/>
          <w:lang w:val="en-GB"/>
        </w:rPr>
        <w:t xml:space="preserve"> and in 2016</w:t>
      </w:r>
      <w:r>
        <w:rPr>
          <w:sz w:val="20"/>
          <w:szCs w:val="20"/>
          <w:lang w:val="en-GB"/>
        </w:rPr>
        <w:t>,</w:t>
      </w:r>
      <w:r w:rsidRPr="00970B85">
        <w:rPr>
          <w:sz w:val="20"/>
          <w:szCs w:val="20"/>
          <w:lang w:val="en-GB"/>
        </w:rPr>
        <w:t xml:space="preserve"> only 4%.</w:t>
      </w:r>
    </w:p>
    <w:p w:rsidR="00BB78A6" w:rsidRPr="00DA3469" w:rsidRDefault="00BB78A6" w:rsidP="00BB78A6">
      <w:pPr>
        <w:pStyle w:val="Zkladntext"/>
        <w:numPr>
          <w:ilvl w:val="0"/>
          <w:numId w:val="15"/>
        </w:numPr>
        <w:tabs>
          <w:tab w:val="clear" w:pos="360"/>
          <w:tab w:val="num" w:pos="284"/>
        </w:tabs>
        <w:spacing w:before="0" w:after="80" w:line="264" w:lineRule="auto"/>
        <w:ind w:left="284" w:hanging="284"/>
        <w:rPr>
          <w:b/>
          <w:i/>
          <w:sz w:val="20"/>
          <w:szCs w:val="20"/>
          <w:lang w:val="en-GB"/>
        </w:rPr>
      </w:pPr>
      <w:r w:rsidRPr="00970B85">
        <w:rPr>
          <w:bCs/>
          <w:sz w:val="20"/>
          <w:szCs w:val="20"/>
          <w:lang w:val="en-GB"/>
        </w:rPr>
        <w:t xml:space="preserve">Since 2002, the percentage of telecommunication services in total household expenditure in the Czech Republic is higher than the EU average. In 2016, the EU average amounted to 2.1%, </w:t>
      </w:r>
      <w:r>
        <w:rPr>
          <w:bCs/>
          <w:sz w:val="20"/>
          <w:szCs w:val="20"/>
          <w:lang w:val="en-GB"/>
        </w:rPr>
        <w:t xml:space="preserve">compare to </w:t>
      </w:r>
      <w:r w:rsidRPr="00970B85">
        <w:rPr>
          <w:bCs/>
          <w:sz w:val="20"/>
          <w:szCs w:val="20"/>
          <w:lang w:val="en-GB"/>
        </w:rPr>
        <w:t>2.5% in the Czech Republic</w:t>
      </w:r>
      <w:r>
        <w:rPr>
          <w:bCs/>
          <w:sz w:val="20"/>
          <w:szCs w:val="20"/>
          <w:lang w:val="en-GB"/>
        </w:rPr>
        <w:t>.</w:t>
      </w:r>
      <w:r w:rsidRPr="00970B85">
        <w:rPr>
          <w:bCs/>
          <w:sz w:val="20"/>
          <w:szCs w:val="20"/>
          <w:lang w:val="en-GB"/>
        </w:rPr>
        <w:t xml:space="preserve"> This expenditure is of </w:t>
      </w:r>
      <w:r w:rsidRPr="00970B85">
        <w:rPr>
          <w:b/>
          <w:bCs/>
          <w:sz w:val="20"/>
          <w:szCs w:val="20"/>
          <w:lang w:val="en-GB"/>
        </w:rPr>
        <w:t>the highest percentage</w:t>
      </w:r>
      <w:r w:rsidRPr="00970B85">
        <w:rPr>
          <w:bCs/>
          <w:sz w:val="20"/>
          <w:szCs w:val="20"/>
          <w:lang w:val="en-GB"/>
        </w:rPr>
        <w:t xml:space="preserve"> in </w:t>
      </w:r>
      <w:r>
        <w:rPr>
          <w:bCs/>
          <w:sz w:val="20"/>
          <w:szCs w:val="20"/>
          <w:lang w:val="en-GB"/>
        </w:rPr>
        <w:t xml:space="preserve">Greek households (4.3%), </w:t>
      </w:r>
      <w:r w:rsidRPr="00970B85">
        <w:rPr>
          <w:bCs/>
          <w:sz w:val="20"/>
          <w:szCs w:val="20"/>
          <w:lang w:val="en-GB"/>
        </w:rPr>
        <w:t>Romania</w:t>
      </w:r>
      <w:r>
        <w:rPr>
          <w:bCs/>
          <w:sz w:val="20"/>
          <w:szCs w:val="20"/>
          <w:lang w:val="en-GB"/>
        </w:rPr>
        <w:t xml:space="preserve">n (4.0%), </w:t>
      </w:r>
      <w:r w:rsidRPr="00970B85">
        <w:rPr>
          <w:bCs/>
          <w:sz w:val="20"/>
          <w:szCs w:val="20"/>
          <w:lang w:val="en-GB"/>
        </w:rPr>
        <w:t>Bulgaria</w:t>
      </w:r>
      <w:r>
        <w:rPr>
          <w:bCs/>
          <w:sz w:val="20"/>
          <w:szCs w:val="20"/>
          <w:lang w:val="en-GB"/>
        </w:rPr>
        <w:t>n</w:t>
      </w:r>
      <w:r w:rsidRPr="00970B85">
        <w:rPr>
          <w:bCs/>
          <w:sz w:val="20"/>
          <w:szCs w:val="20"/>
          <w:lang w:val="en-GB"/>
        </w:rPr>
        <w:t xml:space="preserve"> (3.6%), in Hungar</w:t>
      </w:r>
      <w:r>
        <w:rPr>
          <w:bCs/>
          <w:sz w:val="20"/>
          <w:szCs w:val="20"/>
          <w:lang w:val="en-GB"/>
        </w:rPr>
        <w:t>ian</w:t>
      </w:r>
      <w:r w:rsidRPr="00970B85">
        <w:rPr>
          <w:bCs/>
          <w:sz w:val="20"/>
          <w:szCs w:val="20"/>
          <w:lang w:val="en-GB"/>
        </w:rPr>
        <w:t xml:space="preserve"> (3.6%), and Slovakia</w:t>
      </w:r>
      <w:r>
        <w:rPr>
          <w:bCs/>
          <w:sz w:val="20"/>
          <w:szCs w:val="20"/>
          <w:lang w:val="en-GB"/>
        </w:rPr>
        <w:t>n</w:t>
      </w:r>
      <w:r w:rsidRPr="00970B85">
        <w:rPr>
          <w:bCs/>
          <w:sz w:val="20"/>
          <w:szCs w:val="20"/>
          <w:lang w:val="en-GB"/>
        </w:rPr>
        <w:t xml:space="preserve"> (3.1%), </w:t>
      </w:r>
      <w:r>
        <w:rPr>
          <w:bCs/>
          <w:sz w:val="20"/>
          <w:szCs w:val="20"/>
          <w:lang w:val="en-GB"/>
        </w:rPr>
        <w:t xml:space="preserve">and </w:t>
      </w:r>
      <w:r w:rsidRPr="00970B85">
        <w:rPr>
          <w:b/>
          <w:bCs/>
          <w:sz w:val="20"/>
          <w:szCs w:val="20"/>
          <w:lang w:val="en-GB"/>
        </w:rPr>
        <w:t>of the lowest</w:t>
      </w:r>
      <w:r>
        <w:rPr>
          <w:bCs/>
          <w:sz w:val="20"/>
          <w:szCs w:val="20"/>
          <w:lang w:val="en-GB"/>
        </w:rPr>
        <w:t xml:space="preserve"> in</w:t>
      </w:r>
      <w:r w:rsidRPr="00970B85">
        <w:rPr>
          <w:bCs/>
          <w:sz w:val="20"/>
          <w:szCs w:val="20"/>
          <w:lang w:val="en-GB"/>
        </w:rPr>
        <w:t xml:space="preserve"> Luxembourg and Austria</w:t>
      </w:r>
      <w:r>
        <w:rPr>
          <w:bCs/>
          <w:sz w:val="20"/>
          <w:szCs w:val="20"/>
          <w:lang w:val="en-GB"/>
        </w:rPr>
        <w:t>n</w:t>
      </w:r>
      <w:r w:rsidRPr="00970B85">
        <w:rPr>
          <w:bCs/>
          <w:sz w:val="20"/>
          <w:szCs w:val="20"/>
          <w:lang w:val="en-GB"/>
        </w:rPr>
        <w:t xml:space="preserve"> </w:t>
      </w:r>
      <w:r>
        <w:rPr>
          <w:bCs/>
          <w:sz w:val="20"/>
          <w:szCs w:val="20"/>
          <w:lang w:val="en-GB"/>
        </w:rPr>
        <w:t>households</w:t>
      </w:r>
      <w:r w:rsidRPr="00970B85">
        <w:rPr>
          <w:bCs/>
          <w:sz w:val="20"/>
          <w:szCs w:val="20"/>
          <w:lang w:val="en-GB"/>
        </w:rPr>
        <w:t xml:space="preserve"> (equal percentage of 1.4% in total household expenditure).</w:t>
      </w:r>
    </w:p>
    <w:p w:rsidR="00BB78A6" w:rsidRPr="00970B85" w:rsidRDefault="00BB78A6" w:rsidP="00983696">
      <w:pPr>
        <w:pStyle w:val="Nadpis2"/>
        <w:spacing w:before="0"/>
      </w:pPr>
      <w:bookmarkStart w:id="37" w:name="_Toc533697492"/>
      <w:bookmarkStart w:id="38" w:name="_Toc534711991"/>
      <w:r w:rsidRPr="00970B85">
        <w:lastRenderedPageBreak/>
        <w:t>B.2 Households and computers</w:t>
      </w:r>
      <w:bookmarkEnd w:id="37"/>
      <w:bookmarkEnd w:id="38"/>
    </w:p>
    <w:p w:rsidR="00BB78A6" w:rsidRDefault="006B6740" w:rsidP="00BB78A6">
      <w:pPr>
        <w:pStyle w:val="Zkladntext"/>
        <w:spacing w:before="0" w:after="80" w:line="264" w:lineRule="auto"/>
        <w:rPr>
          <w:i/>
          <w:sz w:val="20"/>
          <w:lang w:val="en-GB"/>
        </w:rPr>
      </w:pPr>
      <w:r>
        <w:rPr>
          <w:i/>
          <w:sz w:val="20"/>
          <w:lang w:val="en-GB"/>
        </w:rPr>
        <w:t xml:space="preserve">In the </w:t>
      </w:r>
      <w:r w:rsidR="00BB78A6">
        <w:rPr>
          <w:i/>
          <w:sz w:val="20"/>
          <w:lang w:val="en-GB"/>
        </w:rPr>
        <w:t>1990s</w:t>
      </w:r>
      <w:r w:rsidR="00BB78A6" w:rsidRPr="00970B85">
        <w:rPr>
          <w:i/>
          <w:sz w:val="20"/>
          <w:lang w:val="en-GB"/>
        </w:rPr>
        <w:t xml:space="preserve">, it was not typical </w:t>
      </w:r>
      <w:r w:rsidR="00BB78A6">
        <w:rPr>
          <w:i/>
          <w:sz w:val="20"/>
          <w:lang w:val="en-GB"/>
        </w:rPr>
        <w:t>for</w:t>
      </w:r>
      <w:r w:rsidR="00BB78A6" w:rsidRPr="00970B85">
        <w:rPr>
          <w:i/>
          <w:sz w:val="20"/>
          <w:lang w:val="en-GB"/>
        </w:rPr>
        <w:t xml:space="preserve"> Czech households to own a private computer, and at the beginning of the new millennium having a computer in </w:t>
      </w:r>
      <w:r w:rsidR="00BB78A6">
        <w:rPr>
          <w:i/>
          <w:sz w:val="20"/>
          <w:lang w:val="en-GB"/>
        </w:rPr>
        <w:t>one’s household</w:t>
      </w:r>
      <w:r w:rsidR="00BB78A6" w:rsidRPr="00970B85">
        <w:rPr>
          <w:i/>
          <w:sz w:val="20"/>
          <w:lang w:val="en-GB"/>
        </w:rPr>
        <w:t xml:space="preserve"> was rather rare. However, since 2005</w:t>
      </w:r>
      <w:r w:rsidR="00BB78A6">
        <w:rPr>
          <w:i/>
          <w:sz w:val="20"/>
          <w:lang w:val="en-GB"/>
        </w:rPr>
        <w:t>, the</w:t>
      </w:r>
      <w:r w:rsidR="00BB78A6" w:rsidRPr="00970B85">
        <w:rPr>
          <w:i/>
          <w:sz w:val="20"/>
          <w:lang w:val="en-GB"/>
        </w:rPr>
        <w:t xml:space="preserve"> number </w:t>
      </w:r>
      <w:r w:rsidR="00BB78A6">
        <w:rPr>
          <w:i/>
          <w:sz w:val="20"/>
          <w:lang w:val="en-GB"/>
        </w:rPr>
        <w:t xml:space="preserve">of private computers </w:t>
      </w:r>
      <w:r w:rsidR="00BB78A6" w:rsidRPr="00970B85">
        <w:rPr>
          <w:i/>
          <w:sz w:val="20"/>
          <w:lang w:val="en-GB"/>
        </w:rPr>
        <w:t>is growing</w:t>
      </w:r>
      <w:r w:rsidR="00BB78A6">
        <w:rPr>
          <w:i/>
          <w:sz w:val="20"/>
          <w:lang w:val="en-GB"/>
        </w:rPr>
        <w:t>.</w:t>
      </w:r>
      <w:r w:rsidR="00BB78A6" w:rsidRPr="00970B85">
        <w:rPr>
          <w:i/>
          <w:sz w:val="20"/>
          <w:lang w:val="en-GB"/>
        </w:rPr>
        <w:t xml:space="preserve"> </w:t>
      </w:r>
      <w:r w:rsidR="00BB78A6">
        <w:rPr>
          <w:i/>
          <w:sz w:val="20"/>
          <w:lang w:val="en-GB"/>
        </w:rPr>
        <w:t>A</w:t>
      </w:r>
      <w:r w:rsidR="00BB78A6" w:rsidRPr="00970B85">
        <w:rPr>
          <w:i/>
          <w:sz w:val="20"/>
          <w:lang w:val="en-GB"/>
        </w:rPr>
        <w:t xml:space="preserve"> computer</w:t>
      </w:r>
      <w:r w:rsidR="00BB78A6">
        <w:rPr>
          <w:i/>
          <w:sz w:val="20"/>
          <w:lang w:val="en-GB"/>
        </w:rPr>
        <w:t>,</w:t>
      </w:r>
      <w:r w:rsidR="00BB78A6" w:rsidRPr="00970B85">
        <w:rPr>
          <w:i/>
          <w:sz w:val="20"/>
          <w:lang w:val="en-GB"/>
        </w:rPr>
        <w:t xml:space="preserve"> as well as TV or other consumer electronics</w:t>
      </w:r>
      <w:r w:rsidR="00BB78A6">
        <w:rPr>
          <w:i/>
          <w:sz w:val="20"/>
          <w:lang w:val="en-GB"/>
        </w:rPr>
        <w:t xml:space="preserve">, are owned </w:t>
      </w:r>
      <w:r w:rsidR="00BB78A6" w:rsidRPr="00970B85">
        <w:rPr>
          <w:i/>
          <w:sz w:val="20"/>
          <w:lang w:val="en-GB"/>
        </w:rPr>
        <w:t xml:space="preserve">by </w:t>
      </w:r>
      <w:r w:rsidR="00BB78A6">
        <w:rPr>
          <w:i/>
          <w:sz w:val="20"/>
          <w:lang w:val="en-GB"/>
        </w:rPr>
        <w:t xml:space="preserve">nearly </w:t>
      </w:r>
      <w:r w:rsidR="00BB78A6" w:rsidRPr="00970B85">
        <w:rPr>
          <w:i/>
          <w:sz w:val="20"/>
          <w:lang w:val="en-GB"/>
        </w:rPr>
        <w:t>all households which have this equ</w:t>
      </w:r>
      <w:r w:rsidR="00BB78A6">
        <w:rPr>
          <w:i/>
          <w:sz w:val="20"/>
          <w:lang w:val="en-GB"/>
        </w:rPr>
        <w:t>ipment at home or are willing/</w:t>
      </w:r>
      <w:r w:rsidR="00BB78A6" w:rsidRPr="00970B85">
        <w:rPr>
          <w:i/>
          <w:sz w:val="20"/>
          <w:lang w:val="en-GB"/>
        </w:rPr>
        <w:t xml:space="preserve">able to use it. </w:t>
      </w:r>
    </w:p>
    <w:p w:rsidR="00BB78A6" w:rsidRPr="00970B85" w:rsidRDefault="00BB78A6" w:rsidP="00BB78A6">
      <w:pPr>
        <w:pStyle w:val="Nadpis3"/>
      </w:pPr>
      <w:bookmarkStart w:id="39" w:name="_Toc533697493"/>
      <w:bookmarkStart w:id="40" w:name="_Toc534711992"/>
      <w:r w:rsidRPr="00970B85">
        <w:t>Households with a computer</w:t>
      </w:r>
      <w:r>
        <w:t xml:space="preserve"> – Main figures</w:t>
      </w:r>
      <w:bookmarkEnd w:id="39"/>
      <w:bookmarkEnd w:id="40"/>
    </w:p>
    <w:p w:rsidR="00BB78A6" w:rsidRPr="00DA3469" w:rsidRDefault="00BB78A6" w:rsidP="00DA3469">
      <w:pPr>
        <w:pStyle w:val="Zkladntext"/>
        <w:numPr>
          <w:ilvl w:val="0"/>
          <w:numId w:val="15"/>
        </w:numPr>
        <w:tabs>
          <w:tab w:val="clear" w:pos="360"/>
          <w:tab w:val="num" w:pos="284"/>
        </w:tabs>
        <w:spacing w:before="0" w:after="80" w:line="264" w:lineRule="auto"/>
        <w:ind w:left="284" w:hanging="284"/>
        <w:rPr>
          <w:bCs/>
          <w:sz w:val="20"/>
          <w:szCs w:val="20"/>
          <w:lang w:val="en-GB"/>
        </w:rPr>
      </w:pPr>
      <w:bookmarkStart w:id="41" w:name="_Toc526839148"/>
      <w:bookmarkStart w:id="42" w:name="_Toc527107109"/>
      <w:r w:rsidRPr="00970B85">
        <w:rPr>
          <w:bCs/>
          <w:sz w:val="20"/>
          <w:szCs w:val="20"/>
          <w:lang w:val="en-GB"/>
        </w:rPr>
        <w:t xml:space="preserve">Since 2005, the number of </w:t>
      </w:r>
      <w:r w:rsidRPr="00970B85">
        <w:rPr>
          <w:b/>
          <w:bCs/>
          <w:sz w:val="20"/>
          <w:szCs w:val="20"/>
          <w:lang w:val="en-GB"/>
        </w:rPr>
        <w:t>households with a computer</w:t>
      </w:r>
      <w:r w:rsidRPr="00970B85">
        <w:rPr>
          <w:bCs/>
          <w:sz w:val="20"/>
          <w:szCs w:val="20"/>
          <w:lang w:val="en-GB"/>
        </w:rPr>
        <w:t xml:space="preserve"> has been increasing in the Czech Republic</w:t>
      </w:r>
      <w:r w:rsidRPr="003A427E">
        <w:rPr>
          <w:rStyle w:val="Znakapoznpodarou"/>
          <w:bCs/>
          <w:sz w:val="20"/>
          <w:szCs w:val="20"/>
          <w:lang w:val="en-GB"/>
        </w:rPr>
        <w:footnoteReference w:id="22"/>
      </w:r>
      <w:r w:rsidRPr="00970B85">
        <w:rPr>
          <w:bCs/>
          <w:sz w:val="20"/>
          <w:szCs w:val="20"/>
          <w:lang w:val="en-GB"/>
        </w:rPr>
        <w:t xml:space="preserve">. Only in the past ten years </w:t>
      </w:r>
      <w:r>
        <w:rPr>
          <w:bCs/>
          <w:sz w:val="20"/>
          <w:szCs w:val="20"/>
          <w:lang w:val="en-GB"/>
        </w:rPr>
        <w:t xml:space="preserve">has </w:t>
      </w:r>
      <w:r w:rsidRPr="00970B85">
        <w:rPr>
          <w:bCs/>
          <w:sz w:val="20"/>
          <w:szCs w:val="20"/>
          <w:lang w:val="en-GB"/>
        </w:rPr>
        <w:t>the number nearly doubled</w:t>
      </w:r>
      <w:r>
        <w:rPr>
          <w:bCs/>
          <w:sz w:val="20"/>
          <w:szCs w:val="20"/>
          <w:lang w:val="en-GB"/>
        </w:rPr>
        <w:t>,</w:t>
      </w:r>
      <w:r w:rsidRPr="00970B85">
        <w:rPr>
          <w:bCs/>
          <w:sz w:val="20"/>
          <w:szCs w:val="20"/>
          <w:lang w:val="en-GB"/>
        </w:rPr>
        <w:t xml:space="preserve"> and in Q2 of </w:t>
      </w:r>
      <w:r>
        <w:rPr>
          <w:bCs/>
          <w:sz w:val="20"/>
          <w:szCs w:val="20"/>
          <w:lang w:val="en-GB"/>
        </w:rPr>
        <w:t>2017 there were 3.3 million</w:t>
      </w:r>
      <w:r w:rsidRPr="00970B85">
        <w:rPr>
          <w:bCs/>
          <w:sz w:val="20"/>
          <w:szCs w:val="20"/>
          <w:lang w:val="en-GB"/>
        </w:rPr>
        <w:t>, meaning 76% of all households.</w:t>
      </w:r>
      <w:bookmarkEnd w:id="41"/>
      <w:bookmarkEnd w:id="42"/>
    </w:p>
    <w:p w:rsidR="00BB78A6" w:rsidRPr="00970B85" w:rsidRDefault="00BB78A6" w:rsidP="00BB78A6">
      <w:pPr>
        <w:pStyle w:val="Zkladntext"/>
        <w:spacing w:before="0" w:after="120" w:line="288" w:lineRule="auto"/>
        <w:rPr>
          <w:lang w:val="en-GB"/>
        </w:rPr>
      </w:pPr>
      <w:r w:rsidRPr="00970B85">
        <w:rPr>
          <w:noProof/>
        </w:rPr>
        <w:drawing>
          <wp:inline distT="0" distB="0" distL="0" distR="0" wp14:anchorId="1EC5F2EC" wp14:editId="2B05052D">
            <wp:extent cx="2880000" cy="3060000"/>
            <wp:effectExtent l="0" t="0" r="0" b="762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70B85">
        <w:rPr>
          <w:lang w:val="en-GB"/>
        </w:rPr>
        <w:t xml:space="preserve"> </w:t>
      </w:r>
      <w:r w:rsidRPr="00970B85">
        <w:rPr>
          <w:noProof/>
        </w:rPr>
        <w:drawing>
          <wp:inline distT="0" distB="0" distL="0" distR="0" wp14:anchorId="7AA46716" wp14:editId="1013ABBC">
            <wp:extent cx="3204000" cy="3060000"/>
            <wp:effectExtent l="0" t="0" r="0" b="762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bookmarkStart w:id="43" w:name="_Toc528845443"/>
      <w:r w:rsidRPr="00970B85">
        <w:rPr>
          <w:sz w:val="20"/>
          <w:szCs w:val="20"/>
          <w:lang w:val="en-GB"/>
        </w:rPr>
        <w:t xml:space="preserve">Much better equipment with a computer is found in </w:t>
      </w:r>
      <w:r w:rsidRPr="00970B85">
        <w:rPr>
          <w:b/>
          <w:sz w:val="20"/>
          <w:szCs w:val="20"/>
          <w:lang w:val="en-GB"/>
        </w:rPr>
        <w:t>households with children</w:t>
      </w:r>
      <w:r w:rsidRPr="00970B85">
        <w:rPr>
          <w:sz w:val="20"/>
          <w:szCs w:val="20"/>
          <w:lang w:val="en-GB"/>
        </w:rPr>
        <w:t xml:space="preserve"> and in </w:t>
      </w:r>
      <w:r w:rsidRPr="00970B85">
        <w:rPr>
          <w:b/>
          <w:sz w:val="20"/>
          <w:szCs w:val="20"/>
          <w:lang w:val="en-GB"/>
        </w:rPr>
        <w:t>young households</w:t>
      </w:r>
      <w:r w:rsidRPr="00970B85">
        <w:rPr>
          <w:sz w:val="20"/>
          <w:szCs w:val="20"/>
          <w:lang w:val="en-GB"/>
        </w:rPr>
        <w:t xml:space="preserve"> (persons up to the age of 40 with no children). With respect to those categories, a computer may be found nearly in all such </w:t>
      </w:r>
      <w:r>
        <w:rPr>
          <w:sz w:val="20"/>
          <w:szCs w:val="20"/>
          <w:lang w:val="en-GB"/>
        </w:rPr>
        <w:t>families – in 95% of cases. Opposed to this</w:t>
      </w:r>
      <w:r w:rsidRPr="00970B85">
        <w:rPr>
          <w:sz w:val="20"/>
          <w:szCs w:val="20"/>
          <w:lang w:val="en-GB"/>
        </w:rPr>
        <w:t xml:space="preserve">, just under a third of </w:t>
      </w:r>
      <w:r w:rsidRPr="00970B85">
        <w:rPr>
          <w:b/>
          <w:sz w:val="20"/>
          <w:szCs w:val="20"/>
          <w:lang w:val="en-GB"/>
        </w:rPr>
        <w:t>pensioners</w:t>
      </w:r>
      <w:r w:rsidRPr="00970B85">
        <w:rPr>
          <w:sz w:val="20"/>
          <w:szCs w:val="20"/>
          <w:lang w:val="en-GB"/>
        </w:rPr>
        <w:t xml:space="preserve"> (persons over the age of 65) is equipped with a computer. Out of the million households having no computer in 2017, nearly two thirds were the households of pensioners.</w:t>
      </w:r>
    </w:p>
    <w:p w:rsidR="00BB78A6"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It may not come as a surprise that households with</w:t>
      </w:r>
      <w:r>
        <w:rPr>
          <w:sz w:val="20"/>
          <w:szCs w:val="20"/>
          <w:lang w:val="en-GB"/>
        </w:rPr>
        <w:t xml:space="preserve"> a</w:t>
      </w:r>
      <w:r w:rsidRPr="00970B85">
        <w:rPr>
          <w:sz w:val="20"/>
          <w:szCs w:val="20"/>
          <w:lang w:val="en-GB"/>
        </w:rPr>
        <w:t xml:space="preserve"> </w:t>
      </w:r>
      <w:r w:rsidRPr="00970B85">
        <w:rPr>
          <w:b/>
          <w:sz w:val="20"/>
          <w:szCs w:val="20"/>
          <w:lang w:val="en-GB"/>
        </w:rPr>
        <w:t xml:space="preserve">higher income </w:t>
      </w:r>
      <w:r w:rsidRPr="00970B85">
        <w:rPr>
          <w:sz w:val="20"/>
          <w:szCs w:val="20"/>
          <w:lang w:val="en-GB"/>
        </w:rPr>
        <w:t xml:space="preserve">are more frequently equipped with computers than households with </w:t>
      </w:r>
      <w:r w:rsidRPr="00970B85">
        <w:rPr>
          <w:b/>
          <w:sz w:val="20"/>
          <w:szCs w:val="20"/>
          <w:lang w:val="en-GB"/>
        </w:rPr>
        <w:t>lower income</w:t>
      </w:r>
      <w:r w:rsidRPr="00970B85">
        <w:rPr>
          <w:sz w:val="20"/>
          <w:szCs w:val="20"/>
          <w:lang w:val="en-GB"/>
        </w:rPr>
        <w:t>. Whereas in 2017 no computer could be found in more than a half of all households with the lowest income (59%) – these mainly include the aforementioned households of pensioners, the same applied only to 1.5% of households with the highest income.</w:t>
      </w:r>
    </w:p>
    <w:p w:rsidR="00BB78A6" w:rsidRPr="00AB071F"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In the past decade, the percentage of households equipped with a computer in the EU countries has increased from 64% in 2007 to 84% in 2017. Although we belong to EU countries where the past ten</w:t>
      </w:r>
      <w:r>
        <w:rPr>
          <w:sz w:val="20"/>
          <w:szCs w:val="20"/>
          <w:lang w:val="en-GB"/>
        </w:rPr>
        <w:t> </w:t>
      </w:r>
      <w:r w:rsidRPr="00970B85">
        <w:rPr>
          <w:sz w:val="20"/>
          <w:szCs w:val="20"/>
          <w:lang w:val="en-GB"/>
        </w:rPr>
        <w:t>years have meant the greatest development in the equipment of households with computers, we still lag behind the aforementioned</w:t>
      </w:r>
      <w:r w:rsidRPr="00970B85">
        <w:rPr>
          <w:b/>
          <w:sz w:val="20"/>
          <w:szCs w:val="20"/>
          <w:lang w:val="en-GB"/>
        </w:rPr>
        <w:t xml:space="preserve"> European average</w:t>
      </w:r>
      <w:r w:rsidRPr="00970B85">
        <w:rPr>
          <w:sz w:val="20"/>
          <w:szCs w:val="20"/>
          <w:lang w:val="en-GB"/>
        </w:rPr>
        <w:t>. In 2017 the number of Czech households with computer access was 82% (</w:t>
      </w:r>
      <w:r w:rsidRPr="00970B85">
        <w:rPr>
          <w:i/>
          <w:sz w:val="20"/>
          <w:szCs w:val="20"/>
          <w:lang w:val="en-GB"/>
        </w:rPr>
        <w:t>data solely involving households with at least one person aged 16–74</w:t>
      </w:r>
      <w:r w:rsidRPr="00970B85">
        <w:rPr>
          <w:sz w:val="20"/>
          <w:szCs w:val="20"/>
          <w:lang w:val="en-GB"/>
        </w:rPr>
        <w:t>), i.e. still two</w:t>
      </w:r>
      <w:r w:rsidRPr="00970B85">
        <w:rPr>
          <w:i/>
          <w:sz w:val="20"/>
          <w:szCs w:val="20"/>
          <w:lang w:val="en-GB"/>
        </w:rPr>
        <w:t xml:space="preserve"> </w:t>
      </w:r>
      <w:r w:rsidRPr="00970B85">
        <w:rPr>
          <w:sz w:val="20"/>
          <w:szCs w:val="20"/>
          <w:lang w:val="en-GB"/>
        </w:rPr>
        <w:t>per cent less than the EU28 average</w:t>
      </w:r>
      <w:r w:rsidRPr="00970B85">
        <w:rPr>
          <w:i/>
          <w:sz w:val="20"/>
          <w:szCs w:val="20"/>
          <w:lang w:val="en-GB"/>
        </w:rPr>
        <w:t>.</w:t>
      </w:r>
      <w:r w:rsidRPr="00970B85">
        <w:rPr>
          <w:sz w:val="20"/>
          <w:szCs w:val="20"/>
          <w:lang w:val="en-GB"/>
        </w:rPr>
        <w:t xml:space="preserve"> </w:t>
      </w:r>
    </w:p>
    <w:p w:rsidR="00BB78A6" w:rsidRPr="00970B85" w:rsidRDefault="00BB78A6" w:rsidP="00BB78A6">
      <w:pPr>
        <w:pStyle w:val="Zkladntext"/>
        <w:spacing w:before="0" w:line="288" w:lineRule="auto"/>
        <w:rPr>
          <w:sz w:val="20"/>
          <w:szCs w:val="20"/>
          <w:lang w:val="en-GB"/>
        </w:rPr>
      </w:pPr>
      <w:r w:rsidRPr="00970B85">
        <w:rPr>
          <w:noProof/>
        </w:rPr>
        <w:lastRenderedPageBreak/>
        <w:drawing>
          <wp:inline distT="0" distB="0" distL="0" distR="0" wp14:anchorId="5DAFFEC5" wp14:editId="43CDC39A">
            <wp:extent cx="6084000" cy="34560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Among the </w:t>
      </w:r>
      <w:r w:rsidRPr="00970B85">
        <w:rPr>
          <w:b/>
          <w:sz w:val="20"/>
          <w:szCs w:val="20"/>
          <w:lang w:val="en-GB"/>
        </w:rPr>
        <w:t>EU countries</w:t>
      </w:r>
      <w:r w:rsidRPr="00970B85">
        <w:rPr>
          <w:sz w:val="20"/>
          <w:szCs w:val="20"/>
          <w:lang w:val="en-GB"/>
        </w:rPr>
        <w:t>, computer usage is mostly expanded in the Netherlands</w:t>
      </w:r>
      <w:r>
        <w:rPr>
          <w:sz w:val="20"/>
          <w:szCs w:val="20"/>
          <w:lang w:val="en-GB"/>
        </w:rPr>
        <w:t>,</w:t>
      </w:r>
      <w:r w:rsidRPr="00970B85">
        <w:rPr>
          <w:sz w:val="20"/>
          <w:szCs w:val="20"/>
          <w:lang w:val="en-GB"/>
        </w:rPr>
        <w:t xml:space="preserve"> where 98% of households claim to have access to a computer. High equipment of households with computers – above 90% – is also found in Scandin</w:t>
      </w:r>
      <w:r>
        <w:rPr>
          <w:sz w:val="20"/>
          <w:szCs w:val="20"/>
          <w:lang w:val="en-GB"/>
        </w:rPr>
        <w:t>avia, Luxembourg, Great Britain, and in Germany. O</w:t>
      </w:r>
      <w:r w:rsidRPr="00970B85">
        <w:rPr>
          <w:sz w:val="20"/>
          <w:szCs w:val="20"/>
          <w:lang w:val="en-GB"/>
        </w:rPr>
        <w:t xml:space="preserve">pposed to </w:t>
      </w:r>
      <w:r>
        <w:rPr>
          <w:sz w:val="20"/>
          <w:szCs w:val="20"/>
          <w:lang w:val="en-GB"/>
        </w:rPr>
        <w:t>this</w:t>
      </w:r>
      <w:r w:rsidRPr="00970B85">
        <w:rPr>
          <w:sz w:val="20"/>
          <w:szCs w:val="20"/>
          <w:lang w:val="en-GB"/>
        </w:rPr>
        <w:t xml:space="preserve">, more than a third of Bulgarian households (37%) do not have any computers. </w:t>
      </w:r>
    </w:p>
    <w:p w:rsidR="00BB78A6" w:rsidRPr="00970B85" w:rsidRDefault="00BB78A6" w:rsidP="00BB78A6">
      <w:pPr>
        <w:pStyle w:val="Nadpis3"/>
      </w:pPr>
      <w:bookmarkStart w:id="44" w:name="_Toc533697494"/>
      <w:bookmarkStart w:id="45" w:name="_Toc534711993"/>
      <w:bookmarkStart w:id="46" w:name="_Toc528845447"/>
      <w:bookmarkEnd w:id="43"/>
      <w:r w:rsidRPr="00970B85">
        <w:t>Type and number of computers used at home</w:t>
      </w:r>
      <w:bookmarkEnd w:id="44"/>
      <w:bookmarkEnd w:id="45"/>
    </w:p>
    <w:p w:rsidR="00BB78A6" w:rsidRPr="00970B85" w:rsidRDefault="00BB78A6" w:rsidP="00BB78A6">
      <w:pPr>
        <w:spacing w:after="80" w:line="264" w:lineRule="auto"/>
        <w:jc w:val="both"/>
        <w:rPr>
          <w:i/>
        </w:rPr>
      </w:pPr>
      <w:r w:rsidRPr="00970B85">
        <w:rPr>
          <w:i/>
        </w:rPr>
        <w:t>In recent years, the size and mobility of computers used in our households has been changing significantly. Up to the year 2013, desktop computers were prevailing in Czech households; in 2014 portable computers became the prevailing ones (laptops or tablets). At the time when nearly all households wishing to have a</w:t>
      </w:r>
      <w:r>
        <w:rPr>
          <w:i/>
        </w:rPr>
        <w:t> </w:t>
      </w:r>
      <w:r w:rsidRPr="00970B85">
        <w:rPr>
          <w:i/>
        </w:rPr>
        <w:t>computer ha</w:t>
      </w:r>
      <w:r>
        <w:rPr>
          <w:i/>
        </w:rPr>
        <w:t>d</w:t>
      </w:r>
      <w:r w:rsidRPr="00970B85">
        <w:rPr>
          <w:i/>
        </w:rPr>
        <w:t xml:space="preserve"> at least one of them at home, the data concerning the type</w:t>
      </w:r>
      <w:r>
        <w:rPr>
          <w:i/>
        </w:rPr>
        <w:t>,</w:t>
      </w:r>
      <w:r w:rsidRPr="00970B85">
        <w:rPr>
          <w:i/>
        </w:rPr>
        <w:t xml:space="preserve"> and alternatively the number of used computers</w:t>
      </w:r>
      <w:r>
        <w:rPr>
          <w:i/>
        </w:rPr>
        <w:t>,</w:t>
      </w:r>
      <w:r w:rsidRPr="00970B85">
        <w:rPr>
          <w:i/>
        </w:rPr>
        <w:t xml:space="preserve"> indicates to be a better measurement method of so called digital imbalance with respect to the equipment with this technology</w:t>
      </w:r>
      <w:r>
        <w:rPr>
          <w:i/>
        </w:rPr>
        <w:t>,</w:t>
      </w:r>
      <w:r w:rsidRPr="00970B85">
        <w:rPr>
          <w:i/>
        </w:rPr>
        <w:t xml:space="preserve"> rather than the number of households equipped with a computer in general.</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Whereas in the past years the total number of Czech households equipped with a computer has not been increasing significantly, the percentage of households equipped with a </w:t>
      </w:r>
      <w:r w:rsidRPr="00970B85">
        <w:rPr>
          <w:b/>
          <w:sz w:val="20"/>
          <w:szCs w:val="20"/>
          <w:lang w:val="en-GB"/>
        </w:rPr>
        <w:t>portable computer (laptop or tablet)</w:t>
      </w:r>
      <w:r w:rsidRPr="00970B85">
        <w:rPr>
          <w:sz w:val="20"/>
          <w:szCs w:val="20"/>
          <w:lang w:val="en-GB"/>
        </w:rPr>
        <w:t xml:space="preserve"> has been gradually increasing</w:t>
      </w:r>
      <w:r w:rsidRPr="00970B85">
        <w:rPr>
          <w:b/>
          <w:sz w:val="20"/>
          <w:szCs w:val="20"/>
          <w:lang w:val="en-GB"/>
        </w:rPr>
        <w:t xml:space="preserve"> </w:t>
      </w:r>
      <w:r w:rsidRPr="00970B85">
        <w:rPr>
          <w:sz w:val="20"/>
          <w:szCs w:val="20"/>
          <w:lang w:val="en-GB"/>
        </w:rPr>
        <w:t xml:space="preserve">(62% of households in 2017). Ten years ago a portable computer was owned solely by a tenth of </w:t>
      </w:r>
      <w:r>
        <w:rPr>
          <w:sz w:val="20"/>
          <w:szCs w:val="20"/>
          <w:lang w:val="en-GB"/>
        </w:rPr>
        <w:t xml:space="preserve">all households. Only in 2011, </w:t>
      </w:r>
      <w:r w:rsidRPr="00970B85">
        <w:rPr>
          <w:sz w:val="20"/>
          <w:szCs w:val="20"/>
          <w:lang w:val="en-GB"/>
        </w:rPr>
        <w:t xml:space="preserve">half of all “computerised” households in the Czech Republic were equipped with </w:t>
      </w:r>
      <w:r>
        <w:rPr>
          <w:sz w:val="20"/>
          <w:szCs w:val="20"/>
          <w:lang w:val="en-GB"/>
        </w:rPr>
        <w:t xml:space="preserve">only </w:t>
      </w:r>
      <w:r w:rsidRPr="00970B85">
        <w:rPr>
          <w:sz w:val="20"/>
          <w:szCs w:val="20"/>
          <w:lang w:val="en-GB"/>
        </w:rPr>
        <w:t>a desktop computer</w:t>
      </w:r>
      <w:r>
        <w:rPr>
          <w:sz w:val="20"/>
          <w:szCs w:val="20"/>
          <w:lang w:val="en-GB"/>
        </w:rPr>
        <w:t>,</w:t>
      </w:r>
      <w:r w:rsidRPr="00970B85">
        <w:rPr>
          <w:sz w:val="20"/>
          <w:szCs w:val="20"/>
          <w:lang w:val="en-GB"/>
        </w:rPr>
        <w:t xml:space="preserve"> and a</w:t>
      </w:r>
      <w:r>
        <w:rPr>
          <w:sz w:val="20"/>
          <w:szCs w:val="20"/>
          <w:lang w:val="en-GB"/>
        </w:rPr>
        <w:t xml:space="preserve"> fifth had a portable computer. I</w:t>
      </w:r>
      <w:r w:rsidRPr="00970B85">
        <w:rPr>
          <w:sz w:val="20"/>
          <w:szCs w:val="20"/>
          <w:lang w:val="en-GB"/>
        </w:rPr>
        <w:t>n 2017</w:t>
      </w:r>
      <w:r>
        <w:rPr>
          <w:sz w:val="20"/>
          <w:szCs w:val="20"/>
          <w:lang w:val="en-GB"/>
        </w:rPr>
        <w:t>,</w:t>
      </w:r>
      <w:r w:rsidRPr="00970B85">
        <w:rPr>
          <w:sz w:val="20"/>
          <w:szCs w:val="20"/>
          <w:lang w:val="en-GB"/>
        </w:rPr>
        <w:t xml:space="preserve"> this ratio was exactly the opposite.</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
          <w:sz w:val="20"/>
          <w:szCs w:val="20"/>
          <w:lang w:val="en-GB"/>
        </w:rPr>
        <w:t>Laptops</w:t>
      </w:r>
      <w:r w:rsidRPr="00970B85">
        <w:rPr>
          <w:sz w:val="20"/>
          <w:szCs w:val="20"/>
          <w:lang w:val="en-GB"/>
        </w:rPr>
        <w:t xml:space="preserve"> are mainly used in young families with no children (83%)</w:t>
      </w:r>
      <w:r>
        <w:rPr>
          <w:sz w:val="20"/>
          <w:szCs w:val="20"/>
          <w:lang w:val="en-GB"/>
        </w:rPr>
        <w:t>,</w:t>
      </w:r>
      <w:r w:rsidRPr="00970B85">
        <w:rPr>
          <w:sz w:val="20"/>
          <w:szCs w:val="20"/>
          <w:lang w:val="en-GB"/>
        </w:rPr>
        <w:t xml:space="preserve"> and for three quarters of those it is the sole type of computer they have at home. Similarly, laptops are used by three quarters of families with children.</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2017, a </w:t>
      </w:r>
      <w:r w:rsidRPr="00970B85">
        <w:rPr>
          <w:b/>
          <w:sz w:val="20"/>
          <w:szCs w:val="20"/>
          <w:lang w:val="en-GB"/>
        </w:rPr>
        <w:t>tablet</w:t>
      </w:r>
      <w:r w:rsidRPr="00970B85">
        <w:rPr>
          <w:sz w:val="20"/>
          <w:szCs w:val="20"/>
          <w:lang w:val="en-GB"/>
        </w:rPr>
        <w:t xml:space="preserve"> could be used in nearl</w:t>
      </w:r>
      <w:r>
        <w:rPr>
          <w:sz w:val="20"/>
          <w:szCs w:val="20"/>
          <w:lang w:val="en-GB"/>
        </w:rPr>
        <w:t>y a quarter of Czech households, mainly including</w:t>
      </w:r>
      <w:r w:rsidRPr="00970B85">
        <w:rPr>
          <w:sz w:val="20"/>
          <w:szCs w:val="20"/>
          <w:lang w:val="en-GB"/>
        </w:rPr>
        <w:t xml:space="preserve"> </w:t>
      </w:r>
      <w:r w:rsidRPr="00970B85">
        <w:rPr>
          <w:b/>
          <w:sz w:val="20"/>
          <w:szCs w:val="20"/>
          <w:lang w:val="en-GB"/>
        </w:rPr>
        <w:t>households with children</w:t>
      </w:r>
      <w:r w:rsidRPr="00970B85">
        <w:rPr>
          <w:sz w:val="20"/>
          <w:szCs w:val="20"/>
          <w:lang w:val="en-GB"/>
        </w:rPr>
        <w:t>; tablets were used</w:t>
      </w:r>
      <w:r w:rsidRPr="00970B85">
        <w:rPr>
          <w:b/>
          <w:sz w:val="20"/>
          <w:szCs w:val="20"/>
          <w:lang w:val="en-GB"/>
        </w:rPr>
        <w:t xml:space="preserve"> </w:t>
      </w:r>
      <w:r w:rsidRPr="00970B85">
        <w:rPr>
          <w:sz w:val="20"/>
          <w:szCs w:val="20"/>
          <w:lang w:val="en-GB"/>
        </w:rPr>
        <w:t xml:space="preserve">by 46% of such households. </w:t>
      </w:r>
      <w:r>
        <w:rPr>
          <w:sz w:val="20"/>
          <w:szCs w:val="20"/>
          <w:lang w:val="en-GB"/>
        </w:rPr>
        <w:t>O</w:t>
      </w:r>
      <w:r w:rsidRPr="00970B85">
        <w:rPr>
          <w:sz w:val="20"/>
          <w:szCs w:val="20"/>
          <w:lang w:val="en-GB"/>
        </w:rPr>
        <w:t>pposed to th</w:t>
      </w:r>
      <w:r>
        <w:rPr>
          <w:sz w:val="20"/>
          <w:szCs w:val="20"/>
          <w:lang w:val="en-GB"/>
        </w:rPr>
        <w:t>is</w:t>
      </w:r>
      <w:r w:rsidRPr="00970B85">
        <w:rPr>
          <w:sz w:val="20"/>
          <w:szCs w:val="20"/>
          <w:lang w:val="en-GB"/>
        </w:rPr>
        <w:t xml:space="preserve">, only 3% of households of persons over the age of 65 used a tablet. </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Until the year 2013, the prevailing type in Czech households was the </w:t>
      </w:r>
      <w:r w:rsidRPr="00970B85">
        <w:rPr>
          <w:b/>
          <w:sz w:val="20"/>
          <w:szCs w:val="20"/>
          <w:lang w:val="en-GB"/>
        </w:rPr>
        <w:t>desktop computer</w:t>
      </w:r>
      <w:r w:rsidRPr="00970B85">
        <w:rPr>
          <w:sz w:val="20"/>
          <w:szCs w:val="20"/>
          <w:lang w:val="en-GB"/>
        </w:rPr>
        <w:t>, however, nowadays (Q2 of 2017)</w:t>
      </w:r>
      <w:r>
        <w:rPr>
          <w:sz w:val="20"/>
          <w:szCs w:val="20"/>
          <w:lang w:val="en-GB"/>
        </w:rPr>
        <w:t>,</w:t>
      </w:r>
      <w:r w:rsidRPr="00970B85">
        <w:rPr>
          <w:sz w:val="20"/>
          <w:szCs w:val="20"/>
          <w:lang w:val="en-GB"/>
        </w:rPr>
        <w:t xml:space="preserve"> it is mainly used in the households of pensioners. The desktop version of a computer is owned by less than a half of all households of pensioners.</w:t>
      </w:r>
    </w:p>
    <w:p w:rsidR="00BB78A6" w:rsidRPr="00970B85" w:rsidRDefault="00BB78A6" w:rsidP="00BB78A6">
      <w:pPr>
        <w:pStyle w:val="Zkladntext"/>
        <w:spacing w:before="0" w:after="120" w:line="288" w:lineRule="auto"/>
        <w:rPr>
          <w:lang w:val="en-GB"/>
        </w:rPr>
      </w:pPr>
      <w:r w:rsidRPr="00970B85">
        <w:rPr>
          <w:noProof/>
        </w:rPr>
        <w:lastRenderedPageBreak/>
        <w:drawing>
          <wp:inline distT="0" distB="0" distL="0" distR="0" wp14:anchorId="47D5C456" wp14:editId="6ED9E577">
            <wp:extent cx="2988000" cy="3060000"/>
            <wp:effectExtent l="0" t="0" r="3175" b="762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970B85">
        <w:rPr>
          <w:lang w:val="en-GB"/>
        </w:rPr>
        <w:t xml:space="preserve"> </w:t>
      </w:r>
      <w:r w:rsidRPr="00970B85">
        <w:rPr>
          <w:noProof/>
        </w:rPr>
        <w:drawing>
          <wp:inline distT="0" distB="0" distL="0" distR="0" wp14:anchorId="3844F859" wp14:editId="48F83A62">
            <wp:extent cx="3096000" cy="3060000"/>
            <wp:effectExtent l="0" t="0" r="0" b="762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Over the years, </w:t>
      </w:r>
      <w:r w:rsidRPr="00970B85">
        <w:rPr>
          <w:b/>
          <w:sz w:val="20"/>
          <w:szCs w:val="20"/>
          <w:lang w:val="en-GB"/>
        </w:rPr>
        <w:t>the number of computers</w:t>
      </w:r>
      <w:r w:rsidRPr="00970B85">
        <w:rPr>
          <w:sz w:val="20"/>
          <w:szCs w:val="20"/>
          <w:lang w:val="en-GB"/>
        </w:rPr>
        <w:t xml:space="preserve"> used in Czech households has been increasing. Whereas in 2010 a mere fifth of all households (a third of households owning a computer) owned two or more computers, in 2016</w:t>
      </w:r>
      <w:r>
        <w:rPr>
          <w:sz w:val="20"/>
          <w:szCs w:val="20"/>
          <w:lang w:val="en-GB"/>
        </w:rPr>
        <w:t>,</w:t>
      </w:r>
      <w:r w:rsidRPr="00970B85">
        <w:rPr>
          <w:sz w:val="20"/>
          <w:szCs w:val="20"/>
          <w:lang w:val="en-GB"/>
        </w:rPr>
        <w:t xml:space="preserve"> two or more computers could be found in 38% of all households, i.e. 50% of households equipped with a computer. With respect to households with children</w:t>
      </w:r>
      <w:r>
        <w:rPr>
          <w:sz w:val="20"/>
          <w:szCs w:val="20"/>
          <w:lang w:val="en-GB"/>
        </w:rPr>
        <w:t xml:space="preserve"> </w:t>
      </w:r>
      <w:r w:rsidRPr="00970B85">
        <w:rPr>
          <w:sz w:val="20"/>
          <w:szCs w:val="20"/>
          <w:lang w:val="en-GB"/>
        </w:rPr>
        <w:t>it was 61% of them</w:t>
      </w:r>
      <w:r>
        <w:rPr>
          <w:sz w:val="20"/>
          <w:szCs w:val="20"/>
          <w:lang w:val="en-GB"/>
        </w:rPr>
        <w:t>,</w:t>
      </w:r>
      <w:r w:rsidRPr="00970B85">
        <w:rPr>
          <w:sz w:val="20"/>
          <w:szCs w:val="20"/>
          <w:lang w:val="en-GB"/>
        </w:rPr>
        <w:t xml:space="preserve"> and with respect to households with a high income</w:t>
      </w:r>
      <w:r>
        <w:rPr>
          <w:sz w:val="20"/>
          <w:szCs w:val="20"/>
          <w:lang w:val="en-GB"/>
        </w:rPr>
        <w:t>,</w:t>
      </w:r>
      <w:r w:rsidRPr="00970B85">
        <w:rPr>
          <w:sz w:val="20"/>
          <w:szCs w:val="20"/>
          <w:lang w:val="en-GB"/>
        </w:rPr>
        <w:t xml:space="preserve"> it was even 80%.</w:t>
      </w:r>
    </w:p>
    <w:p w:rsidR="00BB78A6" w:rsidRPr="00970B85" w:rsidRDefault="00BB78A6" w:rsidP="00BB78A6">
      <w:pPr>
        <w:pStyle w:val="Nadpis2"/>
      </w:pPr>
      <w:bookmarkStart w:id="47" w:name="_Toc533697495"/>
      <w:bookmarkStart w:id="48" w:name="_Toc534711994"/>
      <w:r w:rsidRPr="00970B85">
        <w:t>B.3 Households and the internet</w:t>
      </w:r>
      <w:bookmarkEnd w:id="47"/>
      <w:bookmarkEnd w:id="48"/>
    </w:p>
    <w:p w:rsidR="00BB78A6" w:rsidRPr="00970B85" w:rsidRDefault="00BB78A6" w:rsidP="00BB78A6">
      <w:pPr>
        <w:pStyle w:val="Zkladntext"/>
        <w:spacing w:before="0" w:after="80" w:line="264" w:lineRule="auto"/>
        <w:rPr>
          <w:i/>
          <w:sz w:val="20"/>
          <w:lang w:val="en-GB"/>
        </w:rPr>
      </w:pPr>
      <w:r w:rsidRPr="00970B85">
        <w:rPr>
          <w:i/>
          <w:sz w:val="20"/>
          <w:lang w:val="en-GB"/>
        </w:rPr>
        <w:t xml:space="preserve">The </w:t>
      </w:r>
      <w:r>
        <w:rPr>
          <w:i/>
          <w:sz w:val="20"/>
          <w:lang w:val="en-GB"/>
        </w:rPr>
        <w:t>equipment of households with</w:t>
      </w:r>
      <w:r w:rsidRPr="00970B85">
        <w:rPr>
          <w:i/>
          <w:sz w:val="20"/>
          <w:lang w:val="en-GB"/>
        </w:rPr>
        <w:t xml:space="preserve"> </w:t>
      </w:r>
      <w:r>
        <w:rPr>
          <w:i/>
          <w:sz w:val="20"/>
          <w:lang w:val="en-GB"/>
        </w:rPr>
        <w:t xml:space="preserve">the </w:t>
      </w:r>
      <w:r w:rsidRPr="00970B85">
        <w:rPr>
          <w:i/>
          <w:sz w:val="20"/>
          <w:lang w:val="en-GB"/>
        </w:rPr>
        <w:t>internet contributes to digital literacy of inhabitants</w:t>
      </w:r>
      <w:r>
        <w:rPr>
          <w:i/>
          <w:sz w:val="20"/>
          <w:lang w:val="en-GB"/>
        </w:rPr>
        <w:t>,</w:t>
      </w:r>
      <w:r w:rsidRPr="00970B85">
        <w:rPr>
          <w:i/>
          <w:sz w:val="20"/>
          <w:lang w:val="en-GB"/>
        </w:rPr>
        <w:t xml:space="preserve"> and also serves as an important indicator of how people are willing to join the digital society</w:t>
      </w:r>
      <w:r>
        <w:rPr>
          <w:i/>
          <w:sz w:val="20"/>
          <w:lang w:val="en-GB"/>
        </w:rPr>
        <w:t>,</w:t>
      </w:r>
      <w:r w:rsidRPr="00970B85">
        <w:rPr>
          <w:i/>
          <w:sz w:val="20"/>
          <w:lang w:val="en-GB"/>
        </w:rPr>
        <w:t xml:space="preserve"> and whether they have sufficient funds to do so. In the Czech Republic, internet con</w:t>
      </w:r>
      <w:r>
        <w:rPr>
          <w:i/>
          <w:sz w:val="20"/>
          <w:lang w:val="en-GB"/>
        </w:rPr>
        <w:t xml:space="preserve">nection is currently owned </w:t>
      </w:r>
      <w:r w:rsidRPr="00970B85">
        <w:rPr>
          <w:i/>
          <w:sz w:val="20"/>
          <w:lang w:val="en-GB"/>
        </w:rPr>
        <w:t xml:space="preserve">by </w:t>
      </w:r>
      <w:r>
        <w:rPr>
          <w:i/>
          <w:sz w:val="20"/>
          <w:lang w:val="en-GB"/>
        </w:rPr>
        <w:t xml:space="preserve">even </w:t>
      </w:r>
      <w:r w:rsidRPr="00970B85">
        <w:rPr>
          <w:i/>
          <w:sz w:val="20"/>
          <w:lang w:val="en-GB"/>
        </w:rPr>
        <w:t>more households than the percentage of households actually owning a computer. Despite this fact, we still lag behind the current average percentage of households with access to the internet within the EU. At the same time, the manner in which Czech citizens get connected to the internet also differs from the one used in western EU countries.</w:t>
      </w:r>
    </w:p>
    <w:p w:rsidR="00BB78A6" w:rsidRPr="00970B85" w:rsidRDefault="00BB78A6" w:rsidP="00DA3469">
      <w:pPr>
        <w:pStyle w:val="Nadpis3"/>
      </w:pPr>
      <w:bookmarkStart w:id="49" w:name="_Toc533697496"/>
      <w:bookmarkStart w:id="50" w:name="_Toc534711995"/>
      <w:r w:rsidRPr="00970B85">
        <w:t xml:space="preserve">Households with </w:t>
      </w:r>
      <w:r>
        <w:t>the internet – Main figures</w:t>
      </w:r>
      <w:bookmarkEnd w:id="49"/>
      <w:bookmarkEnd w:id="50"/>
    </w:p>
    <w:p w:rsidR="00BB78A6" w:rsidRDefault="00BB78A6" w:rsidP="00BB78A6">
      <w:pPr>
        <w:pStyle w:val="Zkladntext"/>
        <w:spacing w:before="0" w:after="80" w:line="264" w:lineRule="auto"/>
        <w:rPr>
          <w:i/>
          <w:sz w:val="20"/>
          <w:lang w:val="en-GB"/>
        </w:rPr>
      </w:pPr>
      <w:r>
        <w:rPr>
          <w:i/>
          <w:sz w:val="20"/>
          <w:lang w:val="en-GB"/>
        </w:rPr>
        <w:t>According to ITU estimation, worldwide, a</w:t>
      </w:r>
      <w:r w:rsidRPr="00A136E6">
        <w:rPr>
          <w:i/>
          <w:sz w:val="20"/>
          <w:lang w:val="en-GB"/>
        </w:rPr>
        <w:t>lmost</w:t>
      </w:r>
      <w:r w:rsidR="000A3B3A">
        <w:rPr>
          <w:i/>
          <w:sz w:val="20"/>
          <w:lang w:val="en-GB"/>
        </w:rPr>
        <w:t xml:space="preserve"> 60 per cent of households had i</w:t>
      </w:r>
      <w:r w:rsidRPr="00A136E6">
        <w:rPr>
          <w:i/>
          <w:sz w:val="20"/>
          <w:lang w:val="en-GB"/>
        </w:rPr>
        <w:t>nternet access at home</w:t>
      </w:r>
      <w:r>
        <w:rPr>
          <w:i/>
          <w:sz w:val="20"/>
          <w:lang w:val="en-GB"/>
        </w:rPr>
        <w:t xml:space="preserve"> in 2018</w:t>
      </w:r>
      <w:r w:rsidRPr="00A136E6">
        <w:rPr>
          <w:i/>
          <w:sz w:val="20"/>
          <w:lang w:val="en-GB"/>
        </w:rPr>
        <w:t>, up from less than 20 per cent in 2005. Fewer than half of households had a computer at home, highlighting</w:t>
      </w:r>
      <w:r>
        <w:rPr>
          <w:i/>
          <w:sz w:val="20"/>
          <w:lang w:val="en-GB"/>
        </w:rPr>
        <w:t xml:space="preserve"> </w:t>
      </w:r>
      <w:r w:rsidRPr="00A136E6">
        <w:rPr>
          <w:i/>
          <w:sz w:val="20"/>
          <w:lang w:val="en-GB"/>
        </w:rPr>
        <w:t xml:space="preserve">that a substantial number of households accessed the </w:t>
      </w:r>
      <w:r w:rsidR="000A3B3A">
        <w:rPr>
          <w:i/>
          <w:sz w:val="20"/>
          <w:lang w:val="en-GB"/>
        </w:rPr>
        <w:t>i</w:t>
      </w:r>
      <w:r w:rsidRPr="00A136E6">
        <w:rPr>
          <w:i/>
          <w:sz w:val="20"/>
          <w:lang w:val="en-GB"/>
        </w:rPr>
        <w:t>nternet (also) through other means, most importantly through mobile devices</w:t>
      </w:r>
      <w:r>
        <w:rPr>
          <w:i/>
          <w:sz w:val="20"/>
          <w:lang w:val="en-GB"/>
        </w:rPr>
        <w:t xml:space="preserve">. </w:t>
      </w:r>
    </w:p>
    <w:p w:rsidR="00BB78A6" w:rsidRPr="00AB071F" w:rsidRDefault="00BB78A6" w:rsidP="00BB78A6">
      <w:pPr>
        <w:pStyle w:val="Zkladntext"/>
        <w:spacing w:before="0" w:after="80" w:line="264" w:lineRule="auto"/>
        <w:rPr>
          <w:i/>
          <w:sz w:val="20"/>
          <w:lang w:val="en-GB"/>
        </w:rPr>
      </w:pPr>
      <w:r w:rsidRPr="00AB071F">
        <w:rPr>
          <w:i/>
          <w:sz w:val="20"/>
          <w:lang w:val="en-GB"/>
        </w:rPr>
        <w:t>Age, education, financial situation and geographical location of households play a key role with respect to equipment with information technologies. In the Czech Republic, some of these differences are wiped off, along with the time, and it depends on whether the household members find ICT and internet useful or not, and whether they are willing to learn to work with it.</w:t>
      </w:r>
    </w:p>
    <w:p w:rsidR="00BB78A6" w:rsidRPr="00970B85" w:rsidRDefault="00BB78A6" w:rsidP="00BB78A6">
      <w:pPr>
        <w:pStyle w:val="Zkladntext"/>
        <w:widowControl w:val="0"/>
        <w:numPr>
          <w:ilvl w:val="0"/>
          <w:numId w:val="15"/>
        </w:numPr>
        <w:tabs>
          <w:tab w:val="clear" w:pos="360"/>
        </w:tabs>
        <w:spacing w:before="0" w:after="80" w:line="264" w:lineRule="auto"/>
        <w:ind w:left="284" w:hanging="284"/>
        <w:rPr>
          <w:sz w:val="20"/>
          <w:szCs w:val="20"/>
          <w:lang w:val="en-GB"/>
        </w:rPr>
      </w:pPr>
      <w:r w:rsidRPr="00A136E6">
        <w:rPr>
          <w:i/>
          <w:sz w:val="20"/>
          <w:szCs w:val="20"/>
          <w:lang w:val="en-GB"/>
        </w:rPr>
        <w:t>S</w:t>
      </w:r>
      <w:r w:rsidRPr="00970B85">
        <w:rPr>
          <w:sz w:val="20"/>
          <w:szCs w:val="20"/>
          <w:lang w:val="en-GB"/>
        </w:rPr>
        <w:t>ince 2016</w:t>
      </w:r>
      <w:r>
        <w:rPr>
          <w:sz w:val="20"/>
          <w:szCs w:val="20"/>
          <w:lang w:val="en-GB"/>
        </w:rPr>
        <w:t>,</w:t>
      </w:r>
      <w:r w:rsidRPr="00970B85">
        <w:rPr>
          <w:sz w:val="20"/>
          <w:szCs w:val="20"/>
          <w:lang w:val="en-GB"/>
        </w:rPr>
        <w:t xml:space="preserve"> there are more households in the Czech Republic equipped with </w:t>
      </w:r>
      <w:r w:rsidRPr="00A136E6">
        <w:rPr>
          <w:b/>
          <w:sz w:val="20"/>
          <w:szCs w:val="20"/>
          <w:lang w:val="en-GB"/>
        </w:rPr>
        <w:t>internet access</w:t>
      </w:r>
      <w:r w:rsidRPr="00970B85">
        <w:rPr>
          <w:sz w:val="20"/>
          <w:szCs w:val="20"/>
          <w:lang w:val="en-GB"/>
        </w:rPr>
        <w:t xml:space="preserve"> rather than with a computer. In the Q2 of 2017 </w:t>
      </w:r>
      <w:r w:rsidRPr="00A136E6">
        <w:rPr>
          <w:sz w:val="20"/>
          <w:szCs w:val="20"/>
          <w:lang w:val="en-GB"/>
        </w:rPr>
        <w:t>internet access</w:t>
      </w:r>
      <w:r w:rsidRPr="00D3587A">
        <w:rPr>
          <w:sz w:val="20"/>
          <w:szCs w:val="20"/>
          <w:vertAlign w:val="superscript"/>
          <w:lang w:val="en-GB"/>
        </w:rPr>
        <w:footnoteReference w:id="23"/>
      </w:r>
      <w:r w:rsidRPr="00FE36EB">
        <w:rPr>
          <w:sz w:val="20"/>
          <w:szCs w:val="20"/>
          <w:lang w:val="en-GB"/>
        </w:rPr>
        <w:t xml:space="preserve"> </w:t>
      </w:r>
      <w:r w:rsidRPr="00970B85">
        <w:rPr>
          <w:sz w:val="20"/>
          <w:szCs w:val="20"/>
          <w:lang w:val="en-GB"/>
        </w:rPr>
        <w:t>was already used by 77% of households (3.4</w:t>
      </w:r>
      <w:r>
        <w:rPr>
          <w:sz w:val="20"/>
          <w:szCs w:val="20"/>
          <w:lang w:val="en-GB"/>
        </w:rPr>
        <w:t> </w:t>
      </w:r>
      <w:r w:rsidRPr="00970B85">
        <w:rPr>
          <w:sz w:val="20"/>
          <w:szCs w:val="20"/>
          <w:lang w:val="en-GB"/>
        </w:rPr>
        <w:t>million). In the past ten years, the number of households with internet access has increased by two</w:t>
      </w:r>
      <w:r>
        <w:rPr>
          <w:sz w:val="20"/>
          <w:szCs w:val="20"/>
          <w:lang w:val="en-GB"/>
        </w:rPr>
        <w:t> </w:t>
      </w:r>
      <w:r w:rsidRPr="00970B85">
        <w:rPr>
          <w:sz w:val="20"/>
          <w:szCs w:val="20"/>
          <w:lang w:val="en-GB"/>
        </w:rPr>
        <w:t xml:space="preserve">million – in 2007 internet access was used by a third of Czech households (1.4 million). </w:t>
      </w:r>
    </w:p>
    <w:p w:rsidR="00BB78A6" w:rsidRPr="00970B85" w:rsidRDefault="00BB78A6" w:rsidP="00BB78A6">
      <w:pPr>
        <w:pStyle w:val="Titulek"/>
        <w:widowControl w:val="0"/>
        <w:spacing w:after="0"/>
        <w:jc w:val="both"/>
        <w:rPr>
          <w:color w:val="FFFFFF" w:themeColor="background1"/>
          <w:sz w:val="4"/>
          <w:szCs w:val="4"/>
          <w:lang w:val="en-GB"/>
        </w:rPr>
      </w:pPr>
      <w:bookmarkStart w:id="51" w:name="_Toc526839153"/>
      <w:bookmarkStart w:id="52" w:name="_Toc527107114"/>
      <w:r w:rsidRPr="00970B85">
        <w:rPr>
          <w:color w:val="FFFFFF" w:themeColor="background1"/>
          <w:sz w:val="4"/>
          <w:szCs w:val="4"/>
          <w:lang w:val="en-GB"/>
        </w:rPr>
        <w:t>Figure B</w:t>
      </w:r>
      <w:r w:rsidRPr="00970B85">
        <w:rPr>
          <w:color w:val="FFFFFF" w:themeColor="background1"/>
          <w:sz w:val="4"/>
          <w:szCs w:val="4"/>
          <w:lang w:val="en-GB"/>
        </w:rPr>
        <w:fldChar w:fldCharType="begin"/>
      </w:r>
      <w:r w:rsidRPr="00970B85">
        <w:rPr>
          <w:color w:val="FFFFFF" w:themeColor="background1"/>
          <w:sz w:val="4"/>
          <w:szCs w:val="4"/>
          <w:lang w:val="en-GB"/>
        </w:rPr>
        <w:instrText xml:space="preserve"> SEQ Figure_B \* ARABIC </w:instrText>
      </w:r>
      <w:r w:rsidRPr="00970B85">
        <w:rPr>
          <w:color w:val="FFFFFF" w:themeColor="background1"/>
          <w:sz w:val="4"/>
          <w:szCs w:val="4"/>
          <w:lang w:val="en-GB"/>
        </w:rPr>
        <w:fldChar w:fldCharType="separate"/>
      </w:r>
      <w:r w:rsidR="00EE7DB4">
        <w:rPr>
          <w:noProof/>
          <w:color w:val="FFFFFF" w:themeColor="background1"/>
          <w:sz w:val="4"/>
          <w:szCs w:val="4"/>
          <w:lang w:val="en-GB"/>
        </w:rPr>
        <w:t>1</w:t>
      </w:r>
      <w:r w:rsidRPr="00970B85">
        <w:rPr>
          <w:color w:val="FFFFFF" w:themeColor="background1"/>
          <w:sz w:val="4"/>
          <w:szCs w:val="4"/>
          <w:lang w:val="en-GB"/>
        </w:rPr>
        <w:fldChar w:fldCharType="end"/>
      </w:r>
      <w:r w:rsidRPr="00970B85">
        <w:rPr>
          <w:color w:val="FFFFFF" w:themeColor="background1"/>
          <w:sz w:val="4"/>
          <w:szCs w:val="4"/>
          <w:lang w:val="en-GB"/>
        </w:rPr>
        <w:t xml:space="preserve"> Households in the Czech Republic with access to the internet at home</w:t>
      </w:r>
      <w:bookmarkEnd w:id="51"/>
      <w:bookmarkEnd w:id="52"/>
    </w:p>
    <w:p w:rsidR="00BB78A6" w:rsidRPr="00970B85" w:rsidRDefault="00BB78A6" w:rsidP="00BB78A6">
      <w:pPr>
        <w:pStyle w:val="Zkladntext"/>
        <w:spacing w:before="0" w:after="120" w:line="288" w:lineRule="auto"/>
        <w:rPr>
          <w:lang w:val="en-GB"/>
        </w:rPr>
      </w:pPr>
      <w:r w:rsidRPr="00970B85">
        <w:rPr>
          <w:noProof/>
        </w:rPr>
        <w:lastRenderedPageBreak/>
        <w:drawing>
          <wp:inline distT="0" distB="0" distL="0" distR="0" wp14:anchorId="75E4A973" wp14:editId="60459789">
            <wp:extent cx="2952000" cy="3420000"/>
            <wp:effectExtent l="0" t="0" r="127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970B85">
        <w:rPr>
          <w:lang w:val="en-GB"/>
        </w:rPr>
        <w:t xml:space="preserve"> </w:t>
      </w:r>
      <w:r w:rsidRPr="00970B85">
        <w:rPr>
          <w:noProof/>
        </w:rPr>
        <w:drawing>
          <wp:inline distT="0" distB="0" distL="0" distR="0" wp14:anchorId="68D35F39" wp14:editId="0FF90299">
            <wp:extent cx="3132000" cy="342000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Internet has become widely available to the general public, both in terms of accessibility as well as cost. A</w:t>
      </w:r>
      <w:r>
        <w:rPr>
          <w:sz w:val="20"/>
          <w:szCs w:val="20"/>
          <w:lang w:val="en-GB"/>
        </w:rPr>
        <w:t> </w:t>
      </w:r>
      <w:r w:rsidRPr="00970B85">
        <w:rPr>
          <w:sz w:val="20"/>
          <w:szCs w:val="20"/>
          <w:lang w:val="en-GB"/>
        </w:rPr>
        <w:t xml:space="preserve">boundary was crossed in 2007, when </w:t>
      </w:r>
      <w:r>
        <w:rPr>
          <w:sz w:val="20"/>
          <w:szCs w:val="20"/>
          <w:lang w:val="en-GB"/>
        </w:rPr>
        <w:t xml:space="preserve">for the first time </w:t>
      </w:r>
      <w:r w:rsidRPr="006D27EA">
        <w:rPr>
          <w:b/>
          <w:sz w:val="20"/>
          <w:szCs w:val="20"/>
          <w:lang w:val="en-GB"/>
        </w:rPr>
        <w:t>a majority (55%) of households in the EU28</w:t>
      </w:r>
      <w:r w:rsidRPr="00970B85">
        <w:rPr>
          <w:sz w:val="20"/>
          <w:szCs w:val="20"/>
          <w:lang w:val="en-GB"/>
        </w:rPr>
        <w:t xml:space="preserve"> had internet access. This proportion continued to increase, passing three quarters in 2012</w:t>
      </w:r>
      <w:r>
        <w:rPr>
          <w:sz w:val="20"/>
          <w:szCs w:val="20"/>
          <w:lang w:val="en-GB"/>
        </w:rPr>
        <w:t>,</w:t>
      </w:r>
      <w:r w:rsidRPr="00970B85">
        <w:rPr>
          <w:sz w:val="20"/>
          <w:szCs w:val="20"/>
          <w:lang w:val="en-GB"/>
        </w:rPr>
        <w:t xml:space="preserve"> and four fifths in 2014. By 2017, the share of EU28 households with internet access had risen to 87%, some 32 per cent higher than in 2007. </w:t>
      </w:r>
    </w:p>
    <w:p w:rsidR="00BB78A6" w:rsidRPr="00970B85" w:rsidRDefault="00BB78A6" w:rsidP="00BB78A6">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Among the </w:t>
      </w:r>
      <w:r w:rsidRPr="00970B85">
        <w:rPr>
          <w:b/>
          <w:sz w:val="20"/>
          <w:szCs w:val="20"/>
          <w:lang w:val="en-GB"/>
        </w:rPr>
        <w:t>EU countries</w:t>
      </w:r>
      <w:r w:rsidRPr="00970B85">
        <w:rPr>
          <w:sz w:val="20"/>
          <w:szCs w:val="20"/>
          <w:lang w:val="en-GB"/>
        </w:rPr>
        <w:t>, internet access is mostly expanded in the Netherlands and in Luxembourg where only three households out of a hundred did not use it in 2017. High usage of internet access has also been recorded in Scandinavian countries, in Great Britain and in Germany. In these countries the percentage of households with internet access has reached above 90%. As opposed to th</w:t>
      </w:r>
      <w:r>
        <w:rPr>
          <w:sz w:val="20"/>
          <w:szCs w:val="20"/>
          <w:lang w:val="en-GB"/>
        </w:rPr>
        <w:t xml:space="preserve">is, internet access was </w:t>
      </w:r>
      <w:r w:rsidRPr="00970B85">
        <w:rPr>
          <w:sz w:val="20"/>
          <w:szCs w:val="20"/>
          <w:lang w:val="en-GB"/>
        </w:rPr>
        <w:t xml:space="preserve">“only” </w:t>
      </w:r>
      <w:r>
        <w:rPr>
          <w:sz w:val="20"/>
          <w:szCs w:val="20"/>
          <w:lang w:val="en-GB"/>
        </w:rPr>
        <w:t xml:space="preserve">used </w:t>
      </w:r>
      <w:r w:rsidRPr="00970B85">
        <w:rPr>
          <w:sz w:val="20"/>
          <w:szCs w:val="20"/>
          <w:lang w:val="en-GB"/>
        </w:rPr>
        <w:t>in 71% of Greek households</w:t>
      </w:r>
      <w:r>
        <w:rPr>
          <w:sz w:val="20"/>
          <w:szCs w:val="20"/>
          <w:lang w:val="en-GB"/>
        </w:rPr>
        <w:t>,</w:t>
      </w:r>
      <w:r w:rsidRPr="00970B85">
        <w:rPr>
          <w:sz w:val="20"/>
          <w:szCs w:val="20"/>
          <w:lang w:val="en-GB"/>
        </w:rPr>
        <w:t xml:space="preserve"> and 67% of Bulgarian households.</w:t>
      </w:r>
      <w:r>
        <w:rPr>
          <w:sz w:val="20"/>
          <w:szCs w:val="20"/>
          <w:lang w:val="en-GB"/>
        </w:rPr>
        <w:t xml:space="preserve"> O</w:t>
      </w:r>
      <w:r w:rsidRPr="00AB58B4">
        <w:rPr>
          <w:sz w:val="20"/>
          <w:szCs w:val="20"/>
          <w:lang w:val="en-GB"/>
        </w:rPr>
        <w:t xml:space="preserve">ver the last ten years, cross-country differences in </w:t>
      </w:r>
      <w:r w:rsidR="005D0602">
        <w:rPr>
          <w:sz w:val="20"/>
          <w:szCs w:val="20"/>
          <w:lang w:val="en-GB"/>
        </w:rPr>
        <w:t>i</w:t>
      </w:r>
      <w:r w:rsidRPr="00AB58B4">
        <w:rPr>
          <w:sz w:val="20"/>
          <w:szCs w:val="20"/>
          <w:lang w:val="en-GB"/>
        </w:rPr>
        <w:t xml:space="preserve">nternet access have narrowed markedly across </w:t>
      </w:r>
      <w:r>
        <w:rPr>
          <w:sz w:val="20"/>
          <w:szCs w:val="20"/>
          <w:lang w:val="en-GB"/>
        </w:rPr>
        <w:t xml:space="preserve">EU </w:t>
      </w:r>
      <w:r w:rsidRPr="00AB58B4">
        <w:rPr>
          <w:sz w:val="20"/>
          <w:szCs w:val="20"/>
          <w:lang w:val="en-GB"/>
        </w:rPr>
        <w:t>countries</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To some extent, there is an </w:t>
      </w:r>
      <w:r w:rsidRPr="006D27EA">
        <w:rPr>
          <w:b/>
          <w:sz w:val="20"/>
          <w:szCs w:val="20"/>
          <w:lang w:val="en-GB"/>
        </w:rPr>
        <w:t>urban–rural divide within the EU28 in terms of internet access</w:t>
      </w:r>
      <w:r w:rsidRPr="00970B85">
        <w:rPr>
          <w:sz w:val="20"/>
          <w:szCs w:val="20"/>
          <w:lang w:val="en-GB"/>
        </w:rPr>
        <w:t>. Whereas households in cities</w:t>
      </w:r>
      <w:r>
        <w:rPr>
          <w:sz w:val="20"/>
          <w:szCs w:val="20"/>
          <w:lang w:val="en-GB"/>
        </w:rPr>
        <w:t>,</w:t>
      </w:r>
      <w:r w:rsidRPr="00970B85">
        <w:rPr>
          <w:sz w:val="20"/>
          <w:szCs w:val="20"/>
          <w:lang w:val="en-GB"/>
        </w:rPr>
        <w:t xml:space="preserve"> as well as towns and suburbs</w:t>
      </w:r>
      <w:r>
        <w:rPr>
          <w:sz w:val="20"/>
          <w:szCs w:val="20"/>
          <w:lang w:val="en-GB"/>
        </w:rPr>
        <w:t>,</w:t>
      </w:r>
      <w:r w:rsidRPr="00970B85">
        <w:rPr>
          <w:sz w:val="20"/>
          <w:szCs w:val="20"/>
          <w:lang w:val="en-GB"/>
        </w:rPr>
        <w:t xml:space="preserve"> had comparatively high access rates — 90% in cities and 87% in towns and suburbs — internet access was somewhat lower in rural areas (82%). The divide between rural areas</w:t>
      </w:r>
      <w:r>
        <w:rPr>
          <w:sz w:val="20"/>
          <w:szCs w:val="20"/>
          <w:lang w:val="en-GB"/>
        </w:rPr>
        <w:t>,</w:t>
      </w:r>
      <w:r w:rsidRPr="00970B85">
        <w:rPr>
          <w:sz w:val="20"/>
          <w:szCs w:val="20"/>
          <w:lang w:val="en-GB"/>
        </w:rPr>
        <w:t xml:space="preserve"> and the two other types of areas</w:t>
      </w:r>
      <w:r>
        <w:rPr>
          <w:sz w:val="20"/>
          <w:szCs w:val="20"/>
          <w:lang w:val="en-GB"/>
        </w:rPr>
        <w:t>,</w:t>
      </w:r>
      <w:r w:rsidRPr="00970B85">
        <w:rPr>
          <w:sz w:val="20"/>
          <w:szCs w:val="20"/>
          <w:lang w:val="en-GB"/>
        </w:rPr>
        <w:t xml:space="preserve"> was particularly strong in Greece, Portugal, Bulgaria and Romania.</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One of the main reasons why the households of the Czech Republic lag behind in internet usage</w:t>
      </w:r>
      <w:r>
        <w:rPr>
          <w:sz w:val="20"/>
          <w:szCs w:val="20"/>
          <w:lang w:val="en-GB"/>
        </w:rPr>
        <w:t>,</w:t>
      </w:r>
      <w:r w:rsidRPr="00970B85">
        <w:rPr>
          <w:sz w:val="20"/>
          <w:szCs w:val="20"/>
          <w:lang w:val="en-GB"/>
        </w:rPr>
        <w:t xml:space="preserve"> among most of western and northern countries of the EU28</w:t>
      </w:r>
      <w:r>
        <w:rPr>
          <w:sz w:val="20"/>
          <w:szCs w:val="20"/>
          <w:lang w:val="en-GB"/>
        </w:rPr>
        <w:t>,</w:t>
      </w:r>
      <w:r w:rsidRPr="00970B85">
        <w:rPr>
          <w:sz w:val="20"/>
          <w:szCs w:val="20"/>
          <w:lang w:val="en-GB"/>
        </w:rPr>
        <w:t xml:space="preserve"> is the prevailing diffe</w:t>
      </w:r>
      <w:r>
        <w:rPr>
          <w:sz w:val="20"/>
          <w:szCs w:val="20"/>
          <w:lang w:val="en-GB"/>
        </w:rPr>
        <w:t xml:space="preserve">rence between income groups of </w:t>
      </w:r>
      <w:r w:rsidRPr="00970B85">
        <w:rPr>
          <w:sz w:val="20"/>
          <w:szCs w:val="20"/>
          <w:lang w:val="en-GB"/>
        </w:rPr>
        <w:t>households</w:t>
      </w:r>
      <w:r>
        <w:rPr>
          <w:sz w:val="20"/>
          <w:szCs w:val="20"/>
          <w:lang w:val="en-GB"/>
        </w:rPr>
        <w:t xml:space="preserve"> regarding their access to the internet</w:t>
      </w:r>
      <w:r w:rsidRPr="00970B85">
        <w:rPr>
          <w:sz w:val="20"/>
          <w:szCs w:val="20"/>
          <w:lang w:val="en-GB"/>
        </w:rPr>
        <w:t xml:space="preserve">. Whereas in 2017 a </w:t>
      </w:r>
      <w:r w:rsidRPr="00970B85">
        <w:rPr>
          <w:b/>
          <w:sz w:val="20"/>
          <w:szCs w:val="20"/>
          <w:lang w:val="en-GB"/>
        </w:rPr>
        <w:t>quarter of the wealthiest Czech households</w:t>
      </w:r>
      <w:r>
        <w:rPr>
          <w:sz w:val="20"/>
          <w:szCs w:val="20"/>
          <w:lang w:val="en-GB"/>
        </w:rPr>
        <w:t xml:space="preserve"> all had </w:t>
      </w:r>
      <w:r w:rsidRPr="00970B85">
        <w:rPr>
          <w:sz w:val="20"/>
          <w:szCs w:val="20"/>
          <w:lang w:val="en-GB"/>
        </w:rPr>
        <w:t>internet access, within the quarter of households with the lowest income, where mainly the households of pensi</w:t>
      </w:r>
      <w:r>
        <w:rPr>
          <w:sz w:val="20"/>
          <w:szCs w:val="20"/>
          <w:lang w:val="en-GB"/>
        </w:rPr>
        <w:t>oners belong, nearly a half</w:t>
      </w:r>
      <w:r w:rsidRPr="00970B85">
        <w:rPr>
          <w:sz w:val="20"/>
          <w:szCs w:val="20"/>
          <w:lang w:val="en-GB"/>
        </w:rPr>
        <w:t xml:space="preserve"> had no internet connection (45%)</w:t>
      </w:r>
      <w:r>
        <w:rPr>
          <w:sz w:val="20"/>
          <w:szCs w:val="20"/>
          <w:lang w:val="en-GB"/>
        </w:rPr>
        <w:t>.</w:t>
      </w:r>
      <w:r w:rsidRPr="00970B85">
        <w:rPr>
          <w:sz w:val="20"/>
          <w:szCs w:val="20"/>
          <w:lang w:val="en-GB"/>
        </w:rPr>
        <w:t xml:space="preserve"> </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Compared to th</w:t>
      </w:r>
      <w:r>
        <w:rPr>
          <w:sz w:val="20"/>
          <w:szCs w:val="20"/>
          <w:lang w:val="en-GB"/>
        </w:rPr>
        <w:t>is</w:t>
      </w:r>
      <w:r w:rsidRPr="00970B85">
        <w:rPr>
          <w:sz w:val="20"/>
          <w:szCs w:val="20"/>
          <w:lang w:val="en-GB"/>
        </w:rPr>
        <w:t>, in 2017</w:t>
      </w:r>
      <w:r>
        <w:rPr>
          <w:sz w:val="20"/>
          <w:szCs w:val="20"/>
          <w:lang w:val="en-GB"/>
        </w:rPr>
        <w:t xml:space="preserve">, in Sweden, Denmark, Luxembourg, and </w:t>
      </w:r>
      <w:r w:rsidRPr="00970B85">
        <w:rPr>
          <w:sz w:val="20"/>
          <w:szCs w:val="20"/>
          <w:lang w:val="en-GB"/>
        </w:rPr>
        <w:t>the Netherlands, there was less than a tenth of households with the lowest income that had</w:t>
      </w:r>
      <w:r w:rsidRPr="00970B85">
        <w:rPr>
          <w:b/>
          <w:sz w:val="20"/>
          <w:szCs w:val="20"/>
          <w:lang w:val="en-GB"/>
        </w:rPr>
        <w:t xml:space="preserve"> no internet access</w:t>
      </w:r>
      <w:r w:rsidR="005D0602">
        <w:rPr>
          <w:sz w:val="20"/>
          <w:szCs w:val="20"/>
          <w:lang w:val="en-GB"/>
        </w:rPr>
        <w:t>.</w:t>
      </w:r>
      <w:r w:rsidRPr="00970B85">
        <w:rPr>
          <w:sz w:val="20"/>
          <w:szCs w:val="20"/>
          <w:lang w:val="en-GB"/>
        </w:rPr>
        <w:t xml:space="preserve"> </w:t>
      </w:r>
      <w:r>
        <w:rPr>
          <w:sz w:val="20"/>
          <w:szCs w:val="20"/>
          <w:lang w:val="en-GB"/>
        </w:rPr>
        <w:t xml:space="preserve">On the other hand, in </w:t>
      </w:r>
      <w:r w:rsidRPr="00970B85">
        <w:rPr>
          <w:sz w:val="20"/>
          <w:szCs w:val="20"/>
          <w:lang w:val="en-GB"/>
        </w:rPr>
        <w:t xml:space="preserve">Bulgaria </w:t>
      </w:r>
      <w:r>
        <w:rPr>
          <w:sz w:val="20"/>
          <w:szCs w:val="20"/>
          <w:lang w:val="en-GB"/>
        </w:rPr>
        <w:t>it</w:t>
      </w:r>
      <w:r w:rsidRPr="00970B85">
        <w:rPr>
          <w:sz w:val="20"/>
          <w:szCs w:val="20"/>
          <w:lang w:val="en-GB"/>
        </w:rPr>
        <w:t xml:space="preserve"> was 73% of households in this first income quartile. Apart from Portugal, only the former socialist countries belong among the six EU countries</w:t>
      </w:r>
      <w:r>
        <w:rPr>
          <w:sz w:val="20"/>
          <w:szCs w:val="20"/>
          <w:lang w:val="en-GB"/>
        </w:rPr>
        <w:t>,</w:t>
      </w:r>
      <w:r w:rsidRPr="00970B85">
        <w:rPr>
          <w:sz w:val="20"/>
          <w:szCs w:val="20"/>
          <w:lang w:val="en-GB"/>
        </w:rPr>
        <w:t xml:space="preserve"> where the percentage of low-income households with internet access </w:t>
      </w:r>
      <w:r>
        <w:rPr>
          <w:sz w:val="20"/>
          <w:szCs w:val="20"/>
          <w:lang w:val="en-GB"/>
        </w:rPr>
        <w:t xml:space="preserve">was in 2017 </w:t>
      </w:r>
      <w:r w:rsidRPr="00970B85">
        <w:rPr>
          <w:sz w:val="20"/>
          <w:szCs w:val="20"/>
          <w:lang w:val="en-GB"/>
        </w:rPr>
        <w:t>lower than 50%.</w:t>
      </w:r>
    </w:p>
    <w:p w:rsidR="00BB78A6" w:rsidRPr="00970B85" w:rsidRDefault="00BB78A6" w:rsidP="00BB78A6">
      <w:pPr>
        <w:pStyle w:val="Zkladntext"/>
        <w:spacing w:before="0" w:line="288" w:lineRule="auto"/>
        <w:rPr>
          <w:sz w:val="20"/>
          <w:szCs w:val="20"/>
          <w:highlight w:val="yellow"/>
          <w:lang w:val="en-GB"/>
        </w:rPr>
      </w:pPr>
      <w:r w:rsidRPr="00970B85">
        <w:rPr>
          <w:noProof/>
        </w:rPr>
        <w:lastRenderedPageBreak/>
        <w:drawing>
          <wp:inline distT="0" distB="0" distL="0" distR="0" wp14:anchorId="5EE568D8" wp14:editId="21F40854">
            <wp:extent cx="6048000" cy="30600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B78A6" w:rsidRPr="003924F5" w:rsidRDefault="00BB78A6" w:rsidP="00BB78A6">
      <w:pPr>
        <w:pStyle w:val="Zkladntext"/>
        <w:numPr>
          <w:ilvl w:val="0"/>
          <w:numId w:val="15"/>
        </w:numPr>
        <w:tabs>
          <w:tab w:val="clear" w:pos="360"/>
        </w:tabs>
        <w:spacing w:before="0" w:after="80" w:line="264" w:lineRule="auto"/>
        <w:ind w:left="284" w:hanging="284"/>
        <w:rPr>
          <w:szCs w:val="20"/>
          <w:lang w:val="en-GB"/>
        </w:rPr>
      </w:pPr>
      <w:r w:rsidRPr="00970B85">
        <w:rPr>
          <w:sz w:val="20"/>
          <w:szCs w:val="20"/>
          <w:lang w:val="en-GB"/>
        </w:rPr>
        <w:t>In Q2 of 2017, there were a million (23%) households in the Czech Republic</w:t>
      </w:r>
      <w:r>
        <w:rPr>
          <w:sz w:val="20"/>
          <w:szCs w:val="20"/>
          <w:lang w:val="en-GB"/>
        </w:rPr>
        <w:t xml:space="preserve"> where </w:t>
      </w:r>
      <w:r w:rsidRPr="006D27EA">
        <w:rPr>
          <w:b/>
          <w:sz w:val="20"/>
          <w:szCs w:val="20"/>
          <w:lang w:val="en-GB"/>
        </w:rPr>
        <w:t>nobody was using</w:t>
      </w:r>
      <w:r>
        <w:rPr>
          <w:sz w:val="20"/>
          <w:szCs w:val="20"/>
          <w:lang w:val="en-GB"/>
        </w:rPr>
        <w:t xml:space="preserve"> </w:t>
      </w:r>
      <w:r w:rsidRPr="00970B85">
        <w:rPr>
          <w:b/>
          <w:sz w:val="20"/>
          <w:szCs w:val="20"/>
          <w:lang w:val="en-GB"/>
        </w:rPr>
        <w:t xml:space="preserve">internet </w:t>
      </w:r>
      <w:r>
        <w:rPr>
          <w:b/>
          <w:sz w:val="20"/>
          <w:szCs w:val="20"/>
          <w:lang w:val="en-GB"/>
        </w:rPr>
        <w:t>at home</w:t>
      </w:r>
      <w:r w:rsidRPr="00970B85">
        <w:rPr>
          <w:sz w:val="20"/>
          <w:szCs w:val="20"/>
          <w:lang w:val="en-GB"/>
        </w:rPr>
        <w:t xml:space="preserve">. Ten years ago there were more than two thirds (68%) of </w:t>
      </w:r>
      <w:r>
        <w:rPr>
          <w:sz w:val="20"/>
          <w:szCs w:val="20"/>
          <w:lang w:val="en-GB"/>
        </w:rPr>
        <w:t xml:space="preserve">such </w:t>
      </w:r>
      <w:r w:rsidRPr="00970B85">
        <w:rPr>
          <w:sz w:val="20"/>
          <w:szCs w:val="20"/>
          <w:lang w:val="en-GB"/>
        </w:rPr>
        <w:t>households, which in real numbers meant nearly three million households with no internet access in 2007. These were most frequently the households of pensioners where the internet is still unavailable in more than two thirds (69%) of such households.</w:t>
      </w:r>
    </w:p>
    <w:p w:rsidR="00BB78A6" w:rsidRPr="00970B85" w:rsidRDefault="00BB78A6" w:rsidP="00BB78A6">
      <w:pPr>
        <w:pStyle w:val="Zkladntext"/>
        <w:spacing w:before="0" w:after="120" w:line="288" w:lineRule="auto"/>
        <w:rPr>
          <w:lang w:val="en-GB"/>
        </w:rPr>
      </w:pPr>
      <w:r w:rsidRPr="00970B85">
        <w:rPr>
          <w:noProof/>
        </w:rPr>
        <w:drawing>
          <wp:inline distT="0" distB="0" distL="0" distR="0" wp14:anchorId="29F03A89" wp14:editId="00026035">
            <wp:extent cx="2952000" cy="2592000"/>
            <wp:effectExtent l="0" t="0" r="127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970B85">
        <w:rPr>
          <w:lang w:val="en-GB"/>
        </w:rPr>
        <w:t xml:space="preserve"> </w:t>
      </w:r>
      <w:r>
        <w:rPr>
          <w:noProof/>
        </w:rPr>
        <w:drawing>
          <wp:inline distT="0" distB="0" distL="0" distR="0" wp14:anchorId="76317AD6" wp14:editId="63425CAD">
            <wp:extent cx="3132000" cy="25920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B78A6" w:rsidRPr="002E2DD2"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However, we may observe that a computer or the internet can be found in nearly all households where its members wish or know how to use these technologies. Out of the aforementioned million households that had no internet access in 2017, 80% stated that this is due to a </w:t>
      </w:r>
      <w:r w:rsidRPr="00970B85">
        <w:rPr>
          <w:b/>
          <w:sz w:val="20"/>
          <w:szCs w:val="20"/>
          <w:lang w:val="en-GB"/>
        </w:rPr>
        <w:t>lack of interest or no need to work with the internet</w:t>
      </w:r>
      <w:r w:rsidRPr="00970B85">
        <w:rPr>
          <w:sz w:val="20"/>
          <w:szCs w:val="20"/>
          <w:lang w:val="en-GB"/>
        </w:rPr>
        <w:t>.</w:t>
      </w:r>
      <w:r w:rsidRPr="00970B85">
        <w:rPr>
          <w:b/>
          <w:sz w:val="20"/>
          <w:szCs w:val="20"/>
          <w:lang w:val="en-GB"/>
        </w:rPr>
        <w:t xml:space="preserve"> </w:t>
      </w:r>
      <w:r w:rsidRPr="00970B85">
        <w:rPr>
          <w:sz w:val="20"/>
          <w:szCs w:val="20"/>
          <w:lang w:val="en-GB"/>
        </w:rPr>
        <w:t xml:space="preserve">Most frequently, this reason was provided by the households of persons over the age of 65 and there were 87% of those. The members of nearly 40% of households with no internet access </w:t>
      </w:r>
      <w:r>
        <w:rPr>
          <w:sz w:val="20"/>
          <w:szCs w:val="20"/>
          <w:lang w:val="en-GB"/>
        </w:rPr>
        <w:t>a</w:t>
      </w:r>
      <w:r w:rsidRPr="00970B85">
        <w:rPr>
          <w:sz w:val="20"/>
          <w:szCs w:val="20"/>
          <w:lang w:val="en-GB"/>
        </w:rPr>
        <w:t xml:space="preserve">cknowledged they </w:t>
      </w:r>
      <w:r w:rsidRPr="00970B85">
        <w:rPr>
          <w:b/>
          <w:sz w:val="20"/>
          <w:szCs w:val="20"/>
          <w:lang w:val="en-GB"/>
        </w:rPr>
        <w:t>did not know how to operate it</w:t>
      </w:r>
      <w:r w:rsidRPr="00970B85">
        <w:rPr>
          <w:rStyle w:val="Znakapoznpodarou"/>
          <w:sz w:val="20"/>
          <w:szCs w:val="20"/>
          <w:lang w:val="en-GB"/>
        </w:rPr>
        <w:footnoteReference w:id="24"/>
      </w:r>
      <w:r w:rsidRPr="00970B85">
        <w:rPr>
          <w:sz w:val="20"/>
          <w:szCs w:val="20"/>
          <w:lang w:val="en-GB"/>
        </w:rPr>
        <w:t>. In households with children, these two reasons were highly exceeded by the financial aspect (57.5% of households with children with no internet access).</w:t>
      </w:r>
    </w:p>
    <w:p w:rsidR="00BB78A6" w:rsidRPr="00970B85" w:rsidRDefault="00BB78A6" w:rsidP="00BB78A6">
      <w:pPr>
        <w:pStyle w:val="Zkladntext"/>
        <w:numPr>
          <w:ilvl w:val="0"/>
          <w:numId w:val="15"/>
        </w:numPr>
        <w:tabs>
          <w:tab w:val="clear" w:pos="360"/>
        </w:tabs>
        <w:spacing w:before="0" w:after="80" w:line="264" w:lineRule="auto"/>
        <w:ind w:left="284" w:hanging="284"/>
        <w:rPr>
          <w:sz w:val="20"/>
          <w:szCs w:val="20"/>
          <w:lang w:val="en-GB"/>
        </w:rPr>
      </w:pPr>
      <w:r w:rsidRPr="006D27EA">
        <w:rPr>
          <w:b/>
          <w:sz w:val="20"/>
          <w:szCs w:val="20"/>
          <w:lang w:val="en-GB"/>
        </w:rPr>
        <w:t>In EU countries</w:t>
      </w:r>
      <w:r w:rsidRPr="00970B85">
        <w:rPr>
          <w:sz w:val="20"/>
          <w:szCs w:val="20"/>
          <w:lang w:val="en-GB"/>
        </w:rPr>
        <w:t xml:space="preserve"> among the 15% of households without internet access in 2017, on average, the two main reasons for not having access were that the internet was not considered to be useful (47%) and that the people were concerned about the lack of necessary skills (42%).</w:t>
      </w:r>
    </w:p>
    <w:p w:rsidR="00BB78A6" w:rsidRPr="00970B85" w:rsidRDefault="00BB78A6" w:rsidP="00983696">
      <w:pPr>
        <w:pStyle w:val="Nadpis3"/>
        <w:spacing w:before="0"/>
      </w:pPr>
      <w:bookmarkStart w:id="53" w:name="_Toc533697497"/>
      <w:bookmarkStart w:id="54" w:name="_Toc534711996"/>
      <w:r w:rsidRPr="00970B85">
        <w:lastRenderedPageBreak/>
        <w:t>Type of connection used by households to access the internet at home</w:t>
      </w:r>
      <w:bookmarkEnd w:id="53"/>
      <w:bookmarkEnd w:id="54"/>
    </w:p>
    <w:p w:rsidR="00BB78A6" w:rsidRPr="00970B85" w:rsidRDefault="00BB78A6" w:rsidP="00BB78A6">
      <w:pPr>
        <w:pStyle w:val="Zkladntext"/>
        <w:numPr>
          <w:ilvl w:val="0"/>
          <w:numId w:val="15"/>
        </w:numPr>
        <w:tabs>
          <w:tab w:val="clear" w:pos="360"/>
          <w:tab w:val="left" w:pos="284"/>
        </w:tabs>
        <w:spacing w:before="0" w:after="80" w:line="264" w:lineRule="auto"/>
        <w:ind w:left="284" w:hanging="284"/>
        <w:rPr>
          <w:sz w:val="20"/>
          <w:szCs w:val="20"/>
          <w:lang w:val="en-GB"/>
        </w:rPr>
      </w:pPr>
      <w:r w:rsidRPr="00970B85">
        <w:rPr>
          <w:sz w:val="20"/>
          <w:szCs w:val="20"/>
          <w:lang w:val="en-GB"/>
        </w:rPr>
        <w:t>As opposed to nearly all other EU countries, in order to get online, Czech households most frequently use primary external internet access</w:t>
      </w:r>
      <w:r w:rsidRPr="00970B85">
        <w:rPr>
          <w:rStyle w:val="Znakapoznpodarou"/>
          <w:bCs/>
          <w:sz w:val="20"/>
          <w:szCs w:val="20"/>
          <w:lang w:val="en-GB"/>
        </w:rPr>
        <w:footnoteReference w:id="25"/>
      </w:r>
      <w:r w:rsidRPr="00970B85">
        <w:rPr>
          <w:sz w:val="20"/>
          <w:szCs w:val="20"/>
          <w:lang w:val="en-GB"/>
        </w:rPr>
        <w:t xml:space="preserve"> via </w:t>
      </w:r>
      <w:r w:rsidRPr="00970B85">
        <w:rPr>
          <w:b/>
          <w:sz w:val="20"/>
          <w:szCs w:val="20"/>
          <w:lang w:val="en-GB"/>
        </w:rPr>
        <w:t xml:space="preserve">wireless connection </w:t>
      </w:r>
      <w:r w:rsidRPr="00970B85">
        <w:rPr>
          <w:sz w:val="20"/>
          <w:szCs w:val="20"/>
          <w:lang w:val="en-GB"/>
        </w:rPr>
        <w:t>provided by local providers by means of Wi</w:t>
      </w:r>
      <w:r w:rsidR="004A011F">
        <w:rPr>
          <w:sz w:val="20"/>
          <w:szCs w:val="20"/>
          <w:lang w:val="en-GB"/>
        </w:rPr>
        <w:t>-</w:t>
      </w:r>
      <w:r w:rsidRPr="00970B85">
        <w:rPr>
          <w:sz w:val="20"/>
          <w:szCs w:val="20"/>
          <w:lang w:val="en-GB"/>
        </w:rPr>
        <w:t>Fi</w:t>
      </w:r>
      <w:r>
        <w:rPr>
          <w:sz w:val="20"/>
          <w:szCs w:val="20"/>
          <w:lang w:val="en-GB"/>
        </w:rPr>
        <w:t xml:space="preserve"> technology</w:t>
      </w:r>
      <w:r w:rsidRPr="00970B85">
        <w:rPr>
          <w:sz w:val="20"/>
          <w:szCs w:val="20"/>
          <w:lang w:val="en-GB"/>
        </w:rPr>
        <w:t>.</w:t>
      </w:r>
      <w:r w:rsidRPr="00970B85">
        <w:rPr>
          <w:bCs/>
          <w:sz w:val="20"/>
          <w:szCs w:val="20"/>
          <w:lang w:val="en-GB"/>
        </w:rPr>
        <w:t xml:space="preserve"> In 2017, this technology was used approximately by a half of all households </w:t>
      </w:r>
      <w:r w:rsidR="004A011F">
        <w:rPr>
          <w:bCs/>
          <w:sz w:val="20"/>
          <w:szCs w:val="20"/>
          <w:lang w:val="en-GB"/>
        </w:rPr>
        <w:t>where inter</w:t>
      </w:r>
      <w:r>
        <w:rPr>
          <w:bCs/>
          <w:sz w:val="20"/>
          <w:szCs w:val="20"/>
          <w:lang w:val="en-GB"/>
        </w:rPr>
        <w:t>n</w:t>
      </w:r>
      <w:r w:rsidR="004A011F">
        <w:rPr>
          <w:bCs/>
          <w:sz w:val="20"/>
          <w:szCs w:val="20"/>
          <w:lang w:val="en-GB"/>
        </w:rPr>
        <w:t>e</w:t>
      </w:r>
      <w:r>
        <w:rPr>
          <w:bCs/>
          <w:sz w:val="20"/>
          <w:szCs w:val="20"/>
          <w:lang w:val="en-GB"/>
        </w:rPr>
        <w:t>t was used by their members</w:t>
      </w:r>
      <w:r w:rsidRPr="00970B85">
        <w:rPr>
          <w:bCs/>
          <w:sz w:val="20"/>
          <w:szCs w:val="20"/>
          <w:lang w:val="en-GB"/>
        </w:rPr>
        <w:t xml:space="preserve">. </w:t>
      </w:r>
    </w:p>
    <w:p w:rsidR="00BB78A6" w:rsidRPr="00970B85" w:rsidRDefault="00BB78A6" w:rsidP="00BB78A6">
      <w:pPr>
        <w:pStyle w:val="Zkladntext"/>
        <w:numPr>
          <w:ilvl w:val="0"/>
          <w:numId w:val="15"/>
        </w:numPr>
        <w:tabs>
          <w:tab w:val="clear" w:pos="360"/>
          <w:tab w:val="left" w:pos="284"/>
        </w:tabs>
        <w:spacing w:before="0" w:after="80" w:line="264" w:lineRule="auto"/>
        <w:ind w:left="284" w:hanging="284"/>
        <w:rPr>
          <w:sz w:val="20"/>
          <w:szCs w:val="20"/>
          <w:lang w:val="en-GB"/>
        </w:rPr>
      </w:pPr>
      <w:r w:rsidRPr="00970B85">
        <w:rPr>
          <w:sz w:val="20"/>
          <w:szCs w:val="20"/>
          <w:lang w:val="en-GB"/>
        </w:rPr>
        <w:t xml:space="preserve">Connection via </w:t>
      </w:r>
      <w:r w:rsidRPr="00970B85">
        <w:rPr>
          <w:b/>
          <w:sz w:val="20"/>
          <w:szCs w:val="20"/>
          <w:lang w:val="en-GB"/>
        </w:rPr>
        <w:t>TV cable system</w:t>
      </w:r>
      <w:r>
        <w:rPr>
          <w:b/>
          <w:sz w:val="20"/>
          <w:szCs w:val="20"/>
          <w:lang w:val="en-GB"/>
        </w:rPr>
        <w:t xml:space="preserve"> (cable modem)</w:t>
      </w:r>
      <w:r w:rsidRPr="00970B85">
        <w:rPr>
          <w:sz w:val="20"/>
          <w:szCs w:val="20"/>
          <w:lang w:val="en-GB"/>
        </w:rPr>
        <w:t xml:space="preserve"> was the second most used one in 2017 – this means of connection was used by a quarter of </w:t>
      </w:r>
      <w:r>
        <w:rPr>
          <w:sz w:val="20"/>
          <w:szCs w:val="20"/>
          <w:lang w:val="en-GB"/>
        </w:rPr>
        <w:t xml:space="preserve">Czech </w:t>
      </w:r>
      <w:r w:rsidRPr="00970B85">
        <w:rPr>
          <w:sz w:val="20"/>
          <w:szCs w:val="20"/>
          <w:lang w:val="en-GB"/>
        </w:rPr>
        <w:t>households with internet access.</w:t>
      </w:r>
      <w:r w:rsidRPr="00970B85">
        <w:rPr>
          <w:bCs/>
          <w:sz w:val="20"/>
          <w:szCs w:val="20"/>
          <w:lang w:val="en-GB"/>
        </w:rPr>
        <w:t xml:space="preserve"> Internet connection via telephone lines by means of </w:t>
      </w:r>
      <w:r w:rsidRPr="00970B85">
        <w:rPr>
          <w:b/>
          <w:bCs/>
          <w:sz w:val="20"/>
          <w:szCs w:val="20"/>
          <w:lang w:val="en-GB"/>
        </w:rPr>
        <w:t>xDSL</w:t>
      </w:r>
      <w:r w:rsidRPr="00970B85">
        <w:rPr>
          <w:bCs/>
          <w:sz w:val="20"/>
          <w:szCs w:val="20"/>
          <w:lang w:val="en-GB"/>
        </w:rPr>
        <w:t xml:space="preserve"> technology, most frequently used in the majority of households in </w:t>
      </w:r>
      <w:r>
        <w:rPr>
          <w:bCs/>
          <w:sz w:val="20"/>
          <w:szCs w:val="20"/>
          <w:lang w:val="en-GB"/>
        </w:rPr>
        <w:t xml:space="preserve">many other </w:t>
      </w:r>
      <w:r w:rsidRPr="00970B85">
        <w:rPr>
          <w:bCs/>
          <w:sz w:val="20"/>
          <w:szCs w:val="20"/>
          <w:lang w:val="en-GB"/>
        </w:rPr>
        <w:t>EU countries, was used “only” in 15% of Czech households in 2016.</w:t>
      </w:r>
    </w:p>
    <w:p w:rsidR="00BB78A6" w:rsidRPr="009A6C9A" w:rsidRDefault="00BB78A6" w:rsidP="00BB78A6">
      <w:pPr>
        <w:pStyle w:val="Zkladntext"/>
        <w:numPr>
          <w:ilvl w:val="0"/>
          <w:numId w:val="15"/>
        </w:numPr>
        <w:tabs>
          <w:tab w:val="clear" w:pos="360"/>
          <w:tab w:val="num" w:pos="284"/>
        </w:tabs>
        <w:spacing w:before="0" w:after="80" w:line="264" w:lineRule="auto"/>
        <w:ind w:left="284" w:hanging="284"/>
        <w:rPr>
          <w:bCs/>
          <w:sz w:val="20"/>
          <w:szCs w:val="20"/>
          <w:lang w:val="en-GB"/>
        </w:rPr>
      </w:pPr>
      <w:r w:rsidRPr="00D23D5F">
        <w:rPr>
          <w:sz w:val="20"/>
          <w:szCs w:val="20"/>
          <w:lang w:val="en-GB"/>
        </w:rPr>
        <w:t xml:space="preserve">In particular, the type of household internet connection has been changing with respect to the </w:t>
      </w:r>
      <w:r w:rsidRPr="00D23D5F">
        <w:rPr>
          <w:b/>
          <w:sz w:val="20"/>
          <w:szCs w:val="20"/>
          <w:lang w:val="en-GB"/>
        </w:rPr>
        <w:t>municipality size</w:t>
      </w:r>
      <w:r w:rsidRPr="00D23D5F">
        <w:rPr>
          <w:sz w:val="20"/>
          <w:szCs w:val="20"/>
          <w:lang w:val="en-GB"/>
        </w:rPr>
        <w:t xml:space="preserve"> of the given household’s residence, which is associated with the changeable availability of individual connection types in municipalities of various size groups. </w:t>
      </w:r>
    </w:p>
    <w:p w:rsidR="00BB78A6" w:rsidRDefault="00BB78A6" w:rsidP="00BB78A6">
      <w:pPr>
        <w:pStyle w:val="Zkladntext"/>
        <w:numPr>
          <w:ilvl w:val="0"/>
          <w:numId w:val="15"/>
        </w:numPr>
        <w:tabs>
          <w:tab w:val="clear" w:pos="360"/>
          <w:tab w:val="num" w:pos="284"/>
        </w:tabs>
        <w:spacing w:before="0" w:after="80" w:line="264" w:lineRule="auto"/>
        <w:ind w:left="284" w:hanging="284"/>
        <w:rPr>
          <w:bCs/>
          <w:sz w:val="20"/>
          <w:szCs w:val="20"/>
          <w:lang w:val="en-GB"/>
        </w:rPr>
      </w:pPr>
      <w:r w:rsidRPr="00D23D5F">
        <w:rPr>
          <w:sz w:val="20"/>
          <w:szCs w:val="20"/>
          <w:lang w:val="en-GB"/>
        </w:rPr>
        <w:t xml:space="preserve">For instance, the aforementioned terrestrial wireless </w:t>
      </w:r>
      <w:r w:rsidRPr="009A6C9A">
        <w:rPr>
          <w:b/>
          <w:sz w:val="20"/>
          <w:szCs w:val="20"/>
          <w:lang w:val="en-GB"/>
        </w:rPr>
        <w:t>connection via Wi-Fi</w:t>
      </w:r>
      <w:r w:rsidRPr="00D23D5F">
        <w:rPr>
          <w:sz w:val="20"/>
          <w:szCs w:val="20"/>
          <w:lang w:val="en-GB"/>
        </w:rPr>
        <w:t xml:space="preserve"> is most frequently used in households </w:t>
      </w:r>
      <w:r w:rsidRPr="009A6C9A">
        <w:rPr>
          <w:sz w:val="20"/>
          <w:szCs w:val="20"/>
          <w:lang w:val="en-GB"/>
        </w:rPr>
        <w:t>living in small municipalities of up to 2 thousand inhabitants – this type of connection was in 2017 used by two thirds of Czech households out of those that had internet connection as opposed to a third of households in the largest municipalities of over 50 thousand inhabitants.</w:t>
      </w:r>
      <w:r w:rsidRPr="00D23D5F">
        <w:rPr>
          <w:bCs/>
          <w:sz w:val="20"/>
          <w:szCs w:val="20"/>
          <w:lang w:val="en-GB"/>
        </w:rPr>
        <w:t xml:space="preserve"> </w:t>
      </w:r>
    </w:p>
    <w:p w:rsidR="00BB78A6" w:rsidRPr="00D23D5F" w:rsidRDefault="00BB78A6" w:rsidP="00BB78A6">
      <w:pPr>
        <w:pStyle w:val="Zkladntext"/>
        <w:numPr>
          <w:ilvl w:val="0"/>
          <w:numId w:val="15"/>
        </w:numPr>
        <w:tabs>
          <w:tab w:val="clear" w:pos="360"/>
          <w:tab w:val="num" w:pos="284"/>
        </w:tabs>
        <w:spacing w:before="0" w:after="80" w:line="264" w:lineRule="auto"/>
        <w:ind w:left="284" w:hanging="284"/>
        <w:rPr>
          <w:bCs/>
          <w:sz w:val="20"/>
          <w:szCs w:val="20"/>
          <w:lang w:val="en-GB"/>
        </w:rPr>
      </w:pPr>
      <w:r w:rsidRPr="00D23D5F">
        <w:rPr>
          <w:bCs/>
          <w:sz w:val="20"/>
          <w:szCs w:val="20"/>
          <w:lang w:val="en-GB"/>
        </w:rPr>
        <w:t xml:space="preserve">The internet </w:t>
      </w:r>
      <w:r w:rsidRPr="00D23D5F">
        <w:rPr>
          <w:sz w:val="20"/>
          <w:szCs w:val="20"/>
          <w:lang w:val="en-GB"/>
        </w:rPr>
        <w:t xml:space="preserve">connection via </w:t>
      </w:r>
      <w:r w:rsidRPr="009A6C9A">
        <w:rPr>
          <w:b/>
          <w:sz w:val="20"/>
          <w:szCs w:val="20"/>
          <w:lang w:val="en-GB"/>
        </w:rPr>
        <w:t>cable modem</w:t>
      </w:r>
      <w:r w:rsidRPr="00D23D5F">
        <w:rPr>
          <w:sz w:val="20"/>
          <w:szCs w:val="20"/>
          <w:lang w:val="en-GB"/>
        </w:rPr>
        <w:t xml:space="preserve"> is most frequently used in households living in large cities with over 50 thousand inhabitants where in 2017 nearly a half (45%) of all Czech households with internet connection used this means compared to 7% of households in the smallest municipalities.</w:t>
      </w:r>
      <w:r w:rsidRPr="00D23D5F">
        <w:rPr>
          <w:bCs/>
          <w:sz w:val="20"/>
          <w:szCs w:val="20"/>
          <w:lang w:val="en-GB"/>
        </w:rPr>
        <w:t xml:space="preserve"> </w:t>
      </w:r>
    </w:p>
    <w:p w:rsidR="00BB78A6" w:rsidRPr="00970B85" w:rsidRDefault="00BB78A6" w:rsidP="00BB78A6">
      <w:pPr>
        <w:pStyle w:val="Zkladntext"/>
        <w:tabs>
          <w:tab w:val="left" w:pos="284"/>
        </w:tabs>
        <w:spacing w:before="0" w:after="120" w:line="288" w:lineRule="auto"/>
        <w:rPr>
          <w:lang w:val="en-GB"/>
        </w:rPr>
      </w:pPr>
      <w:r w:rsidRPr="00970B85">
        <w:rPr>
          <w:noProof/>
        </w:rPr>
        <w:drawing>
          <wp:inline distT="0" distB="0" distL="0" distR="0" wp14:anchorId="03EA4712" wp14:editId="4DB5386F">
            <wp:extent cx="3096000" cy="27720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70B85">
        <w:rPr>
          <w:lang w:val="en-GB"/>
        </w:rPr>
        <w:t xml:space="preserve"> </w:t>
      </w:r>
      <w:r w:rsidRPr="00970B85">
        <w:rPr>
          <w:noProof/>
        </w:rPr>
        <w:drawing>
          <wp:inline distT="0" distB="0" distL="0" distR="0" wp14:anchorId="3C42CB52" wp14:editId="697EF030">
            <wp:extent cx="2990850" cy="277200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B78A6" w:rsidRPr="005C43C3" w:rsidRDefault="00BB78A6" w:rsidP="00BB78A6">
      <w:pPr>
        <w:pStyle w:val="Zkladntext"/>
        <w:keepNext/>
        <w:numPr>
          <w:ilvl w:val="0"/>
          <w:numId w:val="15"/>
        </w:numPr>
        <w:tabs>
          <w:tab w:val="clear" w:pos="360"/>
          <w:tab w:val="num" w:pos="284"/>
        </w:tabs>
        <w:spacing w:before="0" w:after="80" w:line="264" w:lineRule="auto"/>
        <w:ind w:left="284" w:hanging="284"/>
        <w:rPr>
          <w:color w:val="FFFFFF" w:themeColor="background1"/>
          <w:sz w:val="4"/>
          <w:szCs w:val="4"/>
          <w:lang w:val="en-GB"/>
        </w:rPr>
      </w:pPr>
      <w:r w:rsidRPr="005C43C3">
        <w:rPr>
          <w:sz w:val="20"/>
          <w:szCs w:val="20"/>
          <w:lang w:val="en-GB"/>
        </w:rPr>
        <w:t xml:space="preserve">Ensuring adequate access to the ICT infrastructures across all geographic areas is essential to ensuring that all citizens can benefit from the opportunities of digital transformation. </w:t>
      </w:r>
      <w:r w:rsidRPr="00D119A3">
        <w:rPr>
          <w:sz w:val="20"/>
          <w:szCs w:val="20"/>
          <w:lang w:val="en-GB"/>
        </w:rPr>
        <w:t>The</w:t>
      </w:r>
      <w:r w:rsidRPr="00D119A3">
        <w:rPr>
          <w:b/>
          <w:sz w:val="20"/>
          <w:szCs w:val="20"/>
          <w:lang w:val="en-GB"/>
        </w:rPr>
        <w:t xml:space="preserve"> rural-urban divide</w:t>
      </w:r>
      <w:r w:rsidRPr="005C43C3">
        <w:rPr>
          <w:sz w:val="20"/>
          <w:szCs w:val="20"/>
          <w:lang w:val="en-GB"/>
        </w:rPr>
        <w:t xml:space="preserve"> </w:t>
      </w:r>
      <w:r>
        <w:rPr>
          <w:sz w:val="20"/>
          <w:szCs w:val="20"/>
          <w:lang w:val="en-GB"/>
        </w:rPr>
        <w:t xml:space="preserve">in the Czech Republic </w:t>
      </w:r>
      <w:r w:rsidRPr="005C43C3">
        <w:rPr>
          <w:sz w:val="20"/>
          <w:szCs w:val="20"/>
          <w:lang w:val="en-GB"/>
        </w:rPr>
        <w:t>encompasses access to broadband that is of sufficient quality. While the share of households with broadband access has been consistently increasing to near complete penetration rates, these gains have not been evenly shared across households.</w:t>
      </w:r>
      <w:bookmarkStart w:id="55" w:name="_Toc526839158"/>
      <w:bookmarkStart w:id="56" w:name="_Toc527107119"/>
      <w:r w:rsidRPr="005C43C3">
        <w:rPr>
          <w:color w:val="FFFFFF" w:themeColor="background1"/>
          <w:sz w:val="4"/>
          <w:szCs w:val="4"/>
          <w:lang w:val="en-GB"/>
        </w:rPr>
        <w:t>it</w:t>
      </w:r>
      <w:bookmarkEnd w:id="55"/>
      <w:bookmarkEnd w:id="56"/>
    </w:p>
    <w:p w:rsidR="00A50D73" w:rsidRPr="008C4CA2" w:rsidRDefault="00BB78A6" w:rsidP="008C4CA2">
      <w:pPr>
        <w:pStyle w:val="Zkladntext"/>
        <w:numPr>
          <w:ilvl w:val="0"/>
          <w:numId w:val="15"/>
        </w:numPr>
        <w:tabs>
          <w:tab w:val="clear" w:pos="360"/>
          <w:tab w:val="num" w:pos="284"/>
        </w:tabs>
        <w:spacing w:before="0" w:after="120" w:line="264" w:lineRule="auto"/>
        <w:ind w:left="284" w:hanging="284"/>
      </w:pPr>
      <w:r w:rsidRPr="008C4CA2">
        <w:rPr>
          <w:bCs/>
          <w:sz w:val="20"/>
          <w:szCs w:val="20"/>
          <w:lang w:val="en-GB"/>
        </w:rPr>
        <w:t xml:space="preserve">Along with the increase in Czech households using portable devices enabling internet connection (smart phones, laptops, tablets), the popularity of </w:t>
      </w:r>
      <w:r w:rsidRPr="008C4CA2">
        <w:rPr>
          <w:b/>
          <w:bCs/>
          <w:sz w:val="20"/>
          <w:szCs w:val="20"/>
          <w:lang w:val="en-GB"/>
        </w:rPr>
        <w:t>so called “home-based” Wi-Fi</w:t>
      </w:r>
      <w:r w:rsidRPr="00970B85">
        <w:rPr>
          <w:rStyle w:val="Znakapoznpodarou"/>
          <w:bCs/>
          <w:sz w:val="20"/>
          <w:szCs w:val="20"/>
          <w:lang w:val="en-GB"/>
        </w:rPr>
        <w:footnoteReference w:id="26"/>
      </w:r>
      <w:r w:rsidRPr="008C4CA2">
        <w:rPr>
          <w:bCs/>
          <w:sz w:val="20"/>
          <w:szCs w:val="20"/>
          <w:lang w:val="en-GB"/>
        </w:rPr>
        <w:t xml:space="preserve"> is increasing</w:t>
      </w:r>
      <w:r w:rsidRPr="005860C6">
        <w:rPr>
          <w:bCs/>
          <w:sz w:val="20"/>
          <w:szCs w:val="20"/>
          <w:lang w:val="en-GB"/>
        </w:rPr>
        <w:t>,</w:t>
      </w:r>
      <w:r w:rsidRPr="008C4CA2">
        <w:rPr>
          <w:bCs/>
          <w:sz w:val="20"/>
          <w:szCs w:val="20"/>
          <w:lang w:val="en-GB"/>
        </w:rPr>
        <w:t xml:space="preserve"> as it offers the wireless distribution of internet signal within a flat/house. In 2017, this technology was used by 2.5 million Czech households, i.e. 75% of those having the internet at home and even by 80% of households with children. In 2010, a </w:t>
      </w:r>
      <w:r w:rsidRPr="008C4CA2">
        <w:rPr>
          <w:b/>
          <w:bCs/>
          <w:sz w:val="20"/>
          <w:szCs w:val="20"/>
          <w:lang w:val="en-GB"/>
        </w:rPr>
        <w:t xml:space="preserve">Wi-Fi router </w:t>
      </w:r>
      <w:r w:rsidRPr="008C4CA2">
        <w:rPr>
          <w:bCs/>
          <w:sz w:val="20"/>
          <w:szCs w:val="20"/>
          <w:lang w:val="en-GB"/>
        </w:rPr>
        <w:t>was owned only by 16% of households.</w:t>
      </w:r>
      <w:bookmarkEnd w:id="19"/>
      <w:bookmarkEnd w:id="46"/>
    </w:p>
    <w:p w:rsidR="008C4CA2" w:rsidRPr="00970B85" w:rsidRDefault="008C4CA2" w:rsidP="008C4CA2">
      <w:pPr>
        <w:pStyle w:val="Nadpis1"/>
      </w:pPr>
      <w:bookmarkStart w:id="57" w:name="_Toc533697498"/>
      <w:bookmarkStart w:id="58" w:name="_Toc534711997"/>
      <w:bookmarkStart w:id="59" w:name="_Toc528845458"/>
      <w:r w:rsidRPr="00970B85">
        <w:lastRenderedPageBreak/>
        <w:t>Chapter C Individuals and ICT</w:t>
      </w:r>
      <w:bookmarkEnd w:id="57"/>
      <w:bookmarkEnd w:id="58"/>
    </w:p>
    <w:p w:rsidR="008C4CA2" w:rsidRPr="00970B85" w:rsidRDefault="008C4CA2" w:rsidP="008C4CA2">
      <w:pPr>
        <w:pStyle w:val="Zkladntext"/>
        <w:spacing w:before="0" w:after="80" w:line="264" w:lineRule="auto"/>
        <w:rPr>
          <w:i/>
          <w:sz w:val="20"/>
          <w:lang w:val="en-GB"/>
        </w:rPr>
      </w:pPr>
      <w:r w:rsidRPr="00970B85">
        <w:rPr>
          <w:i/>
          <w:sz w:val="20"/>
          <w:lang w:val="en-GB"/>
        </w:rPr>
        <w:t xml:space="preserve">Not only internet access and access to other modern information and communication technologies (hereinafter referred to as the “ICT”), but primarily the motivation and ability of individuals to use efficiently the applications and services offered through these technologies is currently considered as one of the key factors of economic, social, and political development of society. </w:t>
      </w:r>
      <w:r w:rsidRPr="004648AF">
        <w:rPr>
          <w:i/>
          <w:sz w:val="20"/>
          <w:lang w:val="en-GB"/>
        </w:rPr>
        <w:t>However</w:t>
      </w:r>
      <w:r w:rsidRPr="00970B85">
        <w:rPr>
          <w:i/>
          <w:sz w:val="20"/>
          <w:lang w:val="en-GB"/>
        </w:rPr>
        <w:t>, the ICT brings a numb</w:t>
      </w:r>
      <w:r>
        <w:rPr>
          <w:i/>
          <w:sz w:val="20"/>
          <w:lang w:val="en-GB"/>
        </w:rPr>
        <w:t>er of negative effects, such as l</w:t>
      </w:r>
      <w:r w:rsidRPr="00970B85">
        <w:rPr>
          <w:i/>
          <w:sz w:val="20"/>
          <w:lang w:val="en-GB"/>
        </w:rPr>
        <w:t xml:space="preserve">oss of privacy, data security endangerment, cyber-harassment, overload of unsolicited information, addictiveness to these technologies, </w:t>
      </w:r>
      <w:r w:rsidRPr="004648AF">
        <w:rPr>
          <w:i/>
          <w:sz w:val="20"/>
          <w:lang w:val="en-GB"/>
        </w:rPr>
        <w:t>etc</w:t>
      </w:r>
      <w:r w:rsidRPr="00970B85">
        <w:rPr>
          <w:i/>
          <w:sz w:val="20"/>
          <w:lang w:val="en-GB"/>
        </w:rPr>
        <w:t>.</w:t>
      </w:r>
    </w:p>
    <w:p w:rsidR="008C4CA2" w:rsidRPr="00970B85" w:rsidRDefault="008C4CA2" w:rsidP="008C4CA2">
      <w:pPr>
        <w:pStyle w:val="Zkladntext"/>
        <w:spacing w:before="0" w:after="80" w:line="264" w:lineRule="auto"/>
        <w:rPr>
          <w:i/>
          <w:sz w:val="20"/>
          <w:lang w:val="en-GB"/>
        </w:rPr>
      </w:pPr>
      <w:r w:rsidRPr="00970B85">
        <w:rPr>
          <w:i/>
          <w:sz w:val="20"/>
          <w:lang w:val="en-GB"/>
        </w:rPr>
        <w:t xml:space="preserve">The chapter devoted to individuals provides the monitored development of spreading and using the modern ICT – primarily the use of computers and internet – among individuals since </w:t>
      </w:r>
      <w:r w:rsidRPr="004648AF">
        <w:rPr>
          <w:i/>
          <w:sz w:val="20"/>
          <w:lang w:val="en-GB"/>
        </w:rPr>
        <w:t>2002,</w:t>
      </w:r>
      <w:r w:rsidRPr="00970B85">
        <w:rPr>
          <w:i/>
          <w:sz w:val="20"/>
          <w:lang w:val="en-GB"/>
        </w:rPr>
        <w:t xml:space="preserve"> when the CZSO first realised its own survey on the usage of information technologies among individuals</w:t>
      </w:r>
      <w:r w:rsidRPr="00970B85">
        <w:rPr>
          <w:rStyle w:val="Znakapoznpodarou"/>
          <w:i/>
          <w:sz w:val="20"/>
          <w:lang w:val="en-GB"/>
        </w:rPr>
        <w:footnoteReference w:id="27"/>
      </w:r>
      <w:r>
        <w:rPr>
          <w:i/>
          <w:sz w:val="20"/>
          <w:lang w:val="en-GB"/>
        </w:rPr>
        <w:t>.</w:t>
      </w:r>
      <w:r w:rsidRPr="00970B85">
        <w:rPr>
          <w:i/>
          <w:sz w:val="20"/>
          <w:lang w:val="en-GB"/>
        </w:rPr>
        <w:t xml:space="preserve"> The results of this regularly carried-</w:t>
      </w:r>
      <w:r w:rsidRPr="004648AF">
        <w:rPr>
          <w:i/>
          <w:sz w:val="20"/>
          <w:lang w:val="en-GB"/>
        </w:rPr>
        <w:t>out</w:t>
      </w:r>
      <w:r w:rsidRPr="00970B85">
        <w:rPr>
          <w:i/>
          <w:sz w:val="20"/>
          <w:lang w:val="en-GB"/>
        </w:rPr>
        <w:t xml:space="preserve"> survey enables not only monitoring of the fact the internet penetrates the everyday life of more and more people, but also the types of devices by means of which people get connected to the intern</w:t>
      </w:r>
      <w:r w:rsidRPr="00866C17">
        <w:rPr>
          <w:i/>
          <w:color w:val="000000" w:themeColor="text1"/>
          <w:sz w:val="20"/>
          <w:lang w:val="en-GB"/>
        </w:rPr>
        <w:t>et</w:t>
      </w:r>
      <w:r w:rsidRPr="004648AF">
        <w:rPr>
          <w:i/>
          <w:sz w:val="20"/>
          <w:lang w:val="en-GB"/>
        </w:rPr>
        <w:t>,</w:t>
      </w:r>
      <w:r w:rsidRPr="00866C17">
        <w:rPr>
          <w:i/>
          <w:color w:val="FF0000"/>
          <w:sz w:val="20"/>
          <w:lang w:val="en-GB"/>
        </w:rPr>
        <w:t xml:space="preserve"> </w:t>
      </w:r>
      <w:r w:rsidRPr="00970B85">
        <w:rPr>
          <w:i/>
          <w:sz w:val="20"/>
          <w:lang w:val="en-GB"/>
        </w:rPr>
        <w:t>and what the internet actually serves them for. This all is described with respect to sex, age</w:t>
      </w:r>
      <w:r w:rsidRPr="004648AF">
        <w:rPr>
          <w:i/>
          <w:sz w:val="20"/>
          <w:lang w:val="en-GB"/>
        </w:rPr>
        <w:t>, and</w:t>
      </w:r>
      <w:r w:rsidRPr="00866C17">
        <w:rPr>
          <w:i/>
          <w:color w:val="FF0000"/>
          <w:sz w:val="20"/>
          <w:lang w:val="en-GB"/>
        </w:rPr>
        <w:t xml:space="preserve"> </w:t>
      </w:r>
      <w:r w:rsidRPr="00970B85">
        <w:rPr>
          <w:i/>
          <w:sz w:val="20"/>
          <w:lang w:val="en-GB"/>
        </w:rPr>
        <w:t>highest attained education or economic activity.</w:t>
      </w:r>
    </w:p>
    <w:p w:rsidR="008C4CA2" w:rsidRPr="00970B85" w:rsidRDefault="008C4CA2" w:rsidP="008C4CA2">
      <w:pPr>
        <w:pStyle w:val="Nadpis2"/>
      </w:pPr>
      <w:bookmarkStart w:id="60" w:name="_Toc533697499"/>
      <w:bookmarkStart w:id="61" w:name="_Toc534711998"/>
      <w:r w:rsidRPr="00970B85">
        <w:t xml:space="preserve">C.1 </w:t>
      </w:r>
      <w:r>
        <w:t>Individuals and a c</w:t>
      </w:r>
      <w:r w:rsidRPr="00970B85">
        <w:t>omputer</w:t>
      </w:r>
      <w:bookmarkEnd w:id="60"/>
      <w:bookmarkEnd w:id="61"/>
      <w:r>
        <w:t xml:space="preserve"> </w:t>
      </w:r>
    </w:p>
    <w:p w:rsidR="008C4CA2" w:rsidRDefault="008C4CA2" w:rsidP="008C4CA2">
      <w:pPr>
        <w:pStyle w:val="Zkladntext"/>
        <w:spacing w:before="0" w:after="80" w:line="264" w:lineRule="auto"/>
        <w:rPr>
          <w:i/>
          <w:sz w:val="20"/>
          <w:lang w:val="en-GB"/>
        </w:rPr>
      </w:pPr>
      <w:r w:rsidRPr="0052453F">
        <w:rPr>
          <w:i/>
          <w:sz w:val="20"/>
          <w:lang w:val="en-GB"/>
        </w:rPr>
        <w:t xml:space="preserve">Similarly, to telephones, Czech citizens prefer the portable and mobile versions of computers </w:t>
      </w:r>
      <w:r>
        <w:rPr>
          <w:i/>
          <w:sz w:val="20"/>
          <w:lang w:val="en-GB"/>
        </w:rPr>
        <w:t>compare to desktop ones</w:t>
      </w:r>
      <w:r w:rsidRPr="00970B85">
        <w:rPr>
          <w:i/>
          <w:sz w:val="20"/>
          <w:lang w:val="en-GB"/>
        </w:rPr>
        <w:t>. As early as in 2014, the number of laptops and tablets in Czech households exceeded the number of desktop computers. The increasing number of users of these devices indicates the trend of incoming mobility</w:t>
      </w:r>
      <w:r w:rsidRPr="0052453F">
        <w:rPr>
          <w:i/>
          <w:sz w:val="20"/>
          <w:lang w:val="en-GB"/>
        </w:rPr>
        <w:t>,</w:t>
      </w:r>
      <w:r w:rsidRPr="00970B85">
        <w:rPr>
          <w:i/>
          <w:sz w:val="20"/>
          <w:lang w:val="en-GB"/>
        </w:rPr>
        <w:t xml:space="preserve"> where we no longer wish to have a device connectible to the </w:t>
      </w:r>
      <w:r w:rsidRPr="0052453F">
        <w:rPr>
          <w:i/>
          <w:sz w:val="20"/>
          <w:lang w:val="en-GB"/>
        </w:rPr>
        <w:t xml:space="preserve">internet only at a single fixed place, but accessible anywhere and at any time. The </w:t>
      </w:r>
      <w:r w:rsidRPr="00970B85">
        <w:rPr>
          <w:i/>
          <w:sz w:val="20"/>
          <w:lang w:val="en-GB"/>
        </w:rPr>
        <w:t xml:space="preserve">frequency of usage of these devices is also increasing and these devices are also gaining popularity with pensioners. </w:t>
      </w:r>
    </w:p>
    <w:p w:rsidR="008C4CA2" w:rsidRPr="00970B85" w:rsidRDefault="008C4CA2" w:rsidP="008C4CA2">
      <w:pPr>
        <w:pStyle w:val="Nadpis3"/>
      </w:pPr>
      <w:bookmarkStart w:id="62" w:name="_Toc533697500"/>
      <w:bookmarkStart w:id="63" w:name="_Toc534711999"/>
      <w:r w:rsidRPr="00284620">
        <w:t xml:space="preserve">Computer users – </w:t>
      </w:r>
      <w:r>
        <w:t>M</w:t>
      </w:r>
      <w:r w:rsidRPr="00284620">
        <w:t>ain figures</w:t>
      </w:r>
      <w:bookmarkEnd w:id="62"/>
      <w:bookmarkEnd w:id="63"/>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Along with the increasing number of computers used in Czech households, the number of persons using the computer at home or elsewhere is also rising. In the past 10 years, the number of individuals over the age of 16 using computers in the Czech Republic – </w:t>
      </w:r>
      <w:r w:rsidRPr="00970B85">
        <w:rPr>
          <w:b/>
          <w:sz w:val="20"/>
          <w:szCs w:val="20"/>
          <w:lang w:val="en-GB"/>
        </w:rPr>
        <w:t>computer users</w:t>
      </w:r>
      <w:r w:rsidRPr="002C69EC">
        <w:rPr>
          <w:rStyle w:val="Znakapoznpodarou"/>
          <w:b/>
          <w:sz w:val="20"/>
          <w:szCs w:val="20"/>
          <w:lang w:val="en-GB"/>
        </w:rPr>
        <w:footnoteReference w:id="28"/>
      </w:r>
      <w:r w:rsidRPr="00970B85">
        <w:rPr>
          <w:b/>
          <w:sz w:val="20"/>
          <w:szCs w:val="20"/>
          <w:lang w:val="en-GB"/>
        </w:rPr>
        <w:t xml:space="preserve"> </w:t>
      </w:r>
      <w:r w:rsidRPr="00970B85">
        <w:rPr>
          <w:sz w:val="20"/>
          <w:szCs w:val="20"/>
          <w:lang w:val="en-GB"/>
        </w:rPr>
        <w:t>–</w:t>
      </w:r>
      <w:r>
        <w:rPr>
          <w:b/>
          <w:sz w:val="20"/>
          <w:szCs w:val="20"/>
          <w:lang w:val="en-GB"/>
        </w:rPr>
        <w:t xml:space="preserve"> </w:t>
      </w:r>
      <w:r w:rsidRPr="0052453F">
        <w:rPr>
          <w:sz w:val="20"/>
          <w:szCs w:val="20"/>
          <w:lang w:val="en-GB"/>
        </w:rPr>
        <w:t>have</w:t>
      </w:r>
      <w:r w:rsidRPr="00970B85">
        <w:rPr>
          <w:sz w:val="20"/>
          <w:szCs w:val="20"/>
          <w:lang w:val="en-GB"/>
        </w:rPr>
        <w:t xml:space="preserve"> increased</w:t>
      </w:r>
      <w:r w:rsidRPr="00970B85">
        <w:rPr>
          <w:b/>
          <w:sz w:val="20"/>
          <w:szCs w:val="20"/>
          <w:lang w:val="en-GB"/>
        </w:rPr>
        <w:t xml:space="preserve"> </w:t>
      </w:r>
      <w:r w:rsidRPr="00970B85">
        <w:rPr>
          <w:sz w:val="20"/>
          <w:szCs w:val="20"/>
          <w:lang w:val="en-GB"/>
        </w:rPr>
        <w:t>out of 51% in 2007 to 77% in 2017</w:t>
      </w:r>
      <w:r>
        <w:rPr>
          <w:sz w:val="20"/>
          <w:szCs w:val="20"/>
          <w:lang w:val="en-GB"/>
        </w:rPr>
        <w:t>.</w:t>
      </w:r>
      <w:r w:rsidRPr="00970B85">
        <w:rPr>
          <w:sz w:val="20"/>
          <w:szCs w:val="20"/>
          <w:lang w:val="en-GB"/>
        </w:rPr>
        <w:t xml:space="preserve">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Apart from the increasing number of persons using a computer, the </w:t>
      </w:r>
      <w:r w:rsidRPr="00970B85">
        <w:rPr>
          <w:b/>
          <w:sz w:val="20"/>
          <w:szCs w:val="20"/>
          <w:lang w:val="en-GB"/>
        </w:rPr>
        <w:t>frequency of its usage</w:t>
      </w:r>
      <w:r w:rsidRPr="00970B85">
        <w:rPr>
          <w:sz w:val="20"/>
          <w:szCs w:val="20"/>
          <w:lang w:val="en-GB"/>
        </w:rPr>
        <w:t xml:space="preserve"> is also increasing. In 2007, a computer was used every day or almost every day by 61% of </w:t>
      </w:r>
      <w:r>
        <w:rPr>
          <w:sz w:val="20"/>
          <w:szCs w:val="20"/>
          <w:lang w:val="en-GB"/>
        </w:rPr>
        <w:t xml:space="preserve">computer </w:t>
      </w:r>
      <w:r w:rsidRPr="00970B85">
        <w:rPr>
          <w:sz w:val="20"/>
          <w:szCs w:val="20"/>
          <w:lang w:val="en-GB"/>
        </w:rPr>
        <w:t xml:space="preserve">users; currently it is used this frequently by 80% of </w:t>
      </w:r>
      <w:r>
        <w:rPr>
          <w:sz w:val="20"/>
          <w:szCs w:val="20"/>
          <w:lang w:val="en-GB"/>
        </w:rPr>
        <w:t xml:space="preserve">computer </w:t>
      </w:r>
      <w:r w:rsidRPr="00970B85">
        <w:rPr>
          <w:sz w:val="20"/>
          <w:szCs w:val="20"/>
          <w:lang w:val="en-GB"/>
        </w:rPr>
        <w:t xml:space="preserve">users.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 fast growth of computer users in the Czech Republic is already over. However, this does not apply to all groups of citizens. In the past few years, the fastest growing number </w:t>
      </w:r>
      <w:r w:rsidRPr="0052453F">
        <w:rPr>
          <w:sz w:val="20"/>
          <w:szCs w:val="20"/>
          <w:lang w:val="en-GB"/>
        </w:rPr>
        <w:t>was</w:t>
      </w:r>
      <w:r w:rsidRPr="00970B85">
        <w:rPr>
          <w:sz w:val="20"/>
          <w:szCs w:val="20"/>
          <w:lang w:val="en-GB"/>
        </w:rPr>
        <w:t xml:space="preserve"> the number of persons using a computer at the </w:t>
      </w:r>
      <w:r w:rsidRPr="00970B85">
        <w:rPr>
          <w:b/>
          <w:sz w:val="20"/>
          <w:szCs w:val="20"/>
          <w:lang w:val="en-GB"/>
        </w:rPr>
        <w:t>age of retirement or early retirement</w:t>
      </w:r>
      <w:r w:rsidRPr="00970B85">
        <w:rPr>
          <w:sz w:val="20"/>
          <w:szCs w:val="20"/>
          <w:lang w:val="en-GB"/>
        </w:rPr>
        <w:t>. In 2007, not even 8% of pensioners were using a computer; in 2017 this number increased to 36% of them.</w:t>
      </w:r>
    </w:p>
    <w:p w:rsidR="008C4CA2" w:rsidRPr="00580087"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580087">
        <w:rPr>
          <w:sz w:val="20"/>
          <w:szCs w:val="20"/>
          <w:lang w:val="en-GB"/>
        </w:rPr>
        <w:t xml:space="preserve">Data not just from the Czech Republic but also from other EU countries show that the percentage of individuals accessing </w:t>
      </w:r>
      <w:r w:rsidRPr="00580087">
        <w:rPr>
          <w:b/>
          <w:sz w:val="20"/>
          <w:szCs w:val="20"/>
          <w:lang w:val="en-GB"/>
        </w:rPr>
        <w:t>computer and internet from home</w:t>
      </w:r>
      <w:r w:rsidRPr="00580087">
        <w:rPr>
          <w:sz w:val="20"/>
          <w:szCs w:val="20"/>
          <w:lang w:val="en-GB"/>
        </w:rPr>
        <w:t xml:space="preserve"> has increased considerably over time. Already in 2012, 96% of internet users used the internet at home in the Czech Republic, in comparison to 57% ten years ago. In 2002, the n</w:t>
      </w:r>
      <w:r w:rsidR="003278D8">
        <w:rPr>
          <w:sz w:val="20"/>
          <w:szCs w:val="20"/>
          <w:lang w:val="en-GB"/>
        </w:rPr>
        <w:t>umber of individuals using the i</w:t>
      </w:r>
      <w:r w:rsidRPr="00580087">
        <w:rPr>
          <w:sz w:val="20"/>
          <w:szCs w:val="20"/>
          <w:lang w:val="en-GB"/>
        </w:rPr>
        <w:t>nternet at home (1 million) did</w:t>
      </w:r>
      <w:r w:rsidR="003278D8">
        <w:rPr>
          <w:sz w:val="20"/>
          <w:szCs w:val="20"/>
          <w:lang w:val="en-GB"/>
        </w:rPr>
        <w:t xml:space="preserve"> </w:t>
      </w:r>
      <w:r w:rsidRPr="00580087">
        <w:rPr>
          <w:sz w:val="20"/>
          <w:szCs w:val="20"/>
          <w:lang w:val="en-GB"/>
        </w:rPr>
        <w:t>n</w:t>
      </w:r>
      <w:r w:rsidR="003278D8">
        <w:rPr>
          <w:sz w:val="20"/>
          <w:szCs w:val="20"/>
          <w:lang w:val="en-GB"/>
        </w:rPr>
        <w:t>o</w:t>
      </w:r>
      <w:r w:rsidRPr="00580087">
        <w:rPr>
          <w:sz w:val="20"/>
          <w:szCs w:val="20"/>
          <w:lang w:val="en-GB"/>
        </w:rPr>
        <w:t>t differ much from the n</w:t>
      </w:r>
      <w:r w:rsidR="003278D8">
        <w:rPr>
          <w:sz w:val="20"/>
          <w:szCs w:val="20"/>
          <w:lang w:val="en-GB"/>
        </w:rPr>
        <w:t>umber of individuals using the i</w:t>
      </w:r>
      <w:r w:rsidRPr="00580087">
        <w:rPr>
          <w:sz w:val="20"/>
          <w:szCs w:val="20"/>
          <w:lang w:val="en-GB"/>
        </w:rPr>
        <w:t>nternet at work (800 thousand).</w:t>
      </w:r>
    </w:p>
    <w:p w:rsidR="008C4CA2" w:rsidRPr="00970B85" w:rsidRDefault="008C4CA2" w:rsidP="00983696">
      <w:pPr>
        <w:pStyle w:val="Nadpis3"/>
        <w:spacing w:before="0"/>
      </w:pPr>
      <w:bookmarkStart w:id="64" w:name="_Toc533697501"/>
      <w:bookmarkStart w:id="65" w:name="_Toc534712000"/>
      <w:r w:rsidRPr="00284620">
        <w:lastRenderedPageBreak/>
        <w:t>Type of computers used by individuals</w:t>
      </w:r>
      <w:bookmarkEnd w:id="64"/>
      <w:bookmarkEnd w:id="65"/>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the past years, the popularity of portable </w:t>
      </w:r>
      <w:r w:rsidRPr="000C021F">
        <w:rPr>
          <w:sz w:val="20"/>
          <w:szCs w:val="20"/>
          <w:lang w:val="en-GB"/>
        </w:rPr>
        <w:t xml:space="preserve">computers, laptops and tablets, has been increasing. </w:t>
      </w:r>
      <w:r w:rsidRPr="00970B85">
        <w:rPr>
          <w:sz w:val="20"/>
          <w:szCs w:val="20"/>
          <w:lang w:val="en-GB"/>
        </w:rPr>
        <w:t xml:space="preserve">The popularity of these devices is mainly associated with the possibility of their usage practically anywhere including internet access, i.e. not only at home or at a workplace, but also on a train or in a café. In 2017, a </w:t>
      </w:r>
      <w:r w:rsidRPr="00970B85">
        <w:rPr>
          <w:b/>
          <w:sz w:val="20"/>
          <w:szCs w:val="20"/>
          <w:lang w:val="en-GB"/>
        </w:rPr>
        <w:t xml:space="preserve">portable computer </w:t>
      </w:r>
      <w:r w:rsidRPr="005C43C3">
        <w:rPr>
          <w:sz w:val="20"/>
          <w:szCs w:val="20"/>
          <w:lang w:val="en-GB"/>
        </w:rPr>
        <w:t>(laptop or tablet)</w:t>
      </w:r>
      <w:r w:rsidRPr="00970B85">
        <w:rPr>
          <w:sz w:val="20"/>
          <w:szCs w:val="20"/>
          <w:lang w:val="en-GB"/>
        </w:rPr>
        <w:t xml:space="preserve"> was used in the Czech Republic by 61% of individuals over the age of 16</w:t>
      </w:r>
      <w:r w:rsidRPr="000C021F">
        <w:rPr>
          <w:sz w:val="20"/>
          <w:szCs w:val="20"/>
          <w:lang w:val="en-GB"/>
        </w:rPr>
        <w:t>,</w:t>
      </w:r>
      <w:r w:rsidRPr="00970B85">
        <w:rPr>
          <w:sz w:val="20"/>
          <w:szCs w:val="20"/>
          <w:lang w:val="en-GB"/>
        </w:rPr>
        <w:t xml:space="preserve"> comparing to 8% in 2007.</w:t>
      </w:r>
    </w:p>
    <w:p w:rsidR="008C4CA2" w:rsidRPr="00970B85" w:rsidRDefault="00D3587A" w:rsidP="008C4CA2">
      <w:pPr>
        <w:pStyle w:val="Zkladntext"/>
        <w:spacing w:before="0" w:after="120" w:line="288" w:lineRule="auto"/>
        <w:rPr>
          <w:sz w:val="20"/>
          <w:szCs w:val="20"/>
          <w:lang w:val="en-GB"/>
        </w:rPr>
        <w:sectPr w:rsidR="008C4CA2" w:rsidRPr="00970B85" w:rsidSect="00D3587A">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1134" w:right="1134" w:bottom="1418" w:left="1134" w:header="680" w:footer="680" w:gutter="0"/>
          <w:cols w:space="2"/>
          <w:docGrid w:linePitch="360"/>
        </w:sectPr>
      </w:pPr>
      <w:bookmarkStart w:id="66" w:name="_Toc533151825"/>
      <w:r w:rsidRPr="00970B85">
        <w:rPr>
          <w:noProof/>
        </w:rPr>
        <w:drawing>
          <wp:anchor distT="0" distB="0" distL="114300" distR="114300" simplePos="0" relativeHeight="251697664" behindDoc="1" locked="0" layoutInCell="1" allowOverlap="1">
            <wp:simplePos x="0" y="0"/>
            <wp:positionH relativeFrom="column">
              <wp:posOffset>3032760</wp:posOffset>
            </wp:positionH>
            <wp:positionV relativeFrom="paragraph">
              <wp:posOffset>6350</wp:posOffset>
            </wp:positionV>
            <wp:extent cx="3059430" cy="3419475"/>
            <wp:effectExtent l="0" t="0" r="7620" b="0"/>
            <wp:wrapTight wrapText="bothSides">
              <wp:wrapPolygon edited="0">
                <wp:start x="0" y="0"/>
                <wp:lineTo x="0" y="21419"/>
                <wp:lineTo x="21519" y="21419"/>
                <wp:lineTo x="21519" y="0"/>
                <wp:lineTo x="0" y="0"/>
              </wp:wrapPolygon>
            </wp:wrapTight>
            <wp:docPr id="109" name="Graf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Pr="00970B85">
        <w:rPr>
          <w:noProof/>
        </w:rPr>
        <w:drawing>
          <wp:anchor distT="0" distB="0" distL="114300" distR="114300" simplePos="0" relativeHeight="251704832" behindDoc="1" locked="0" layoutInCell="1" allowOverlap="1">
            <wp:simplePos x="0" y="0"/>
            <wp:positionH relativeFrom="column">
              <wp:posOffset>118110</wp:posOffset>
            </wp:positionH>
            <wp:positionV relativeFrom="paragraph">
              <wp:posOffset>25400</wp:posOffset>
            </wp:positionV>
            <wp:extent cx="3060000" cy="3420000"/>
            <wp:effectExtent l="0" t="0" r="7620" b="9525"/>
            <wp:wrapTight wrapText="bothSides">
              <wp:wrapPolygon edited="0">
                <wp:start x="0" y="0"/>
                <wp:lineTo x="0" y="21540"/>
                <wp:lineTo x="21519" y="21540"/>
                <wp:lineTo x="21519" y="0"/>
                <wp:lineTo x="0" y="0"/>
              </wp:wrapPolygon>
            </wp:wrapTight>
            <wp:docPr id="108" name="Graf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bookmarkEnd w:id="66"/>
    </w:p>
    <w:p w:rsidR="00D3587A" w:rsidRDefault="00D3587A" w:rsidP="008C4CA2">
      <w:pPr>
        <w:pStyle w:val="Zkladntext"/>
        <w:numPr>
          <w:ilvl w:val="0"/>
          <w:numId w:val="15"/>
        </w:numPr>
        <w:tabs>
          <w:tab w:val="clear" w:pos="360"/>
          <w:tab w:val="num" w:pos="284"/>
        </w:tabs>
        <w:spacing w:before="0" w:after="80" w:line="264" w:lineRule="auto"/>
        <w:ind w:left="284" w:hanging="284"/>
        <w:rPr>
          <w:b/>
          <w:sz w:val="20"/>
          <w:szCs w:val="20"/>
          <w:lang w:val="en-GB"/>
        </w:rPr>
        <w:sectPr w:rsidR="00D3587A" w:rsidSect="008C4CA2">
          <w:type w:val="continuous"/>
          <w:pgSz w:w="11906" w:h="16838" w:code="9"/>
          <w:pgMar w:top="1134" w:right="1134" w:bottom="1418" w:left="1134" w:header="680" w:footer="680" w:gutter="0"/>
          <w:cols w:space="708"/>
          <w:docGrid w:linePitch="360"/>
        </w:sectPr>
      </w:pPr>
    </w:p>
    <w:p w:rsidR="00CA6923" w:rsidRPr="00CA6923" w:rsidRDefault="00CA6923" w:rsidP="00CA6923">
      <w:pPr>
        <w:pStyle w:val="Zkladntext"/>
        <w:spacing w:before="0" w:after="80" w:line="264" w:lineRule="auto"/>
        <w:rPr>
          <w:sz w:val="20"/>
          <w:szCs w:val="20"/>
          <w:lang w:val="en-GB"/>
        </w:rPr>
      </w:pP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b/>
          <w:sz w:val="20"/>
          <w:szCs w:val="20"/>
          <w:lang w:val="en-GB"/>
        </w:rPr>
        <w:t>Tablets</w:t>
      </w:r>
      <w:r w:rsidRPr="00970B85">
        <w:rPr>
          <w:sz w:val="20"/>
          <w:szCs w:val="20"/>
          <w:lang w:val="en-GB"/>
        </w:rPr>
        <w:t xml:space="preserve">, which started being used in the Czech Republic only in the past few years, have been </w:t>
      </w:r>
      <w:r>
        <w:rPr>
          <w:sz w:val="20"/>
          <w:szCs w:val="20"/>
          <w:lang w:val="en-GB"/>
        </w:rPr>
        <w:t xml:space="preserve">increasingly </w:t>
      </w:r>
      <w:r w:rsidRPr="00970B85">
        <w:rPr>
          <w:sz w:val="20"/>
          <w:szCs w:val="20"/>
          <w:lang w:val="en-GB"/>
        </w:rPr>
        <w:t xml:space="preserve">popular. Whereas in 2012 they were used only by 1% of inhabitants, in 2017 the number increased nearly to a fifth (19%) of inhabitants over the age of 16.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 dominating group in the use of tablets are </w:t>
      </w:r>
      <w:r w:rsidRPr="00E207A9">
        <w:rPr>
          <w:b/>
          <w:sz w:val="20"/>
          <w:szCs w:val="20"/>
          <w:lang w:val="en-GB"/>
        </w:rPr>
        <w:t>students</w:t>
      </w:r>
      <w:r w:rsidRPr="00970B85">
        <w:rPr>
          <w:sz w:val="20"/>
          <w:szCs w:val="20"/>
          <w:lang w:val="en-GB"/>
        </w:rPr>
        <w:t xml:space="preserve"> – 5 years ago tablets were used by 2% of students, these days (Q2 of 2017) the number has increased to 40%. At the same time, tablets are frequently used by persons of parental age</w:t>
      </w:r>
      <w:r w:rsidRPr="000C021F">
        <w:rPr>
          <w:sz w:val="20"/>
          <w:szCs w:val="20"/>
          <w:lang w:val="en-GB"/>
        </w:rPr>
        <w:t>,</w:t>
      </w:r>
      <w:r w:rsidRPr="00970B85">
        <w:rPr>
          <w:sz w:val="20"/>
          <w:szCs w:val="20"/>
          <w:lang w:val="en-GB"/>
        </w:rPr>
        <w:t xml:space="preserve"> who often purchase them, besides other things, for their children. Tablets are used by 29% of persons belonging to the age group 35–44. </w:t>
      </w:r>
      <w:r w:rsidRPr="000C021F">
        <w:rPr>
          <w:sz w:val="20"/>
          <w:szCs w:val="20"/>
          <w:lang w:val="en-GB"/>
        </w:rPr>
        <w:t>However,</w:t>
      </w:r>
      <w:r w:rsidRPr="00970B85">
        <w:rPr>
          <w:sz w:val="20"/>
          <w:szCs w:val="20"/>
          <w:lang w:val="en-GB"/>
        </w:rPr>
        <w:t xml:space="preserve"> they are less frequently used by old age pensioners – not even by 4%</w:t>
      </w:r>
      <w:r>
        <w:rPr>
          <w:sz w:val="20"/>
          <w:szCs w:val="20"/>
          <w:lang w:val="en-GB"/>
        </w:rPr>
        <w:t xml:space="preserve"> (situation in 2017)</w:t>
      </w:r>
      <w:r w:rsidRPr="00970B85">
        <w:rPr>
          <w:sz w:val="20"/>
          <w:szCs w:val="20"/>
          <w:lang w:val="en-GB"/>
        </w:rPr>
        <w:t xml:space="preserve">.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Within the scope of </w:t>
      </w:r>
      <w:r w:rsidRPr="000C021F">
        <w:rPr>
          <w:sz w:val="20"/>
          <w:szCs w:val="20"/>
          <w:lang w:val="en-GB"/>
        </w:rPr>
        <w:t xml:space="preserve">the yearly CZSO survey, </w:t>
      </w:r>
      <w:r w:rsidRPr="00970B85">
        <w:rPr>
          <w:sz w:val="20"/>
          <w:szCs w:val="20"/>
          <w:lang w:val="en-GB"/>
        </w:rPr>
        <w:t xml:space="preserve">concerning the usage of information technologies in households and among individuals, </w:t>
      </w:r>
      <w:r w:rsidRPr="00970B85">
        <w:rPr>
          <w:b/>
          <w:sz w:val="20"/>
          <w:szCs w:val="20"/>
          <w:lang w:val="en-GB"/>
        </w:rPr>
        <w:t xml:space="preserve">computer skills </w:t>
      </w:r>
      <w:r w:rsidRPr="00970B85">
        <w:rPr>
          <w:sz w:val="20"/>
          <w:szCs w:val="20"/>
          <w:lang w:val="en-GB"/>
        </w:rPr>
        <w:t>are also monitored. The results arising</w:t>
      </w:r>
      <w:r w:rsidRPr="000C021F">
        <w:rPr>
          <w:sz w:val="20"/>
          <w:szCs w:val="20"/>
          <w:lang w:val="en-GB"/>
        </w:rPr>
        <w:t xml:space="preserve"> from the questions,</w:t>
      </w:r>
      <w:r w:rsidRPr="00970B85">
        <w:rPr>
          <w:sz w:val="20"/>
          <w:szCs w:val="20"/>
          <w:lang w:val="en-GB"/>
        </w:rPr>
        <w:t xml:space="preserve"> concerning the skills of individuals</w:t>
      </w:r>
      <w:r w:rsidRPr="005860C6">
        <w:rPr>
          <w:sz w:val="20"/>
          <w:szCs w:val="20"/>
          <w:lang w:val="en-GB"/>
        </w:rPr>
        <w:t>,</w:t>
      </w:r>
      <w:r w:rsidRPr="00970B85">
        <w:rPr>
          <w:sz w:val="20"/>
          <w:szCs w:val="20"/>
          <w:lang w:val="en-GB"/>
        </w:rPr>
        <w:t xml:space="preserve"> are provided in </w:t>
      </w:r>
      <w:r w:rsidRPr="00970B85">
        <w:rPr>
          <w:i/>
          <w:sz w:val="20"/>
          <w:szCs w:val="20"/>
          <w:lang w:val="en-GB"/>
        </w:rPr>
        <w:t>Chapter F “ICT in Education and Digital Skills”</w:t>
      </w:r>
      <w:r w:rsidRPr="00970B85">
        <w:rPr>
          <w:sz w:val="20"/>
          <w:szCs w:val="20"/>
          <w:lang w:val="en-GB"/>
        </w:rPr>
        <w:t>.</w:t>
      </w:r>
    </w:p>
    <w:p w:rsidR="008C4CA2" w:rsidRPr="00970B85" w:rsidRDefault="008C4CA2" w:rsidP="00983696">
      <w:pPr>
        <w:pStyle w:val="Nadpis2"/>
        <w:pageBreakBefore/>
        <w:spacing w:before="0"/>
      </w:pPr>
      <w:bookmarkStart w:id="67" w:name="_Toc533697502"/>
      <w:bookmarkStart w:id="68" w:name="_Toc534712001"/>
      <w:r w:rsidRPr="00970B85">
        <w:lastRenderedPageBreak/>
        <w:t>C.2 Individuals and the internet</w:t>
      </w:r>
      <w:bookmarkEnd w:id="67"/>
      <w:bookmarkEnd w:id="68"/>
    </w:p>
    <w:p w:rsidR="008C4CA2" w:rsidRDefault="008C4CA2" w:rsidP="008C4CA2">
      <w:pPr>
        <w:spacing w:after="80" w:line="264" w:lineRule="auto"/>
        <w:jc w:val="both"/>
        <w:rPr>
          <w:i/>
        </w:rPr>
      </w:pPr>
      <w:r w:rsidRPr="00970B85">
        <w:rPr>
          <w:i/>
        </w:rPr>
        <w:t>Generally, the development of the digital economy and society fundamentally depends on the use of digital technologie</w:t>
      </w:r>
      <w:r w:rsidRPr="00866C17">
        <w:rPr>
          <w:i/>
        </w:rPr>
        <w:t>s</w:t>
      </w:r>
      <w:r>
        <w:rPr>
          <w:i/>
        </w:rPr>
        <w:t xml:space="preserve"> </w:t>
      </w:r>
      <w:r w:rsidRPr="00970B85">
        <w:rPr>
          <w:i/>
        </w:rPr>
        <w:t>and related applications by individuals</w:t>
      </w:r>
      <w:r>
        <w:rPr>
          <w:i/>
        </w:rPr>
        <w:t xml:space="preserve"> </w:t>
      </w:r>
      <w:r w:rsidR="00D62FA6">
        <w:rPr>
          <w:i/>
        </w:rPr>
        <w:t>–</w:t>
      </w:r>
      <w:r>
        <w:rPr>
          <w:i/>
        </w:rPr>
        <w:t xml:space="preserve"> including usage of the internet, </w:t>
      </w:r>
      <w:r w:rsidRPr="00970B85">
        <w:rPr>
          <w:i/>
        </w:rPr>
        <w:t>which is one of the greatest phenomena of today’s world</w:t>
      </w:r>
      <w:r>
        <w:rPr>
          <w:i/>
        </w:rPr>
        <w:t>. According to ITU m</w:t>
      </w:r>
      <w:r w:rsidRPr="00B534A3">
        <w:rPr>
          <w:i/>
        </w:rPr>
        <w:t>ore than half of the world’s population is now online</w:t>
      </w:r>
      <w:r>
        <w:rPr>
          <w:i/>
        </w:rPr>
        <w:t>.</w:t>
      </w:r>
    </w:p>
    <w:p w:rsidR="008C4CA2" w:rsidRPr="002C5CA4" w:rsidRDefault="008C4CA2" w:rsidP="008C4CA2">
      <w:pPr>
        <w:pStyle w:val="Nadpis3"/>
      </w:pPr>
      <w:bookmarkStart w:id="69" w:name="_Toc533697503"/>
      <w:bookmarkStart w:id="70" w:name="_Toc534712002"/>
      <w:r w:rsidRPr="00970B85">
        <w:t xml:space="preserve">Internet users – </w:t>
      </w:r>
      <w:r>
        <w:t>M</w:t>
      </w:r>
      <w:r w:rsidRPr="002C5CA4">
        <w:t>ain figures</w:t>
      </w:r>
      <w:bookmarkEnd w:id="69"/>
      <w:bookmarkEnd w:id="70"/>
    </w:p>
    <w:p w:rsidR="008C4CA2" w:rsidRPr="00230E53" w:rsidRDefault="008C4CA2" w:rsidP="008C4CA2">
      <w:pPr>
        <w:pStyle w:val="Zkladntext"/>
        <w:spacing w:before="0" w:after="80" w:line="264" w:lineRule="auto"/>
        <w:rPr>
          <w:i/>
          <w:sz w:val="20"/>
          <w:lang w:val="en-GB"/>
        </w:rPr>
      </w:pPr>
      <w:r w:rsidRPr="00230E53">
        <w:rPr>
          <w:i/>
          <w:sz w:val="20"/>
          <w:lang w:val="en-GB"/>
        </w:rPr>
        <w:t>The internet and connected devices have become a crucial part of most individuals’ everyday life in</w:t>
      </w:r>
      <w:r>
        <w:rPr>
          <w:i/>
          <w:sz w:val="20"/>
          <w:lang w:val="en-GB"/>
        </w:rPr>
        <w:t xml:space="preserve"> the Czech Republic</w:t>
      </w:r>
      <w:r w:rsidRPr="00230E53">
        <w:rPr>
          <w:i/>
          <w:sz w:val="20"/>
          <w:lang w:val="en-GB"/>
        </w:rPr>
        <w:t xml:space="preserve">. Nevertheless, there can be considerable differences in </w:t>
      </w:r>
      <w:r w:rsidR="00D62FA6">
        <w:rPr>
          <w:i/>
          <w:sz w:val="20"/>
          <w:lang w:val="en-GB"/>
        </w:rPr>
        <w:t>i</w:t>
      </w:r>
      <w:r w:rsidRPr="00230E53">
        <w:rPr>
          <w:i/>
          <w:sz w:val="20"/>
          <w:lang w:val="en-GB"/>
        </w:rPr>
        <w:t>nternet uptake between different groups in society, linked primarily to age and education, often intertwined with income levels.</w:t>
      </w:r>
    </w:p>
    <w:p w:rsidR="008C4CA2" w:rsidRDefault="008C4CA2" w:rsidP="008C4CA2">
      <w:pPr>
        <w:pStyle w:val="Zkladntext"/>
        <w:spacing w:before="0" w:after="80" w:line="264" w:lineRule="auto"/>
        <w:rPr>
          <w:i/>
          <w:sz w:val="20"/>
          <w:lang w:val="en-GB"/>
        </w:rPr>
      </w:pPr>
      <w:r w:rsidRPr="00970B85">
        <w:rPr>
          <w:i/>
          <w:sz w:val="20"/>
          <w:lang w:val="en-GB"/>
        </w:rPr>
        <w:t xml:space="preserve">ITU estimates that </w:t>
      </w:r>
      <w:r>
        <w:rPr>
          <w:i/>
          <w:sz w:val="20"/>
          <w:lang w:val="en-GB"/>
        </w:rPr>
        <w:t>nearly 4 (</w:t>
      </w:r>
      <w:r w:rsidRPr="00970B85">
        <w:rPr>
          <w:i/>
          <w:sz w:val="20"/>
          <w:lang w:val="en-GB"/>
        </w:rPr>
        <w:t>3.</w:t>
      </w:r>
      <w:r>
        <w:rPr>
          <w:i/>
          <w:sz w:val="20"/>
          <w:lang w:val="en-GB"/>
        </w:rPr>
        <w:t>9)</w:t>
      </w:r>
      <w:r w:rsidRPr="00970B85">
        <w:rPr>
          <w:i/>
          <w:sz w:val="20"/>
          <w:lang w:val="en-GB"/>
        </w:rPr>
        <w:t xml:space="preserve"> billion people – </w:t>
      </w:r>
      <w:r>
        <w:rPr>
          <w:i/>
          <w:sz w:val="20"/>
          <w:lang w:val="en-GB"/>
        </w:rPr>
        <w:t>for the first time more than half (</w:t>
      </w:r>
      <w:r w:rsidRPr="00970B85">
        <w:rPr>
          <w:i/>
          <w:sz w:val="20"/>
          <w:lang w:val="en-GB"/>
        </w:rPr>
        <w:t>5</w:t>
      </w:r>
      <w:r>
        <w:rPr>
          <w:i/>
          <w:sz w:val="20"/>
          <w:lang w:val="en-GB"/>
        </w:rPr>
        <w:t>1</w:t>
      </w:r>
      <w:r w:rsidRPr="00970B85">
        <w:rPr>
          <w:i/>
          <w:sz w:val="20"/>
          <w:lang w:val="en-GB"/>
        </w:rPr>
        <w:t>%</w:t>
      </w:r>
      <w:r>
        <w:rPr>
          <w:i/>
          <w:sz w:val="20"/>
          <w:lang w:val="en-GB"/>
        </w:rPr>
        <w:t>)</w:t>
      </w:r>
      <w:r w:rsidRPr="00970B85">
        <w:rPr>
          <w:i/>
          <w:sz w:val="20"/>
          <w:lang w:val="en-GB"/>
        </w:rPr>
        <w:t xml:space="preserve"> of the world’s population –</w:t>
      </w:r>
      <w:r>
        <w:rPr>
          <w:i/>
          <w:sz w:val="20"/>
          <w:lang w:val="en-GB"/>
        </w:rPr>
        <w:t xml:space="preserve"> </w:t>
      </w:r>
      <w:r w:rsidRPr="000C021F">
        <w:rPr>
          <w:i/>
          <w:sz w:val="20"/>
          <w:lang w:val="en-GB"/>
        </w:rPr>
        <w:t>were</w:t>
      </w:r>
      <w:r w:rsidRPr="00970B85">
        <w:rPr>
          <w:i/>
          <w:sz w:val="20"/>
          <w:lang w:val="en-GB"/>
        </w:rPr>
        <w:t xml:space="preserve"> using the internet in </w:t>
      </w:r>
      <w:r w:rsidRPr="00866C17">
        <w:rPr>
          <w:i/>
          <w:sz w:val="20"/>
          <w:lang w:val="en-GB"/>
        </w:rPr>
        <w:t>201</w:t>
      </w:r>
      <w:r>
        <w:rPr>
          <w:i/>
          <w:sz w:val="20"/>
          <w:lang w:val="en-GB"/>
        </w:rPr>
        <w:t>8</w:t>
      </w:r>
      <w:r w:rsidRPr="000C021F">
        <w:rPr>
          <w:i/>
          <w:sz w:val="20"/>
          <w:szCs w:val="20"/>
          <w:lang w:val="en-GB"/>
        </w:rPr>
        <w:t>,</w:t>
      </w:r>
      <w:r w:rsidRPr="000C021F">
        <w:rPr>
          <w:i/>
          <w:sz w:val="20"/>
          <w:lang w:val="en-GB"/>
        </w:rPr>
        <w:t xml:space="preserve"> </w:t>
      </w:r>
      <w:r w:rsidRPr="00970B85">
        <w:rPr>
          <w:i/>
          <w:sz w:val="20"/>
          <w:lang w:val="en-GB"/>
        </w:rPr>
        <w:t xml:space="preserve">compared to 1 billion people (15%) in 2005. Internet access, however, </w:t>
      </w:r>
      <w:r w:rsidRPr="000C021F">
        <w:rPr>
          <w:i/>
          <w:sz w:val="20"/>
          <w:lang w:val="en-GB"/>
        </w:rPr>
        <w:t xml:space="preserve">still remains </w:t>
      </w:r>
      <w:r w:rsidRPr="00970B85">
        <w:rPr>
          <w:i/>
          <w:sz w:val="20"/>
          <w:lang w:val="en-GB"/>
        </w:rPr>
        <w:t>limited in the developing world, with only 4</w:t>
      </w:r>
      <w:r>
        <w:rPr>
          <w:i/>
          <w:sz w:val="20"/>
          <w:lang w:val="en-GB"/>
        </w:rPr>
        <w:t>5</w:t>
      </w:r>
      <w:r w:rsidRPr="00970B85">
        <w:rPr>
          <w:i/>
          <w:sz w:val="20"/>
          <w:lang w:val="en-GB"/>
        </w:rPr>
        <w:t>% of the population online at the end of 201</w:t>
      </w:r>
      <w:r>
        <w:rPr>
          <w:i/>
          <w:sz w:val="20"/>
          <w:lang w:val="en-GB"/>
        </w:rPr>
        <w:t>8</w:t>
      </w:r>
      <w:r w:rsidRPr="00970B85">
        <w:rPr>
          <w:i/>
          <w:sz w:val="20"/>
          <w:lang w:val="en-GB"/>
        </w:rPr>
        <w:t xml:space="preserve">, compared with 81% in the developed world. </w:t>
      </w:r>
    </w:p>
    <w:p w:rsidR="008C4CA2" w:rsidRPr="002C5CA4" w:rsidRDefault="008C4CA2" w:rsidP="008C4CA2">
      <w:pPr>
        <w:pStyle w:val="Zkladntext"/>
        <w:numPr>
          <w:ilvl w:val="0"/>
          <w:numId w:val="18"/>
        </w:numPr>
        <w:spacing w:before="0" w:after="80" w:line="264" w:lineRule="auto"/>
        <w:ind w:left="284" w:hanging="284"/>
        <w:rPr>
          <w:sz w:val="20"/>
          <w:szCs w:val="20"/>
          <w:lang w:val="en-GB"/>
        </w:rPr>
      </w:pPr>
      <w:r w:rsidRPr="002C5CA4">
        <w:rPr>
          <w:sz w:val="20"/>
          <w:szCs w:val="20"/>
          <w:lang w:val="en-GB"/>
        </w:rPr>
        <w:t>According to the latest results from the year 2017, the internet in the Czech Republic</w:t>
      </w:r>
      <w:r w:rsidRPr="002C5CA4">
        <w:rPr>
          <w:color w:val="FF0000"/>
          <w:sz w:val="20"/>
          <w:szCs w:val="20"/>
          <w:lang w:val="en-GB"/>
        </w:rPr>
        <w:t xml:space="preserve"> </w:t>
      </w:r>
      <w:r w:rsidRPr="002C5CA4">
        <w:rPr>
          <w:sz w:val="20"/>
          <w:szCs w:val="20"/>
          <w:lang w:val="en-GB"/>
        </w:rPr>
        <w:t>has</w:t>
      </w:r>
      <w:r w:rsidRPr="002C5CA4">
        <w:rPr>
          <w:color w:val="FF0000"/>
          <w:sz w:val="20"/>
          <w:szCs w:val="20"/>
          <w:lang w:val="en-GB"/>
        </w:rPr>
        <w:t xml:space="preserve"> </w:t>
      </w:r>
      <w:r w:rsidRPr="002C5CA4">
        <w:rPr>
          <w:sz w:val="20"/>
          <w:szCs w:val="20"/>
          <w:lang w:val="en-GB"/>
        </w:rPr>
        <w:t xml:space="preserve">been used </w:t>
      </w:r>
      <w:r w:rsidRPr="002C5CA4">
        <w:rPr>
          <w:b/>
          <w:sz w:val="20"/>
          <w:szCs w:val="20"/>
          <w:lang w:val="en-GB"/>
        </w:rPr>
        <w:t xml:space="preserve">at least once per lifetime </w:t>
      </w:r>
      <w:r w:rsidRPr="002C5CA4">
        <w:rPr>
          <w:sz w:val="20"/>
          <w:szCs w:val="20"/>
          <w:lang w:val="en-GB"/>
        </w:rPr>
        <w:t xml:space="preserve">by 83% of persons over the age of 16 compare to 50% ten years ago. </w:t>
      </w:r>
    </w:p>
    <w:p w:rsidR="008C4CA2" w:rsidRPr="002C5CA4" w:rsidRDefault="008C4CA2" w:rsidP="008C4CA2">
      <w:pPr>
        <w:pStyle w:val="Zkladntext"/>
        <w:numPr>
          <w:ilvl w:val="0"/>
          <w:numId w:val="18"/>
        </w:numPr>
        <w:spacing w:before="0" w:after="80" w:line="264" w:lineRule="auto"/>
        <w:ind w:left="284" w:hanging="284"/>
        <w:rPr>
          <w:sz w:val="20"/>
          <w:szCs w:val="20"/>
          <w:lang w:val="en-GB"/>
        </w:rPr>
      </w:pPr>
      <w:r w:rsidRPr="002C5CA4">
        <w:rPr>
          <w:sz w:val="20"/>
          <w:szCs w:val="20"/>
          <w:lang w:val="en-GB"/>
        </w:rPr>
        <w:t xml:space="preserve">Nearly seven (6.9) million of persons over the age of 16 have used the internet </w:t>
      </w:r>
      <w:r w:rsidRPr="002C5CA4">
        <w:rPr>
          <w:b/>
          <w:sz w:val="20"/>
          <w:szCs w:val="20"/>
          <w:lang w:val="en-GB"/>
        </w:rPr>
        <w:t>at least once in the last 3</w:t>
      </w:r>
      <w:r>
        <w:rPr>
          <w:b/>
          <w:sz w:val="20"/>
          <w:szCs w:val="20"/>
          <w:lang w:val="en-GB"/>
        </w:rPr>
        <w:t> </w:t>
      </w:r>
      <w:r w:rsidRPr="002C5CA4">
        <w:rPr>
          <w:b/>
          <w:sz w:val="20"/>
          <w:szCs w:val="20"/>
          <w:lang w:val="en-GB"/>
        </w:rPr>
        <w:t>months</w:t>
      </w:r>
      <w:r w:rsidRPr="002C5CA4">
        <w:rPr>
          <w:sz w:val="20"/>
          <w:szCs w:val="20"/>
          <w:lang w:val="en-GB"/>
        </w:rPr>
        <w:t xml:space="preserve"> in 2017. It means that nearly eight out of ten (79%) persons in the Czech Republic may be classified as so-called </w:t>
      </w:r>
      <w:r w:rsidRPr="002C5CA4">
        <w:rPr>
          <w:b/>
          <w:sz w:val="20"/>
          <w:szCs w:val="20"/>
          <w:lang w:val="en-GB"/>
        </w:rPr>
        <w:t>internet users</w:t>
      </w:r>
      <w:r w:rsidRPr="002C5CA4">
        <w:rPr>
          <w:rStyle w:val="Znakapoznpodarou"/>
          <w:b/>
          <w:sz w:val="20"/>
          <w:szCs w:val="20"/>
          <w:lang w:val="en-GB"/>
        </w:rPr>
        <w:footnoteReference w:id="29"/>
      </w:r>
      <w:r w:rsidRPr="002C5CA4">
        <w:rPr>
          <w:b/>
          <w:sz w:val="20"/>
          <w:szCs w:val="20"/>
          <w:lang w:val="en-GB"/>
        </w:rPr>
        <w:t xml:space="preserve">. </w:t>
      </w:r>
      <w:r w:rsidRPr="002C5CA4">
        <w:rPr>
          <w:sz w:val="20"/>
          <w:szCs w:val="20"/>
          <w:lang w:val="en-GB"/>
        </w:rPr>
        <w:t>This is a</w:t>
      </w:r>
      <w:r w:rsidRPr="002C5CA4">
        <w:rPr>
          <w:b/>
          <w:sz w:val="20"/>
          <w:szCs w:val="20"/>
          <w:lang w:val="en-GB"/>
        </w:rPr>
        <w:t xml:space="preserve"> </w:t>
      </w:r>
      <w:r w:rsidRPr="002C5CA4">
        <w:rPr>
          <w:sz w:val="20"/>
          <w:szCs w:val="20"/>
          <w:lang w:val="en-GB"/>
        </w:rPr>
        <w:t xml:space="preserve">basic indicator used for international comparison in this area. Since 2005, when the internet was used nearly by a third of the population, the number of Czech internet users increased 2,5 times, in absolute figures by 4 million persons. </w:t>
      </w:r>
    </w:p>
    <w:p w:rsidR="008C4CA2" w:rsidRPr="00970B85" w:rsidRDefault="008C4CA2" w:rsidP="008C4CA2">
      <w:pPr>
        <w:pStyle w:val="Zkladntext"/>
        <w:spacing w:before="120" w:after="120" w:line="288" w:lineRule="auto"/>
        <w:rPr>
          <w:lang w:val="en-GB"/>
        </w:rPr>
      </w:pPr>
      <w:r w:rsidRPr="00970B85">
        <w:rPr>
          <w:noProof/>
        </w:rPr>
        <w:drawing>
          <wp:inline distT="0" distB="0" distL="0" distR="0" wp14:anchorId="075E0CD6" wp14:editId="3E1F2F91">
            <wp:extent cx="3060000" cy="2700000"/>
            <wp:effectExtent l="0" t="0" r="7620" b="5715"/>
            <wp:docPr id="110" name="Graf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970B85">
        <w:rPr>
          <w:noProof/>
        </w:rPr>
        <w:drawing>
          <wp:inline distT="0" distB="0" distL="0" distR="0" wp14:anchorId="4D70AA40" wp14:editId="76402FDD">
            <wp:extent cx="3024000" cy="2700000"/>
            <wp:effectExtent l="0" t="0" r="5080" b="5715"/>
            <wp:docPr id="111" name="Graf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Pr>
          <w:sz w:val="20"/>
          <w:szCs w:val="20"/>
          <w:lang w:val="en-GB"/>
        </w:rPr>
        <w:t>T</w:t>
      </w:r>
      <w:r w:rsidRPr="004E5822">
        <w:rPr>
          <w:sz w:val="20"/>
          <w:szCs w:val="20"/>
          <w:lang w:val="en-GB"/>
        </w:rPr>
        <w:t xml:space="preserve">he increase in total numbers and shares of internet users, evident from aggregated data, certainly covers a different way of development </w:t>
      </w:r>
      <w:r w:rsidRPr="004E5822">
        <w:rPr>
          <w:b/>
          <w:sz w:val="20"/>
          <w:szCs w:val="20"/>
          <w:lang w:val="en-GB"/>
        </w:rPr>
        <w:t>in individual</w:t>
      </w:r>
      <w:r w:rsidRPr="004E5822">
        <w:rPr>
          <w:sz w:val="20"/>
          <w:szCs w:val="20"/>
          <w:lang w:val="en-GB"/>
        </w:rPr>
        <w:t xml:space="preserve"> </w:t>
      </w:r>
      <w:r w:rsidRPr="004E5822">
        <w:rPr>
          <w:b/>
          <w:sz w:val="20"/>
          <w:szCs w:val="20"/>
          <w:lang w:val="en-GB"/>
        </w:rPr>
        <w:t>socio-demographic groups</w:t>
      </w:r>
      <w:r w:rsidRPr="004E5822">
        <w:rPr>
          <w:sz w:val="20"/>
          <w:szCs w:val="20"/>
          <w:lang w:val="en-GB"/>
        </w:rPr>
        <w:t xml:space="preserve">. Nevertheless, in all the monitored years we can observe certain regularities; the internet is used more frequently by the younger generation (recently even the middle generation), more frequently used by persons with a higher level of education, and more by men than women (especially concerning the older generation). </w:t>
      </w:r>
    </w:p>
    <w:p w:rsidR="008C4CA2" w:rsidRPr="00391399" w:rsidRDefault="008C4CA2" w:rsidP="008C4CA2">
      <w:pPr>
        <w:pStyle w:val="Zkladntext"/>
        <w:numPr>
          <w:ilvl w:val="0"/>
          <w:numId w:val="15"/>
        </w:numPr>
        <w:tabs>
          <w:tab w:val="clear" w:pos="360"/>
          <w:tab w:val="num" w:pos="284"/>
        </w:tabs>
        <w:spacing w:before="0" w:after="80" w:line="264" w:lineRule="auto"/>
        <w:ind w:left="284" w:hanging="284"/>
        <w:rPr>
          <w:sz w:val="18"/>
          <w:szCs w:val="18"/>
          <w:lang w:val="en-GB"/>
        </w:rPr>
      </w:pPr>
      <w:r w:rsidRPr="00970B85">
        <w:rPr>
          <w:sz w:val="20"/>
          <w:szCs w:val="20"/>
          <w:lang w:val="en-GB"/>
        </w:rPr>
        <w:t xml:space="preserve">In recent years, the popularity of </w:t>
      </w:r>
      <w:r w:rsidRPr="00533BC4">
        <w:rPr>
          <w:sz w:val="20"/>
          <w:szCs w:val="20"/>
          <w:lang w:val="en-GB"/>
        </w:rPr>
        <w:t>the</w:t>
      </w:r>
      <w:r w:rsidRPr="006C315F">
        <w:rPr>
          <w:color w:val="FF0000"/>
          <w:sz w:val="20"/>
          <w:szCs w:val="20"/>
          <w:lang w:val="en-GB"/>
        </w:rPr>
        <w:t xml:space="preserve"> </w:t>
      </w:r>
      <w:r w:rsidRPr="00970B85">
        <w:rPr>
          <w:sz w:val="20"/>
          <w:szCs w:val="20"/>
          <w:lang w:val="en-GB"/>
        </w:rPr>
        <w:t xml:space="preserve">internet has also been increasing </w:t>
      </w:r>
      <w:r>
        <w:rPr>
          <w:sz w:val="20"/>
          <w:szCs w:val="20"/>
          <w:lang w:val="en-GB"/>
        </w:rPr>
        <w:t xml:space="preserve">mainly </w:t>
      </w:r>
      <w:r w:rsidRPr="00533BC4">
        <w:rPr>
          <w:sz w:val="20"/>
          <w:szCs w:val="20"/>
          <w:lang w:val="en-GB"/>
        </w:rPr>
        <w:t>within</w:t>
      </w:r>
      <w:r w:rsidRPr="00970B85">
        <w:rPr>
          <w:sz w:val="20"/>
          <w:szCs w:val="20"/>
          <w:lang w:val="en-GB"/>
        </w:rPr>
        <w:t xml:space="preserve"> the </w:t>
      </w:r>
      <w:r w:rsidRPr="00970B85">
        <w:rPr>
          <w:b/>
          <w:sz w:val="20"/>
          <w:szCs w:val="20"/>
          <w:lang w:val="en-GB"/>
        </w:rPr>
        <w:t>older generation</w:t>
      </w:r>
      <w:r w:rsidRPr="00533BC4">
        <w:rPr>
          <w:sz w:val="20"/>
          <w:szCs w:val="20"/>
          <w:lang w:val="en-GB"/>
        </w:rPr>
        <w:t>.</w:t>
      </w:r>
      <w:r w:rsidRPr="00970B85">
        <w:rPr>
          <w:sz w:val="20"/>
          <w:szCs w:val="20"/>
          <w:lang w:val="en-GB"/>
        </w:rPr>
        <w:t xml:space="preserve"> For instance, the percentage of pensioners over the age of 65 using the internet has increased from 4% </w:t>
      </w:r>
      <w:r>
        <w:rPr>
          <w:sz w:val="20"/>
          <w:szCs w:val="20"/>
          <w:lang w:val="en-GB"/>
        </w:rPr>
        <w:t xml:space="preserve">in 2007 </w:t>
      </w:r>
      <w:r w:rsidRPr="00970B85">
        <w:rPr>
          <w:sz w:val="20"/>
          <w:szCs w:val="20"/>
          <w:lang w:val="en-GB"/>
        </w:rPr>
        <w:t>to one third</w:t>
      </w:r>
      <w:r>
        <w:rPr>
          <w:sz w:val="20"/>
          <w:szCs w:val="20"/>
          <w:lang w:val="en-GB"/>
        </w:rPr>
        <w:t xml:space="preserve"> in </w:t>
      </w:r>
      <w:r w:rsidRPr="00970B85">
        <w:rPr>
          <w:sz w:val="20"/>
          <w:szCs w:val="20"/>
          <w:lang w:val="en-GB"/>
        </w:rPr>
        <w:t>2017</w:t>
      </w:r>
      <w:r>
        <w:rPr>
          <w:sz w:val="20"/>
          <w:szCs w:val="20"/>
          <w:lang w:val="en-GB"/>
        </w:rPr>
        <w:t xml:space="preserve">. </w:t>
      </w:r>
    </w:p>
    <w:p w:rsidR="008C4CA2" w:rsidRPr="00E068F9" w:rsidRDefault="008C4CA2" w:rsidP="008C4CA2">
      <w:pPr>
        <w:pStyle w:val="Zkladntext"/>
        <w:numPr>
          <w:ilvl w:val="0"/>
          <w:numId w:val="15"/>
        </w:numPr>
        <w:tabs>
          <w:tab w:val="clear" w:pos="360"/>
          <w:tab w:val="num" w:pos="284"/>
        </w:tabs>
        <w:spacing w:before="0" w:after="80" w:line="264" w:lineRule="auto"/>
        <w:ind w:left="284" w:hanging="284"/>
        <w:rPr>
          <w:sz w:val="18"/>
          <w:szCs w:val="18"/>
          <w:lang w:val="en-GB"/>
        </w:rPr>
      </w:pPr>
      <w:r w:rsidRPr="00970B85">
        <w:rPr>
          <w:sz w:val="20"/>
          <w:szCs w:val="20"/>
          <w:lang w:val="en-GB"/>
        </w:rPr>
        <w:lastRenderedPageBreak/>
        <w:t xml:space="preserve">It </w:t>
      </w:r>
      <w:r w:rsidRPr="00021047">
        <w:rPr>
          <w:sz w:val="20"/>
          <w:szCs w:val="20"/>
          <w:lang w:val="en-GB"/>
        </w:rPr>
        <w:t xml:space="preserve">is </w:t>
      </w:r>
      <w:r w:rsidRPr="00970B85">
        <w:rPr>
          <w:sz w:val="20"/>
          <w:szCs w:val="20"/>
          <w:lang w:val="en-GB"/>
        </w:rPr>
        <w:t xml:space="preserve">expected that the number of internet users </w:t>
      </w:r>
      <w:r>
        <w:rPr>
          <w:sz w:val="20"/>
          <w:szCs w:val="20"/>
          <w:lang w:val="en-GB"/>
        </w:rPr>
        <w:t xml:space="preserve">among </w:t>
      </w:r>
      <w:r w:rsidRPr="00970B85">
        <w:rPr>
          <w:sz w:val="20"/>
          <w:szCs w:val="20"/>
          <w:lang w:val="en-GB"/>
        </w:rPr>
        <w:t>pensioners</w:t>
      </w:r>
      <w:r>
        <w:rPr>
          <w:sz w:val="20"/>
          <w:szCs w:val="20"/>
          <w:lang w:val="en-GB"/>
        </w:rPr>
        <w:t xml:space="preserve"> (older generation)</w:t>
      </w:r>
      <w:r w:rsidRPr="00970B85">
        <w:rPr>
          <w:sz w:val="20"/>
          <w:szCs w:val="20"/>
          <w:lang w:val="en-GB"/>
        </w:rPr>
        <w:t xml:space="preserve"> will be increasing significantly</w:t>
      </w:r>
      <w:r>
        <w:rPr>
          <w:sz w:val="20"/>
          <w:szCs w:val="20"/>
          <w:lang w:val="en-GB"/>
        </w:rPr>
        <w:t xml:space="preserve"> also in coming years</w:t>
      </w:r>
      <w:r w:rsidRPr="00970B85">
        <w:rPr>
          <w:sz w:val="20"/>
          <w:szCs w:val="20"/>
          <w:lang w:val="en-GB"/>
        </w:rPr>
        <w:t>. Nowadays, retirement age is reached by people who are accustomed to using the internet automatically within their working life</w:t>
      </w:r>
      <w:r>
        <w:rPr>
          <w:sz w:val="20"/>
          <w:szCs w:val="20"/>
          <w:lang w:val="en-GB"/>
        </w:rPr>
        <w:t>,</w:t>
      </w:r>
      <w:r w:rsidRPr="00970B85">
        <w:rPr>
          <w:sz w:val="20"/>
          <w:szCs w:val="20"/>
          <w:lang w:val="en-GB"/>
        </w:rPr>
        <w:t xml:space="preserve"> as well as private life. </w:t>
      </w:r>
      <w:r>
        <w:rPr>
          <w:sz w:val="20"/>
          <w:szCs w:val="20"/>
          <w:lang w:val="en-GB"/>
        </w:rPr>
        <w:t xml:space="preserve">In 2017, </w:t>
      </w:r>
      <w:r w:rsidRPr="00970B85">
        <w:rPr>
          <w:sz w:val="20"/>
          <w:szCs w:val="20"/>
          <w:lang w:val="en-GB"/>
        </w:rPr>
        <w:t xml:space="preserve">the internet was used by three quarters of persons </w:t>
      </w:r>
      <w:r w:rsidRPr="00E068F9">
        <w:rPr>
          <w:sz w:val="20"/>
          <w:szCs w:val="20"/>
          <w:lang w:val="en-GB"/>
        </w:rPr>
        <w:t xml:space="preserve">in the </w:t>
      </w:r>
      <w:r w:rsidRPr="00391399">
        <w:rPr>
          <w:b/>
          <w:sz w:val="20"/>
          <w:szCs w:val="20"/>
          <w:lang w:val="en-GB"/>
        </w:rPr>
        <w:t>age group 55 to 64 years old</w:t>
      </w:r>
      <w:r w:rsidRPr="00E068F9">
        <w:rPr>
          <w:sz w:val="20"/>
          <w:szCs w:val="20"/>
          <w:lang w:val="en-GB"/>
        </w:rPr>
        <w:t>.</w:t>
      </w:r>
    </w:p>
    <w:p w:rsidR="008C4CA2" w:rsidRPr="00791F8F"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791F8F">
        <w:rPr>
          <w:sz w:val="20"/>
          <w:szCs w:val="20"/>
          <w:lang w:val="en-GB"/>
        </w:rPr>
        <w:t xml:space="preserve">Individuals with higher levels of </w:t>
      </w:r>
      <w:r w:rsidRPr="00791F8F">
        <w:rPr>
          <w:b/>
          <w:sz w:val="20"/>
          <w:szCs w:val="20"/>
          <w:lang w:val="en-GB"/>
        </w:rPr>
        <w:t>educational attainment</w:t>
      </w:r>
      <w:r w:rsidR="00D62FA6">
        <w:rPr>
          <w:sz w:val="20"/>
          <w:szCs w:val="20"/>
          <w:lang w:val="en-GB"/>
        </w:rPr>
        <w:t xml:space="preserve"> are more likely to use the i</w:t>
      </w:r>
      <w:r w:rsidRPr="00791F8F">
        <w:rPr>
          <w:sz w:val="20"/>
          <w:szCs w:val="20"/>
          <w:lang w:val="en-GB"/>
        </w:rPr>
        <w:t>nternet. This may partly be because they are mor</w:t>
      </w:r>
      <w:r w:rsidR="00D62FA6">
        <w:rPr>
          <w:sz w:val="20"/>
          <w:szCs w:val="20"/>
          <w:lang w:val="en-GB"/>
        </w:rPr>
        <w:t>e likely to have experience of i</w:t>
      </w:r>
      <w:r w:rsidRPr="00791F8F">
        <w:rPr>
          <w:sz w:val="20"/>
          <w:szCs w:val="20"/>
          <w:lang w:val="en-GB"/>
        </w:rPr>
        <w:t xml:space="preserve">nternet use through their studies and subsequent careers, but could also be related to being more likely to have sufficient disposable income to afford fixed and mobile connectivity. </w:t>
      </w:r>
      <w:r>
        <w:rPr>
          <w:sz w:val="20"/>
          <w:szCs w:val="20"/>
          <w:lang w:val="en-GB"/>
        </w:rPr>
        <w:t>In 2017, t</w:t>
      </w:r>
      <w:r w:rsidRPr="00791F8F">
        <w:rPr>
          <w:sz w:val="20"/>
          <w:szCs w:val="20"/>
          <w:lang w:val="en-GB"/>
        </w:rPr>
        <w:t xml:space="preserve">he proportion of individuals </w:t>
      </w:r>
      <w:r>
        <w:rPr>
          <w:sz w:val="20"/>
          <w:szCs w:val="20"/>
          <w:lang w:val="en-GB"/>
        </w:rPr>
        <w:t xml:space="preserve">aged 25+ </w:t>
      </w:r>
      <w:r w:rsidRPr="00791F8F">
        <w:rPr>
          <w:sz w:val="20"/>
          <w:szCs w:val="20"/>
          <w:lang w:val="en-GB"/>
        </w:rPr>
        <w:t xml:space="preserve">with tertiary education using the </w:t>
      </w:r>
      <w:r>
        <w:rPr>
          <w:sz w:val="20"/>
          <w:szCs w:val="20"/>
          <w:lang w:val="en-GB"/>
        </w:rPr>
        <w:t>i</w:t>
      </w:r>
      <w:r w:rsidRPr="00791F8F">
        <w:rPr>
          <w:sz w:val="20"/>
          <w:szCs w:val="20"/>
          <w:lang w:val="en-GB"/>
        </w:rPr>
        <w:t xml:space="preserve">nternet was </w:t>
      </w:r>
      <w:r>
        <w:rPr>
          <w:sz w:val="20"/>
          <w:szCs w:val="20"/>
          <w:lang w:val="en-GB"/>
        </w:rPr>
        <w:t xml:space="preserve">in the Czech Republic already </w:t>
      </w:r>
      <w:r w:rsidRPr="00791F8F">
        <w:rPr>
          <w:sz w:val="20"/>
          <w:szCs w:val="20"/>
          <w:lang w:val="en-GB"/>
        </w:rPr>
        <w:t>9</w:t>
      </w:r>
      <w:r>
        <w:rPr>
          <w:sz w:val="20"/>
          <w:szCs w:val="20"/>
          <w:lang w:val="en-GB"/>
        </w:rPr>
        <w:t>5</w:t>
      </w:r>
      <w:r w:rsidRPr="00791F8F">
        <w:rPr>
          <w:sz w:val="20"/>
          <w:szCs w:val="20"/>
          <w:lang w:val="en-GB"/>
        </w:rPr>
        <w:t>%</w:t>
      </w:r>
      <w:r>
        <w:rPr>
          <w:sz w:val="20"/>
          <w:szCs w:val="20"/>
          <w:lang w:val="en-GB"/>
        </w:rPr>
        <w:t xml:space="preserve"> compare to 35% for individuals with only basic (primary or lower secondary) level of education.</w:t>
      </w:r>
    </w:p>
    <w:p w:rsidR="008C4CA2" w:rsidRPr="00F1485A" w:rsidRDefault="008C4CA2" w:rsidP="008C4CA2">
      <w:pPr>
        <w:pStyle w:val="Zkladntext"/>
        <w:numPr>
          <w:ilvl w:val="0"/>
          <w:numId w:val="15"/>
        </w:numPr>
        <w:tabs>
          <w:tab w:val="clear" w:pos="360"/>
          <w:tab w:val="num" w:pos="284"/>
        </w:tabs>
        <w:spacing w:before="0" w:after="80" w:line="264" w:lineRule="auto"/>
        <w:ind w:left="284" w:hanging="284"/>
        <w:rPr>
          <w:bCs/>
          <w:sz w:val="20"/>
          <w:szCs w:val="20"/>
          <w:lang w:val="en-US"/>
        </w:rPr>
      </w:pPr>
      <w:r w:rsidRPr="00F1485A">
        <w:rPr>
          <w:bCs/>
          <w:sz w:val="20"/>
          <w:szCs w:val="20"/>
          <w:lang w:val="en-US"/>
        </w:rPr>
        <w:t>In the young</w:t>
      </w:r>
      <w:r>
        <w:rPr>
          <w:bCs/>
          <w:sz w:val="20"/>
          <w:szCs w:val="20"/>
          <w:lang w:val="en-US"/>
        </w:rPr>
        <w:t xml:space="preserve">er and middle generation </w:t>
      </w:r>
      <w:r w:rsidRPr="00F1485A">
        <w:rPr>
          <w:bCs/>
          <w:sz w:val="20"/>
          <w:szCs w:val="20"/>
          <w:lang w:val="en-US"/>
        </w:rPr>
        <w:t>(aged 16</w:t>
      </w:r>
      <w:r w:rsidR="006B3DB5">
        <w:rPr>
          <w:bCs/>
          <w:sz w:val="20"/>
          <w:szCs w:val="20"/>
          <w:lang w:val="en-US"/>
        </w:rPr>
        <w:t>–</w:t>
      </w:r>
      <w:r>
        <w:rPr>
          <w:bCs/>
          <w:sz w:val="20"/>
          <w:szCs w:val="20"/>
          <w:lang w:val="en-US"/>
        </w:rPr>
        <w:t>54</w:t>
      </w:r>
      <w:r w:rsidRPr="00F1485A">
        <w:rPr>
          <w:bCs/>
          <w:sz w:val="20"/>
          <w:szCs w:val="20"/>
          <w:lang w:val="en-US"/>
        </w:rPr>
        <w:t xml:space="preserve"> years), ICT usage in the Czech Republic was in 201</w:t>
      </w:r>
      <w:r>
        <w:rPr>
          <w:bCs/>
          <w:sz w:val="20"/>
          <w:szCs w:val="20"/>
          <w:lang w:val="en-US"/>
        </w:rPr>
        <w:t>7</w:t>
      </w:r>
      <w:r w:rsidRPr="00F1485A">
        <w:rPr>
          <w:bCs/>
          <w:sz w:val="20"/>
          <w:szCs w:val="20"/>
          <w:lang w:val="en-US"/>
        </w:rPr>
        <w:t xml:space="preserve"> more or less comparable </w:t>
      </w:r>
      <w:r w:rsidRPr="00F1485A">
        <w:rPr>
          <w:b/>
          <w:bCs/>
          <w:sz w:val="20"/>
          <w:szCs w:val="20"/>
          <w:lang w:val="en-US"/>
        </w:rPr>
        <w:t>between genders and education levels</w:t>
      </w:r>
      <w:r w:rsidRPr="00F1485A">
        <w:rPr>
          <w:bCs/>
          <w:sz w:val="20"/>
          <w:szCs w:val="20"/>
          <w:lang w:val="en-US"/>
        </w:rPr>
        <w:t xml:space="preserve">, while in the group of </w:t>
      </w:r>
      <w:r>
        <w:rPr>
          <w:bCs/>
          <w:sz w:val="20"/>
          <w:szCs w:val="20"/>
          <w:lang w:val="en-US"/>
        </w:rPr>
        <w:t xml:space="preserve">55 to 74 </w:t>
      </w:r>
      <w:r w:rsidRPr="00F1485A">
        <w:rPr>
          <w:bCs/>
          <w:sz w:val="20"/>
          <w:szCs w:val="20"/>
          <w:lang w:val="en-US"/>
        </w:rPr>
        <w:t>years</w:t>
      </w:r>
      <w:r>
        <w:rPr>
          <w:bCs/>
          <w:sz w:val="20"/>
          <w:szCs w:val="20"/>
          <w:lang w:val="en-US"/>
        </w:rPr>
        <w:t>-old</w:t>
      </w:r>
      <w:r w:rsidRPr="00F1485A">
        <w:rPr>
          <w:bCs/>
          <w:sz w:val="20"/>
          <w:szCs w:val="20"/>
          <w:lang w:val="en-US"/>
        </w:rPr>
        <w:t xml:space="preserve"> there was still a noticeable difference in </w:t>
      </w:r>
      <w:r>
        <w:rPr>
          <w:bCs/>
          <w:sz w:val="20"/>
          <w:szCs w:val="20"/>
          <w:lang w:val="en-US"/>
        </w:rPr>
        <w:t>shares</w:t>
      </w:r>
      <w:r w:rsidRPr="00F1485A">
        <w:rPr>
          <w:bCs/>
          <w:sz w:val="20"/>
          <w:szCs w:val="20"/>
          <w:lang w:val="en-US"/>
        </w:rPr>
        <w:t xml:space="preserve"> between male and female internet users (</w:t>
      </w:r>
      <w:r>
        <w:rPr>
          <w:bCs/>
          <w:sz w:val="20"/>
          <w:szCs w:val="20"/>
          <w:lang w:val="en-US"/>
        </w:rPr>
        <w:t>65</w:t>
      </w:r>
      <w:r w:rsidRPr="00F1485A">
        <w:rPr>
          <w:bCs/>
          <w:sz w:val="20"/>
          <w:szCs w:val="20"/>
          <w:lang w:val="en-US"/>
        </w:rPr>
        <w:t xml:space="preserve">% men in comparison to </w:t>
      </w:r>
      <w:r>
        <w:rPr>
          <w:bCs/>
          <w:sz w:val="20"/>
          <w:szCs w:val="20"/>
          <w:lang w:val="en-US"/>
        </w:rPr>
        <w:t>57</w:t>
      </w:r>
      <w:r w:rsidRPr="00F1485A">
        <w:rPr>
          <w:bCs/>
          <w:sz w:val="20"/>
          <w:szCs w:val="20"/>
          <w:lang w:val="en-US"/>
        </w:rPr>
        <w:t>% women) as well as between high and less educated (</w:t>
      </w:r>
      <w:r>
        <w:rPr>
          <w:bCs/>
          <w:sz w:val="20"/>
          <w:szCs w:val="20"/>
          <w:lang w:val="en-US"/>
        </w:rPr>
        <w:t>9</w:t>
      </w:r>
      <w:r w:rsidRPr="00F1485A">
        <w:rPr>
          <w:bCs/>
          <w:sz w:val="20"/>
          <w:szCs w:val="20"/>
          <w:lang w:val="en-US"/>
        </w:rPr>
        <w:t xml:space="preserve">2% of individuals aged </w:t>
      </w:r>
      <w:r>
        <w:rPr>
          <w:bCs/>
          <w:sz w:val="20"/>
          <w:szCs w:val="20"/>
          <w:lang w:val="en-US"/>
        </w:rPr>
        <w:t>55 to 74</w:t>
      </w:r>
      <w:r w:rsidRPr="00F1485A">
        <w:rPr>
          <w:bCs/>
          <w:sz w:val="20"/>
          <w:szCs w:val="20"/>
          <w:lang w:val="en-US"/>
        </w:rPr>
        <w:t xml:space="preserve"> with university degree in comparison to </w:t>
      </w:r>
      <w:r>
        <w:rPr>
          <w:bCs/>
          <w:sz w:val="20"/>
          <w:szCs w:val="20"/>
          <w:lang w:val="en-US"/>
        </w:rPr>
        <w:t>24</w:t>
      </w:r>
      <w:r w:rsidRPr="00F1485A">
        <w:rPr>
          <w:bCs/>
          <w:sz w:val="20"/>
          <w:szCs w:val="20"/>
          <w:lang w:val="en-US"/>
        </w:rPr>
        <w:t xml:space="preserve">% only with lower secondary education). </w:t>
      </w:r>
      <w:r w:rsidRPr="004E5822">
        <w:rPr>
          <w:sz w:val="20"/>
          <w:szCs w:val="20"/>
          <w:lang w:val="en-GB"/>
        </w:rPr>
        <w:t xml:space="preserve">However, along with the increasing number of persons using the internet over time, these differences have been </w:t>
      </w:r>
      <w:r>
        <w:rPr>
          <w:sz w:val="20"/>
          <w:szCs w:val="20"/>
          <w:lang w:val="en-GB"/>
        </w:rPr>
        <w:t xml:space="preserve">also </w:t>
      </w:r>
      <w:r w:rsidRPr="004E5822">
        <w:rPr>
          <w:sz w:val="20"/>
          <w:szCs w:val="20"/>
          <w:lang w:val="en-GB"/>
        </w:rPr>
        <w:t>gradually decreasing.</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A8122C">
        <w:rPr>
          <w:sz w:val="20"/>
          <w:szCs w:val="20"/>
          <w:lang w:val="en-GB"/>
        </w:rPr>
        <w:t xml:space="preserve">For many </w:t>
      </w:r>
      <w:r w:rsidRPr="00792D1A">
        <w:rPr>
          <w:b/>
          <w:sz w:val="20"/>
          <w:szCs w:val="20"/>
          <w:lang w:val="en-GB"/>
        </w:rPr>
        <w:t>people in the EU</w:t>
      </w:r>
      <w:r w:rsidRPr="00A8122C">
        <w:rPr>
          <w:sz w:val="20"/>
          <w:szCs w:val="20"/>
          <w:lang w:val="en-GB"/>
        </w:rPr>
        <w:t>, using the internet has become a common activity</w:t>
      </w:r>
      <w:r>
        <w:rPr>
          <w:sz w:val="20"/>
          <w:szCs w:val="20"/>
          <w:lang w:val="en-GB"/>
        </w:rPr>
        <w:t xml:space="preserve">. </w:t>
      </w:r>
      <w:r w:rsidRPr="00002EDC">
        <w:rPr>
          <w:sz w:val="20"/>
          <w:szCs w:val="20"/>
          <w:lang w:val="en-GB"/>
        </w:rPr>
        <w:t>On average about 8</w:t>
      </w:r>
      <w:r>
        <w:rPr>
          <w:sz w:val="20"/>
          <w:szCs w:val="20"/>
          <w:lang w:val="en-GB"/>
        </w:rPr>
        <w:t>4</w:t>
      </w:r>
      <w:r w:rsidRPr="00002EDC">
        <w:rPr>
          <w:sz w:val="20"/>
          <w:szCs w:val="20"/>
          <w:lang w:val="en-GB"/>
        </w:rPr>
        <w:t>% of 16</w:t>
      </w:r>
      <w:r w:rsidR="00AD6861">
        <w:rPr>
          <w:sz w:val="20"/>
          <w:szCs w:val="20"/>
          <w:lang w:val="en-GB"/>
        </w:rPr>
        <w:t>–</w:t>
      </w:r>
      <w:r w:rsidRPr="00002EDC">
        <w:rPr>
          <w:sz w:val="20"/>
          <w:szCs w:val="20"/>
          <w:lang w:val="en-GB"/>
        </w:rPr>
        <w:t xml:space="preserve">74 year-olds in </w:t>
      </w:r>
      <w:r>
        <w:rPr>
          <w:sz w:val="20"/>
          <w:szCs w:val="20"/>
          <w:lang w:val="en-GB"/>
        </w:rPr>
        <w:t>EU</w:t>
      </w:r>
      <w:r w:rsidRPr="00002EDC">
        <w:rPr>
          <w:sz w:val="20"/>
          <w:szCs w:val="20"/>
          <w:lang w:val="en-GB"/>
        </w:rPr>
        <w:t xml:space="preserve"> countries were </w:t>
      </w:r>
      <w:r>
        <w:rPr>
          <w:sz w:val="20"/>
          <w:szCs w:val="20"/>
          <w:lang w:val="en-GB"/>
        </w:rPr>
        <w:t>i</w:t>
      </w:r>
      <w:r w:rsidRPr="00002EDC">
        <w:rPr>
          <w:sz w:val="20"/>
          <w:szCs w:val="20"/>
          <w:lang w:val="en-GB"/>
        </w:rPr>
        <w:t xml:space="preserve">nternet users </w:t>
      </w:r>
      <w:r w:rsidR="00AD6861">
        <w:rPr>
          <w:sz w:val="20"/>
          <w:szCs w:val="20"/>
          <w:lang w:val="en-GB"/>
        </w:rPr>
        <w:t>–</w:t>
      </w:r>
      <w:r>
        <w:rPr>
          <w:sz w:val="20"/>
          <w:szCs w:val="20"/>
          <w:lang w:val="en-GB"/>
        </w:rPr>
        <w:t xml:space="preserve"> </w:t>
      </w:r>
      <w:r w:rsidRPr="00A8122C">
        <w:rPr>
          <w:sz w:val="20"/>
          <w:szCs w:val="20"/>
          <w:lang w:val="en-GB"/>
        </w:rPr>
        <w:t>meaning they had been online at least once during the last 3 months prior to the 2017 survey</w:t>
      </w:r>
      <w:r w:rsidRPr="00002EDC">
        <w:rPr>
          <w:sz w:val="20"/>
          <w:szCs w:val="20"/>
          <w:lang w:val="en-GB"/>
        </w:rPr>
        <w:t xml:space="preserve"> </w:t>
      </w:r>
      <w:r w:rsidR="00AD6861">
        <w:rPr>
          <w:sz w:val="20"/>
          <w:szCs w:val="20"/>
          <w:lang w:val="en-GB"/>
        </w:rPr>
        <w:t>–</w:t>
      </w:r>
      <w:r>
        <w:rPr>
          <w:sz w:val="20"/>
          <w:szCs w:val="20"/>
          <w:lang w:val="en-GB"/>
        </w:rPr>
        <w:t xml:space="preserve"> </w:t>
      </w:r>
      <w:r w:rsidRPr="00002EDC">
        <w:rPr>
          <w:sz w:val="20"/>
          <w:szCs w:val="20"/>
          <w:lang w:val="en-GB"/>
        </w:rPr>
        <w:t>compared with less than 60% in 200</w:t>
      </w:r>
      <w:r>
        <w:rPr>
          <w:sz w:val="20"/>
          <w:szCs w:val="20"/>
          <w:lang w:val="en-GB"/>
        </w:rPr>
        <w:t>7.</w:t>
      </w:r>
    </w:p>
    <w:p w:rsidR="008C4CA2" w:rsidRPr="00AC3E24"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AC3E24">
        <w:rPr>
          <w:sz w:val="20"/>
          <w:szCs w:val="20"/>
          <w:lang w:val="en-GB"/>
        </w:rPr>
        <w:t xml:space="preserve">Internet usage varies </w:t>
      </w:r>
      <w:r w:rsidRPr="00AC3E24">
        <w:rPr>
          <w:b/>
          <w:sz w:val="20"/>
          <w:szCs w:val="20"/>
          <w:lang w:val="en-GB"/>
        </w:rPr>
        <w:t>across EU countries and among social groups</w:t>
      </w:r>
      <w:r w:rsidRPr="00AC3E24">
        <w:rPr>
          <w:sz w:val="20"/>
          <w:szCs w:val="20"/>
          <w:lang w:val="en-GB"/>
        </w:rPr>
        <w:t>. In 2017, 90% and more of the adult</w:t>
      </w:r>
      <w:r w:rsidR="00AD6861">
        <w:rPr>
          <w:sz w:val="20"/>
          <w:szCs w:val="20"/>
          <w:lang w:val="en-GB"/>
        </w:rPr>
        <w:t xml:space="preserve"> population were accessing the i</w:t>
      </w:r>
      <w:r w:rsidRPr="00AC3E24">
        <w:rPr>
          <w:sz w:val="20"/>
          <w:szCs w:val="20"/>
          <w:lang w:val="en-GB"/>
        </w:rPr>
        <w:t>nternet in Germany, United Kingdom, Luxembourg, the Netherlands and the Nordic countries, but less than 75% in Portugal, Italy, Greece, Croatia, Romania and Bulgaria.</w:t>
      </w:r>
    </w:p>
    <w:p w:rsidR="008C4CA2" w:rsidRPr="00AC3E24" w:rsidRDefault="008C4CA2" w:rsidP="008C4CA2">
      <w:pPr>
        <w:pStyle w:val="Zkladntext"/>
        <w:numPr>
          <w:ilvl w:val="0"/>
          <w:numId w:val="15"/>
        </w:numPr>
        <w:tabs>
          <w:tab w:val="clear" w:pos="360"/>
          <w:tab w:val="num" w:pos="284"/>
        </w:tabs>
        <w:spacing w:before="0" w:after="80" w:line="264" w:lineRule="auto"/>
        <w:ind w:left="284" w:hanging="284"/>
        <w:rPr>
          <w:sz w:val="20"/>
          <w:szCs w:val="20"/>
          <w:lang w:val="en-US"/>
        </w:rPr>
      </w:pPr>
      <w:r w:rsidRPr="00AC3E24">
        <w:rPr>
          <w:sz w:val="20"/>
          <w:szCs w:val="20"/>
          <w:lang w:val="en-US"/>
        </w:rPr>
        <w:t xml:space="preserve">These differences are wider for </w:t>
      </w:r>
      <w:r w:rsidRPr="00AC3E24">
        <w:rPr>
          <w:b/>
          <w:sz w:val="20"/>
          <w:szCs w:val="20"/>
          <w:lang w:val="en-US"/>
        </w:rPr>
        <w:t>older generations</w:t>
      </w:r>
      <w:r w:rsidRPr="00AC3E24">
        <w:rPr>
          <w:sz w:val="20"/>
          <w:szCs w:val="20"/>
          <w:lang w:val="en-US"/>
        </w:rPr>
        <w:t>.</w:t>
      </w:r>
      <w:r w:rsidRPr="00AC3E24">
        <w:rPr>
          <w:sz w:val="20"/>
          <w:lang w:val="en-US"/>
        </w:rPr>
        <w:t xml:space="preserve"> </w:t>
      </w:r>
      <w:r w:rsidRPr="00AC3E24">
        <w:rPr>
          <w:sz w:val="20"/>
          <w:szCs w:val="20"/>
          <w:lang w:val="en-US"/>
        </w:rPr>
        <w:t>Over 80% of 55</w:t>
      </w:r>
      <w:r w:rsidR="00AD6861">
        <w:rPr>
          <w:sz w:val="20"/>
          <w:szCs w:val="20"/>
          <w:lang w:val="en-US"/>
        </w:rPr>
        <w:t>–</w:t>
      </w:r>
      <w:r w:rsidRPr="00AC3E24">
        <w:rPr>
          <w:sz w:val="20"/>
          <w:szCs w:val="20"/>
          <w:lang w:val="en-US"/>
        </w:rPr>
        <w:t xml:space="preserve">74 year-olds in Denmark, Luxembourg, the Netherlands, Sweden and United Kingdom reported using the </w:t>
      </w:r>
      <w:r w:rsidR="00AD6861">
        <w:rPr>
          <w:sz w:val="20"/>
          <w:szCs w:val="20"/>
          <w:lang w:val="en-US"/>
        </w:rPr>
        <w:t>i</w:t>
      </w:r>
      <w:r w:rsidRPr="00AC3E24">
        <w:rPr>
          <w:sz w:val="20"/>
          <w:szCs w:val="20"/>
          <w:lang w:val="en-US"/>
        </w:rPr>
        <w:t>nternet in 2017 against less than 40%</w:t>
      </w:r>
      <w:r>
        <w:rPr>
          <w:sz w:val="20"/>
          <w:szCs w:val="20"/>
          <w:lang w:val="en-US"/>
        </w:rPr>
        <w:t> </w:t>
      </w:r>
      <w:r w:rsidRPr="00AC3E24">
        <w:rPr>
          <w:sz w:val="20"/>
          <w:szCs w:val="20"/>
          <w:lang w:val="en-US"/>
        </w:rPr>
        <w:t>in Bulgaria, Croatia, Greece and Romania.</w:t>
      </w:r>
      <w:r>
        <w:rPr>
          <w:sz w:val="20"/>
          <w:szCs w:val="20"/>
          <w:lang w:val="en-US"/>
        </w:rPr>
        <w:t xml:space="preserve"> Therefore, t</w:t>
      </w:r>
      <w:r w:rsidR="00AD6861">
        <w:rPr>
          <w:sz w:val="20"/>
          <w:szCs w:val="20"/>
          <w:lang w:val="en-US"/>
        </w:rPr>
        <w:t>he gap between i</w:t>
      </w:r>
      <w:r w:rsidRPr="00AC3E24">
        <w:rPr>
          <w:sz w:val="20"/>
          <w:szCs w:val="20"/>
          <w:lang w:val="en-US"/>
        </w:rPr>
        <w:t>nternet uptake among the elderly and the younger population generally remained high in the lagging countries compared to the leaders</w:t>
      </w:r>
      <w:r>
        <w:rPr>
          <w:sz w:val="20"/>
          <w:szCs w:val="20"/>
          <w:lang w:val="en-US"/>
        </w:rPr>
        <w:t>.</w:t>
      </w:r>
    </w:p>
    <w:p w:rsidR="008C4CA2" w:rsidRPr="00970B85" w:rsidRDefault="008C4CA2" w:rsidP="008C4CA2">
      <w:pPr>
        <w:pStyle w:val="Zkladntext"/>
        <w:spacing w:before="0" w:after="120" w:line="288" w:lineRule="auto"/>
        <w:rPr>
          <w:sz w:val="20"/>
          <w:szCs w:val="20"/>
          <w:highlight w:val="cyan"/>
          <w:lang w:val="en-GB"/>
        </w:rPr>
      </w:pPr>
      <w:r w:rsidRPr="00970B85">
        <w:rPr>
          <w:noProof/>
        </w:rPr>
        <w:drawing>
          <wp:inline distT="0" distB="0" distL="0" distR="0" wp14:anchorId="17793097" wp14:editId="1F49DBB6">
            <wp:extent cx="6083935" cy="2990850"/>
            <wp:effectExtent l="0" t="0" r="0" b="0"/>
            <wp:docPr id="112" name="Graf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AC3E24">
        <w:rPr>
          <w:sz w:val="20"/>
          <w:szCs w:val="20"/>
          <w:lang w:val="en-GB"/>
        </w:rPr>
        <w:t xml:space="preserve">The proportion of individuals aged 25 to 64 year with </w:t>
      </w:r>
      <w:r w:rsidRPr="00AC3E24">
        <w:rPr>
          <w:b/>
          <w:sz w:val="20"/>
          <w:szCs w:val="20"/>
          <w:lang w:val="en-GB"/>
        </w:rPr>
        <w:t>tertiary education</w:t>
      </w:r>
      <w:r w:rsidRPr="00AC3E24">
        <w:rPr>
          <w:sz w:val="20"/>
          <w:szCs w:val="20"/>
          <w:lang w:val="en-GB"/>
        </w:rPr>
        <w:t xml:space="preserve"> using th</w:t>
      </w:r>
      <w:r w:rsidR="00AD6861">
        <w:rPr>
          <w:sz w:val="20"/>
          <w:szCs w:val="20"/>
          <w:lang w:val="en-GB"/>
        </w:rPr>
        <w:t>e i</w:t>
      </w:r>
      <w:r w:rsidRPr="00AC3E24">
        <w:rPr>
          <w:sz w:val="20"/>
          <w:szCs w:val="20"/>
          <w:lang w:val="en-GB"/>
        </w:rPr>
        <w:t xml:space="preserve">nternet in 2017 was above 95% in all EU countries except Croatia (89%) and Italy (93%). There are wider differences across EU countries in the share of people with </w:t>
      </w:r>
      <w:r w:rsidRPr="00AC3E24">
        <w:rPr>
          <w:b/>
          <w:sz w:val="20"/>
          <w:szCs w:val="20"/>
          <w:lang w:val="en-GB"/>
        </w:rPr>
        <w:t>lower levels of education</w:t>
      </w:r>
      <w:r w:rsidRPr="00AC3E24">
        <w:rPr>
          <w:sz w:val="20"/>
          <w:szCs w:val="20"/>
          <w:lang w:val="en-GB"/>
        </w:rPr>
        <w:t xml:space="preserve"> who use the </w:t>
      </w:r>
      <w:r w:rsidR="00AD6861">
        <w:rPr>
          <w:sz w:val="20"/>
          <w:szCs w:val="20"/>
          <w:lang w:val="en-GB"/>
        </w:rPr>
        <w:t>i</w:t>
      </w:r>
      <w:r w:rsidRPr="00AC3E24">
        <w:rPr>
          <w:sz w:val="20"/>
          <w:szCs w:val="20"/>
          <w:lang w:val="en-GB"/>
        </w:rPr>
        <w:t xml:space="preserve">nternet. In 2017 the share of </w:t>
      </w:r>
      <w:r w:rsidR="00AD6861">
        <w:rPr>
          <w:sz w:val="20"/>
          <w:szCs w:val="20"/>
          <w:lang w:val="en-GB"/>
        </w:rPr>
        <w:t>i</w:t>
      </w:r>
      <w:r w:rsidRPr="00AC3E24">
        <w:rPr>
          <w:sz w:val="20"/>
          <w:szCs w:val="20"/>
          <w:lang w:val="en-GB"/>
        </w:rPr>
        <w:t xml:space="preserve">nternet users among individuals aged 25 to 64 years old with low education ranges from over 75% in Denmark, Estonia, Finland, Germany, Luxembourg, the Netherlands, Sweden and United Kingdom to less than 50% in Bulgaria, Croatia, Greece, Hungary Lithuania, Poland, Romania and Slovakia. </w:t>
      </w:r>
    </w:p>
    <w:p w:rsidR="008C4CA2" w:rsidRPr="00970B85" w:rsidRDefault="008C4CA2" w:rsidP="00983696">
      <w:pPr>
        <w:pStyle w:val="Nadpis3"/>
        <w:spacing w:before="0"/>
      </w:pPr>
      <w:bookmarkStart w:id="71" w:name="_Toc533697504"/>
      <w:bookmarkStart w:id="72" w:name="_Toc534712003"/>
      <w:r w:rsidRPr="00970B85">
        <w:lastRenderedPageBreak/>
        <w:t>Non-internet users</w:t>
      </w:r>
      <w:bookmarkEnd w:id="71"/>
      <w:bookmarkEnd w:id="72"/>
    </w:p>
    <w:p w:rsidR="008C4CA2" w:rsidRPr="00970B85" w:rsidRDefault="008C4CA2" w:rsidP="008C4CA2">
      <w:pPr>
        <w:pStyle w:val="Zkladntext"/>
        <w:spacing w:before="0" w:after="80" w:line="264" w:lineRule="auto"/>
        <w:rPr>
          <w:i/>
          <w:sz w:val="20"/>
          <w:lang w:val="en-GB"/>
        </w:rPr>
      </w:pPr>
      <w:r w:rsidRPr="00970B85">
        <w:rPr>
          <w:i/>
          <w:sz w:val="20"/>
          <w:lang w:val="en-GB"/>
        </w:rPr>
        <w:t xml:space="preserve">In most countries, internet uptake by young people is nearly universal, but there are wide differences for older generations (notably seniors), </w:t>
      </w:r>
      <w:r w:rsidRPr="00156DBF">
        <w:rPr>
          <w:i/>
          <w:sz w:val="20"/>
          <w:lang w:val="en-GB"/>
        </w:rPr>
        <w:t xml:space="preserve">which shapes </w:t>
      </w:r>
      <w:r w:rsidRPr="00970B85">
        <w:rPr>
          <w:i/>
          <w:sz w:val="20"/>
          <w:lang w:val="en-GB"/>
        </w:rPr>
        <w:t>the overall ranking of countries. The role of education appears to be much more relevant for determining internet usage</w:t>
      </w:r>
      <w:r w:rsidRPr="00156F97">
        <w:rPr>
          <w:i/>
          <w:color w:val="FF0000"/>
          <w:sz w:val="20"/>
          <w:lang w:val="en-GB"/>
        </w:rPr>
        <w:t xml:space="preserve"> </w:t>
      </w:r>
      <w:r w:rsidRPr="003F67E6">
        <w:rPr>
          <w:i/>
          <w:sz w:val="20"/>
          <w:lang w:val="en-GB"/>
        </w:rPr>
        <w:t xml:space="preserve">for </w:t>
      </w:r>
      <w:r w:rsidRPr="00970B85">
        <w:rPr>
          <w:i/>
          <w:sz w:val="20"/>
          <w:lang w:val="en-GB"/>
        </w:rPr>
        <w:t xml:space="preserve">these groups than for young people. Older people, particularly those with less education, are thus a potential focus of strategies </w:t>
      </w:r>
      <w:r w:rsidRPr="00C748FB">
        <w:rPr>
          <w:i/>
          <w:sz w:val="20"/>
          <w:lang w:val="en-GB"/>
        </w:rPr>
        <w:t xml:space="preserve">trying to </w:t>
      </w:r>
      <w:r w:rsidRPr="00970B85">
        <w:rPr>
          <w:i/>
          <w:sz w:val="20"/>
          <w:lang w:val="en-GB"/>
        </w:rPr>
        <w:t xml:space="preserve">reduce the digital divide.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In 2017, 17% of adults (16+) in the Czech Republic (1.4 million persons)</w:t>
      </w:r>
      <w:r w:rsidRPr="00C748FB">
        <w:rPr>
          <w:sz w:val="20"/>
          <w:szCs w:val="20"/>
          <w:lang w:val="en-GB"/>
        </w:rPr>
        <w:t>,</w:t>
      </w:r>
      <w:r w:rsidRPr="00970B85">
        <w:rPr>
          <w:sz w:val="20"/>
          <w:szCs w:val="20"/>
          <w:lang w:val="en-GB"/>
        </w:rPr>
        <w:t xml:space="preserve"> </w:t>
      </w:r>
      <w:r w:rsidRPr="00970B85">
        <w:rPr>
          <w:b/>
          <w:sz w:val="20"/>
          <w:szCs w:val="20"/>
          <w:lang w:val="en-GB"/>
        </w:rPr>
        <w:t>had never used the internet</w:t>
      </w:r>
      <w:r w:rsidRPr="00C748FB">
        <w:rPr>
          <w:sz w:val="20"/>
          <w:szCs w:val="20"/>
          <w:lang w:val="en-GB"/>
        </w:rPr>
        <w:t>.</w:t>
      </w:r>
      <w:r w:rsidRPr="00970B85">
        <w:rPr>
          <w:sz w:val="20"/>
          <w:szCs w:val="20"/>
          <w:lang w:val="en-GB"/>
        </w:rPr>
        <w:t xml:space="preserve"> However, the number of such persons has been decreasing year by year. Ten years ago</w:t>
      </w:r>
      <w:r w:rsidRPr="00C748FB">
        <w:rPr>
          <w:sz w:val="20"/>
          <w:szCs w:val="20"/>
          <w:lang w:val="en-GB"/>
        </w:rPr>
        <w:t>,</w:t>
      </w:r>
      <w:r w:rsidRPr="00970B85">
        <w:rPr>
          <w:sz w:val="20"/>
          <w:szCs w:val="20"/>
          <w:lang w:val="en-GB"/>
        </w:rPr>
        <w:t xml:space="preserve"> there w</w:t>
      </w:r>
      <w:r>
        <w:rPr>
          <w:sz w:val="20"/>
          <w:szCs w:val="20"/>
          <w:lang w:val="en-GB"/>
        </w:rPr>
        <w:t xml:space="preserve">ere three times more individuals that claimed that they never used the internet </w:t>
      </w:r>
      <w:r w:rsidR="00AD6861">
        <w:rPr>
          <w:sz w:val="20"/>
          <w:szCs w:val="20"/>
          <w:lang w:val="en-GB"/>
        </w:rPr>
        <w:t>–</w:t>
      </w:r>
      <w:r>
        <w:rPr>
          <w:sz w:val="20"/>
          <w:szCs w:val="20"/>
          <w:lang w:val="en-GB"/>
        </w:rPr>
        <w:t xml:space="preserve"> nearly half of adults’ population. </w:t>
      </w:r>
    </w:p>
    <w:p w:rsidR="008C4CA2" w:rsidRPr="002E5FEC"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The group of persons</w:t>
      </w:r>
      <w:r w:rsidRPr="00C748FB">
        <w:rPr>
          <w:sz w:val="20"/>
          <w:szCs w:val="20"/>
          <w:lang w:val="en-GB"/>
        </w:rPr>
        <w:t>,</w:t>
      </w:r>
      <w:r w:rsidRPr="00970B85">
        <w:rPr>
          <w:sz w:val="20"/>
          <w:szCs w:val="20"/>
          <w:lang w:val="en-GB"/>
        </w:rPr>
        <w:t xml:space="preserve"> who have never used the internet includes more frequently persons </w:t>
      </w:r>
      <w:r w:rsidRPr="005C7D90">
        <w:rPr>
          <w:b/>
          <w:sz w:val="20"/>
          <w:szCs w:val="20"/>
          <w:lang w:val="en-GB"/>
        </w:rPr>
        <w:t>over the age of 65</w:t>
      </w:r>
      <w:r w:rsidRPr="00970B85">
        <w:rPr>
          <w:sz w:val="20"/>
          <w:szCs w:val="20"/>
          <w:lang w:val="en-GB"/>
        </w:rPr>
        <w:t xml:space="preserve"> (more than a half in 2017</w:t>
      </w:r>
      <w:r>
        <w:rPr>
          <w:sz w:val="20"/>
          <w:szCs w:val="20"/>
          <w:lang w:val="en-GB"/>
        </w:rPr>
        <w:t xml:space="preserve"> </w:t>
      </w:r>
      <w:r w:rsidRPr="00AC3E24">
        <w:rPr>
          <w:sz w:val="20"/>
          <w:szCs w:val="20"/>
          <w:lang w:val="en-GB"/>
        </w:rPr>
        <w:t>or even 94% in</w:t>
      </w:r>
      <w:r>
        <w:rPr>
          <w:sz w:val="20"/>
          <w:szCs w:val="20"/>
          <w:lang w:val="en-GB"/>
        </w:rPr>
        <w:t xml:space="preserve"> 2007</w:t>
      </w:r>
      <w:r w:rsidRPr="00970B85">
        <w:rPr>
          <w:sz w:val="20"/>
          <w:szCs w:val="20"/>
          <w:lang w:val="en-GB"/>
        </w:rPr>
        <w:t>)</w:t>
      </w:r>
      <w:r w:rsidRPr="00C748FB">
        <w:rPr>
          <w:sz w:val="20"/>
          <w:szCs w:val="20"/>
          <w:lang w:val="en-GB"/>
        </w:rPr>
        <w:t>,</w:t>
      </w:r>
      <w:r w:rsidRPr="00970B85">
        <w:rPr>
          <w:sz w:val="20"/>
          <w:szCs w:val="20"/>
          <w:lang w:val="en-GB"/>
        </w:rPr>
        <w:t xml:space="preserve"> and people with </w:t>
      </w:r>
      <w:r>
        <w:rPr>
          <w:sz w:val="20"/>
          <w:szCs w:val="20"/>
          <w:lang w:val="en-GB"/>
        </w:rPr>
        <w:t>low</w:t>
      </w:r>
      <w:r w:rsidRPr="00970B85">
        <w:rPr>
          <w:sz w:val="20"/>
          <w:szCs w:val="20"/>
          <w:lang w:val="en-GB"/>
        </w:rPr>
        <w:t xml:space="preserve"> education (56%). </w:t>
      </w:r>
      <w:r>
        <w:rPr>
          <w:sz w:val="20"/>
          <w:szCs w:val="20"/>
          <w:lang w:val="en-GB"/>
        </w:rPr>
        <w:t>These days w</w:t>
      </w:r>
      <w:r w:rsidRPr="00C748FB">
        <w:rPr>
          <w:sz w:val="20"/>
          <w:szCs w:val="20"/>
          <w:lang w:val="en-GB"/>
        </w:rPr>
        <w:t>e</w:t>
      </w:r>
      <w:r w:rsidRPr="00970B85">
        <w:rPr>
          <w:sz w:val="20"/>
          <w:szCs w:val="20"/>
          <w:lang w:val="en-GB"/>
        </w:rPr>
        <w:t xml:space="preserve"> can hardly find people </w:t>
      </w:r>
      <w:r>
        <w:rPr>
          <w:sz w:val="20"/>
          <w:szCs w:val="20"/>
          <w:lang w:val="en-GB"/>
        </w:rPr>
        <w:t xml:space="preserve">without any experience with the internet </w:t>
      </w:r>
      <w:r w:rsidRPr="00970B85">
        <w:rPr>
          <w:sz w:val="20"/>
          <w:szCs w:val="20"/>
          <w:lang w:val="en-GB"/>
        </w:rPr>
        <w:t>among students</w:t>
      </w:r>
      <w:r>
        <w:rPr>
          <w:sz w:val="20"/>
          <w:szCs w:val="20"/>
          <w:lang w:val="en-GB"/>
        </w:rPr>
        <w:t xml:space="preserve">, young and middle generation, individuals with tertiary education </w:t>
      </w:r>
      <w:r w:rsidRPr="00970B85">
        <w:rPr>
          <w:sz w:val="20"/>
          <w:szCs w:val="20"/>
          <w:lang w:val="en-GB"/>
        </w:rPr>
        <w:t>or</w:t>
      </w:r>
      <w:r>
        <w:rPr>
          <w:sz w:val="20"/>
          <w:szCs w:val="20"/>
          <w:lang w:val="en-GB"/>
        </w:rPr>
        <w:t xml:space="preserve"> w</w:t>
      </w:r>
      <w:r w:rsidRPr="00970B85">
        <w:rPr>
          <w:sz w:val="20"/>
          <w:szCs w:val="20"/>
          <w:lang w:val="en-GB"/>
        </w:rPr>
        <w:t>omen on maternity/parental leave.</w:t>
      </w:r>
    </w:p>
    <w:p w:rsidR="008C4CA2" w:rsidRPr="00970B85" w:rsidRDefault="008C4CA2" w:rsidP="008C4CA2">
      <w:pPr>
        <w:pStyle w:val="Titulek"/>
        <w:keepNext/>
        <w:spacing w:after="80"/>
        <w:jc w:val="both"/>
        <w:rPr>
          <w:lang w:val="en-GB"/>
        </w:rPr>
        <w:sectPr w:rsidR="008C4CA2" w:rsidRPr="00970B85" w:rsidSect="008C4CA2">
          <w:type w:val="continuous"/>
          <w:pgSz w:w="11906" w:h="16838" w:code="9"/>
          <w:pgMar w:top="1134" w:right="1134" w:bottom="1418" w:left="1134" w:header="680" w:footer="680" w:gutter="0"/>
          <w:cols w:space="708"/>
          <w:docGrid w:linePitch="360"/>
        </w:sectPr>
      </w:pPr>
    </w:p>
    <w:p w:rsidR="008C4CA2" w:rsidRPr="00970B85" w:rsidRDefault="008C4CA2" w:rsidP="008C4CA2">
      <w:pPr>
        <w:pStyle w:val="Zkladntext"/>
        <w:spacing w:before="0" w:after="120" w:line="288" w:lineRule="auto"/>
        <w:rPr>
          <w:lang w:val="en-GB"/>
        </w:rPr>
      </w:pPr>
      <w:r w:rsidRPr="00970B85">
        <w:rPr>
          <w:noProof/>
        </w:rPr>
        <w:drawing>
          <wp:inline distT="0" distB="0" distL="0" distR="0" wp14:anchorId="6F7E9A33" wp14:editId="66EE827F">
            <wp:extent cx="3060000" cy="2592000"/>
            <wp:effectExtent l="0" t="0" r="7620" b="18415"/>
            <wp:docPr id="113" name="Graf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970B85">
        <w:rPr>
          <w:lang w:val="en-GB"/>
        </w:rPr>
        <w:t xml:space="preserve"> </w:t>
      </w:r>
    </w:p>
    <w:p w:rsidR="008C4CA2" w:rsidRPr="00970B85" w:rsidRDefault="008C4CA2" w:rsidP="008C4CA2">
      <w:pPr>
        <w:pStyle w:val="Zkladntext"/>
        <w:spacing w:before="0" w:after="120" w:line="288" w:lineRule="auto"/>
        <w:rPr>
          <w:sz w:val="20"/>
          <w:szCs w:val="20"/>
          <w:lang w:val="en-GB"/>
        </w:rPr>
      </w:pPr>
      <w:r w:rsidRPr="00970B85">
        <w:rPr>
          <w:noProof/>
        </w:rPr>
        <w:drawing>
          <wp:inline distT="0" distB="0" distL="0" distR="0" wp14:anchorId="67113899" wp14:editId="1AB52618">
            <wp:extent cx="3024000" cy="2592000"/>
            <wp:effectExtent l="0" t="0" r="5080" b="0"/>
            <wp:docPr id="114" name="Graf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C4CA2" w:rsidRDefault="008C4CA2" w:rsidP="008C4CA2">
      <w:pPr>
        <w:pStyle w:val="Zkladntext"/>
        <w:numPr>
          <w:ilvl w:val="0"/>
          <w:numId w:val="15"/>
        </w:numPr>
        <w:spacing w:before="0" w:after="120" w:line="288" w:lineRule="auto"/>
        <w:rPr>
          <w:sz w:val="20"/>
          <w:szCs w:val="20"/>
          <w:lang w:val="en-US"/>
        </w:rPr>
        <w:sectPr w:rsidR="008C4CA2" w:rsidSect="008C4CA2">
          <w:type w:val="continuous"/>
          <w:pgSz w:w="11906" w:h="16838" w:code="9"/>
          <w:pgMar w:top="1134" w:right="1134" w:bottom="1418" w:left="1134" w:header="680" w:footer="680" w:gutter="0"/>
          <w:cols w:num="2" w:space="282"/>
          <w:docGrid w:linePitch="360"/>
        </w:sectPr>
      </w:pPr>
    </w:p>
    <w:p w:rsidR="008C4CA2" w:rsidRPr="00D420B8" w:rsidRDefault="008C4CA2" w:rsidP="008C4CA2">
      <w:pPr>
        <w:pStyle w:val="Zkladntext"/>
        <w:numPr>
          <w:ilvl w:val="0"/>
          <w:numId w:val="15"/>
        </w:numPr>
        <w:spacing w:before="0" w:after="80" w:line="288" w:lineRule="auto"/>
        <w:ind w:left="357" w:hanging="357"/>
        <w:rPr>
          <w:sz w:val="20"/>
          <w:szCs w:val="20"/>
          <w:lang w:val="en-GB"/>
        </w:rPr>
      </w:pPr>
      <w:r w:rsidRPr="002E5FEC">
        <w:rPr>
          <w:sz w:val="20"/>
          <w:szCs w:val="20"/>
          <w:lang w:val="en-US"/>
        </w:rPr>
        <w:t xml:space="preserve">The proportion of the EU28’s population that has never used the internet was 13% in 2017, with this share falling to almost one third of its level in 2007, when it stood at 37%. As of the beginning of 2017, the share of </w:t>
      </w:r>
      <w:r w:rsidRPr="00EE3B21">
        <w:rPr>
          <w:b/>
          <w:i/>
          <w:sz w:val="20"/>
          <w:szCs w:val="20"/>
          <w:lang w:val="en-US"/>
        </w:rPr>
        <w:t>non</w:t>
      </w:r>
      <w:r w:rsidR="006B3DB5">
        <w:rPr>
          <w:b/>
          <w:i/>
          <w:sz w:val="20"/>
          <w:szCs w:val="20"/>
          <w:lang w:val="en-US"/>
        </w:rPr>
        <w:t>-</w:t>
      </w:r>
      <w:r w:rsidRPr="00EE3B21">
        <w:rPr>
          <w:b/>
          <w:i/>
          <w:sz w:val="20"/>
          <w:szCs w:val="20"/>
          <w:lang w:val="en-US"/>
        </w:rPr>
        <w:t>internet users</w:t>
      </w:r>
      <w:r w:rsidRPr="002E5FEC">
        <w:rPr>
          <w:sz w:val="20"/>
          <w:szCs w:val="20"/>
          <w:lang w:val="en-US"/>
        </w:rPr>
        <w:t xml:space="preserve"> among individuals aged 16 to 74 years old </w:t>
      </w:r>
      <w:r>
        <w:rPr>
          <w:sz w:val="20"/>
          <w:szCs w:val="20"/>
          <w:lang w:val="en-US"/>
        </w:rPr>
        <w:t xml:space="preserve">in individual EU countries </w:t>
      </w:r>
      <w:r w:rsidRPr="002E5FEC">
        <w:rPr>
          <w:sz w:val="20"/>
          <w:szCs w:val="20"/>
          <w:lang w:val="en-US"/>
        </w:rPr>
        <w:t>ranges from over 25% in Bulgaria, Croatia, Greece and Romania to less than 5% in Finland, United Kingdom, the Netherlands, Sweden, Luxembourg and Denmark.</w:t>
      </w:r>
    </w:p>
    <w:p w:rsidR="008C4CA2" w:rsidRPr="00970B85" w:rsidRDefault="008C4CA2" w:rsidP="008C4CA2">
      <w:pPr>
        <w:pStyle w:val="Zkladntext"/>
        <w:numPr>
          <w:ilvl w:val="0"/>
          <w:numId w:val="15"/>
        </w:numPr>
        <w:spacing w:before="0" w:line="288" w:lineRule="auto"/>
        <w:ind w:left="357" w:hanging="357"/>
        <w:rPr>
          <w:sz w:val="20"/>
          <w:szCs w:val="20"/>
          <w:lang w:val="en-GB"/>
        </w:rPr>
        <w:sectPr w:rsidR="008C4CA2" w:rsidRPr="00970B85" w:rsidSect="008C4CA2">
          <w:type w:val="continuous"/>
          <w:pgSz w:w="11906" w:h="16838" w:code="9"/>
          <w:pgMar w:top="1134" w:right="1134" w:bottom="1418" w:left="1134" w:header="680" w:footer="680" w:gutter="0"/>
          <w:cols w:space="282"/>
          <w:docGrid w:linePitch="360"/>
        </w:sectPr>
      </w:pPr>
    </w:p>
    <w:p w:rsidR="008C4CA2" w:rsidRPr="00970B85" w:rsidRDefault="008C4CA2" w:rsidP="008C4CA2">
      <w:pPr>
        <w:pStyle w:val="Zkladntext"/>
        <w:spacing w:before="0" w:after="120" w:line="288" w:lineRule="auto"/>
        <w:rPr>
          <w:sz w:val="20"/>
          <w:szCs w:val="20"/>
          <w:highlight w:val="cyan"/>
          <w:lang w:val="en-GB"/>
        </w:rPr>
      </w:pPr>
      <w:r w:rsidRPr="00970B85">
        <w:rPr>
          <w:noProof/>
        </w:rPr>
        <w:lastRenderedPageBreak/>
        <w:drawing>
          <wp:inline distT="0" distB="0" distL="0" distR="0" wp14:anchorId="32831866" wp14:editId="6A4BC4F0">
            <wp:extent cx="6084000" cy="3204000"/>
            <wp:effectExtent l="0" t="0" r="0" b="0"/>
            <wp:docPr id="115" name="Graf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C4CA2" w:rsidRPr="00970B85" w:rsidRDefault="008C4CA2" w:rsidP="008C4CA2">
      <w:pPr>
        <w:pStyle w:val="Nadpis3"/>
      </w:pPr>
      <w:bookmarkStart w:id="73" w:name="_Toc533697505"/>
      <w:bookmarkStart w:id="74" w:name="_Toc534712004"/>
      <w:r>
        <w:t>R</w:t>
      </w:r>
      <w:r w:rsidRPr="00284620">
        <w:t>egular and daily internet users</w:t>
      </w:r>
      <w:bookmarkEnd w:id="73"/>
      <w:bookmarkEnd w:id="74"/>
    </w:p>
    <w:p w:rsidR="008C4CA2" w:rsidRPr="003E03C0" w:rsidRDefault="008C4CA2" w:rsidP="008C4CA2">
      <w:pPr>
        <w:pStyle w:val="Zkladntext"/>
        <w:numPr>
          <w:ilvl w:val="0"/>
          <w:numId w:val="15"/>
        </w:numPr>
        <w:tabs>
          <w:tab w:val="num" w:pos="284"/>
        </w:tabs>
        <w:spacing w:before="0" w:after="80" w:line="264" w:lineRule="auto"/>
        <w:ind w:left="284" w:hanging="284"/>
        <w:rPr>
          <w:sz w:val="20"/>
          <w:szCs w:val="20"/>
          <w:lang w:val="en-GB"/>
        </w:rPr>
      </w:pPr>
      <w:r w:rsidRPr="003E03C0">
        <w:rPr>
          <w:sz w:val="20"/>
          <w:szCs w:val="20"/>
          <w:lang w:val="en-GB"/>
        </w:rPr>
        <w:t xml:space="preserve">In 2017, most internet users (95%) said that they accessed the internet regularly during these 3 months: 85% of them were online every day and a further 10% at least once per week, but not daily. It means that 80 percent of all internet users in the Czech Republic accessed the internet virtually every day. This is significantly higher than the proportion of </w:t>
      </w:r>
      <w:r w:rsidRPr="003E03C0">
        <w:rPr>
          <w:b/>
          <w:sz w:val="20"/>
          <w:szCs w:val="20"/>
          <w:lang w:val="en-GB"/>
        </w:rPr>
        <w:t>daily internet users</w:t>
      </w:r>
      <w:r w:rsidRPr="003E03C0">
        <w:rPr>
          <w:sz w:val="20"/>
          <w:szCs w:val="20"/>
          <w:lang w:val="en-GB"/>
        </w:rPr>
        <w:t xml:space="preserve"> in 2007.</w:t>
      </w:r>
      <w:r w:rsidRPr="003467B1">
        <w:rPr>
          <w:b/>
          <w:sz w:val="20"/>
          <w:szCs w:val="20"/>
          <w:lang w:val="en-GB"/>
        </w:rPr>
        <w:t xml:space="preserve"> </w:t>
      </w:r>
      <w:r w:rsidRPr="003E03C0">
        <w:rPr>
          <w:sz w:val="20"/>
          <w:szCs w:val="20"/>
          <w:lang w:val="en-GB"/>
        </w:rPr>
        <w:t xml:space="preserve">Share of all individuals aged 16+ using </w:t>
      </w:r>
      <w:r w:rsidRPr="003E03C0">
        <w:rPr>
          <w:b/>
          <w:sz w:val="20"/>
          <w:szCs w:val="20"/>
          <w:lang w:val="en-GB"/>
        </w:rPr>
        <w:t>internet regularly</w:t>
      </w:r>
      <w:r w:rsidRPr="003E03C0">
        <w:rPr>
          <w:sz w:val="20"/>
          <w:szCs w:val="20"/>
          <w:lang w:val="en-GB"/>
        </w:rPr>
        <w:t xml:space="preserve"> (at least once a week) in the last ten years nearly doubled in the Czech Republic, from 38% in 2007 to 84% in 2017. </w:t>
      </w:r>
    </w:p>
    <w:p w:rsidR="008C4CA2" w:rsidRPr="006F0DB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6F0DB5">
        <w:rPr>
          <w:b/>
          <w:sz w:val="20"/>
          <w:szCs w:val="20"/>
          <w:lang w:val="en-GB"/>
        </w:rPr>
        <w:t>Frequent (daily) use</w:t>
      </w:r>
      <w:r w:rsidRPr="006F0DB5">
        <w:rPr>
          <w:sz w:val="20"/>
          <w:szCs w:val="20"/>
          <w:lang w:val="en-GB"/>
        </w:rPr>
        <w:t xml:space="preserve"> of the internet grew by 20 p.p. between 2010 and 2017 in the EU28, from 53% to 77%, showing that not only is the proportion of the population going regularly online increasing, but that it is increasingly becoming a daily activity.</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3467B1">
        <w:rPr>
          <w:sz w:val="20"/>
          <w:szCs w:val="20"/>
          <w:lang w:val="en-GB"/>
        </w:rPr>
        <w:t xml:space="preserve">As was mentioned above, on average, four out of five internet users aged 16+ was in 2017 going online every day in the Czech Republic. But, as nearly all young people (97%), </w:t>
      </w:r>
      <w:r w:rsidRPr="003467B1">
        <w:rPr>
          <w:b/>
          <w:sz w:val="20"/>
          <w:szCs w:val="20"/>
          <w:lang w:val="en-GB"/>
        </w:rPr>
        <w:t>up to the age of 24</w:t>
      </w:r>
      <w:r w:rsidRPr="003467B1">
        <w:rPr>
          <w:sz w:val="20"/>
          <w:szCs w:val="20"/>
          <w:lang w:val="en-GB"/>
        </w:rPr>
        <w:t xml:space="preserve">, go online every day, in the case of persons over the age of 65, only a fifth goes online every day (57% of internet users aged 65 years and over).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Pr>
          <w:sz w:val="20"/>
          <w:szCs w:val="20"/>
          <w:lang w:val="en-GB"/>
        </w:rPr>
        <w:t>In 2017, t</w:t>
      </w:r>
      <w:r w:rsidRPr="00970B85">
        <w:rPr>
          <w:sz w:val="20"/>
          <w:szCs w:val="20"/>
          <w:lang w:val="en-GB"/>
        </w:rPr>
        <w:t xml:space="preserve">he proportion of </w:t>
      </w:r>
      <w:r w:rsidRPr="00970B85">
        <w:rPr>
          <w:b/>
          <w:sz w:val="20"/>
          <w:szCs w:val="20"/>
          <w:lang w:val="en-GB"/>
        </w:rPr>
        <w:t>daily internet users</w:t>
      </w:r>
      <w:r w:rsidRPr="00980E85">
        <w:rPr>
          <w:sz w:val="20"/>
          <w:szCs w:val="20"/>
          <w:lang w:val="en-GB"/>
        </w:rPr>
        <w:t>,</w:t>
      </w:r>
      <w:r w:rsidRPr="00970B85">
        <w:rPr>
          <w:sz w:val="20"/>
          <w:szCs w:val="20"/>
          <w:lang w:val="en-GB"/>
        </w:rPr>
        <w:t xml:space="preserve"> among all internet users (those who had used the internet within the previous three months)</w:t>
      </w:r>
      <w:r w:rsidRPr="00980E85">
        <w:rPr>
          <w:sz w:val="20"/>
          <w:szCs w:val="20"/>
          <w:lang w:val="en-GB"/>
        </w:rPr>
        <w:t>,</w:t>
      </w:r>
      <w:r w:rsidRPr="00970B85">
        <w:rPr>
          <w:sz w:val="20"/>
          <w:szCs w:val="20"/>
          <w:lang w:val="en-GB"/>
        </w:rPr>
        <w:t xml:space="preserve"> averaged 87% in the EU28</w:t>
      </w:r>
      <w:r w:rsidRPr="00980E85">
        <w:rPr>
          <w:sz w:val="20"/>
          <w:szCs w:val="20"/>
          <w:lang w:val="en-GB"/>
        </w:rPr>
        <w:t>,</w:t>
      </w:r>
      <w:r w:rsidRPr="00970B85">
        <w:rPr>
          <w:sz w:val="20"/>
          <w:szCs w:val="20"/>
          <w:lang w:val="en-GB"/>
        </w:rPr>
        <w:t xml:space="preserve"> and ranged across the EU Member States, from 73% in Romania</w:t>
      </w:r>
      <w:r w:rsidRPr="00980E85">
        <w:rPr>
          <w:sz w:val="20"/>
          <w:szCs w:val="20"/>
          <w:lang w:val="en-GB"/>
        </w:rPr>
        <w:t>,</w:t>
      </w:r>
      <w:r w:rsidRPr="00970B85">
        <w:rPr>
          <w:sz w:val="20"/>
          <w:szCs w:val="20"/>
          <w:lang w:val="en-GB"/>
        </w:rPr>
        <w:t xml:space="preserve"> up to more than 90% in eight Member States, peaking at 96% in Italy. </w:t>
      </w:r>
      <w:r>
        <w:rPr>
          <w:sz w:val="20"/>
          <w:szCs w:val="20"/>
          <w:lang w:val="en-GB"/>
        </w:rPr>
        <w:t xml:space="preserve">Ten years ago (in 2007), the </w:t>
      </w:r>
      <w:r w:rsidRPr="00970B85">
        <w:rPr>
          <w:sz w:val="20"/>
          <w:szCs w:val="20"/>
          <w:lang w:val="en-GB"/>
        </w:rPr>
        <w:t>share of daily internet users among all internet users</w:t>
      </w:r>
      <w:r>
        <w:rPr>
          <w:sz w:val="20"/>
          <w:szCs w:val="20"/>
          <w:lang w:val="en-GB"/>
        </w:rPr>
        <w:t xml:space="preserve"> was equal to 66%, on average in EU countries. </w:t>
      </w:r>
    </w:p>
    <w:p w:rsidR="008C4CA2" w:rsidRPr="0083621B"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Pr>
          <w:sz w:val="20"/>
          <w:szCs w:val="20"/>
          <w:lang w:val="en-GB"/>
        </w:rPr>
        <w:t>In 2017, o</w:t>
      </w:r>
      <w:r w:rsidRPr="00002EDC">
        <w:rPr>
          <w:sz w:val="20"/>
          <w:szCs w:val="20"/>
          <w:lang w:val="en-GB"/>
        </w:rPr>
        <w:t>n average</w:t>
      </w:r>
      <w:r>
        <w:rPr>
          <w:sz w:val="20"/>
          <w:szCs w:val="20"/>
          <w:lang w:val="en-GB"/>
        </w:rPr>
        <w:t>,</w:t>
      </w:r>
      <w:r w:rsidRPr="00002EDC">
        <w:rPr>
          <w:sz w:val="20"/>
          <w:szCs w:val="20"/>
          <w:lang w:val="en-GB"/>
        </w:rPr>
        <w:t xml:space="preserve"> </w:t>
      </w:r>
      <w:r>
        <w:rPr>
          <w:sz w:val="20"/>
          <w:szCs w:val="20"/>
          <w:lang w:val="en-GB"/>
        </w:rPr>
        <w:t xml:space="preserve">three quarters among all internet users </w:t>
      </w:r>
      <w:r w:rsidRPr="0083621B">
        <w:rPr>
          <w:b/>
          <w:sz w:val="20"/>
          <w:szCs w:val="20"/>
          <w:lang w:val="en-GB"/>
        </w:rPr>
        <w:t>aged 65 to 74 years old</w:t>
      </w:r>
      <w:r w:rsidRPr="00002EDC">
        <w:rPr>
          <w:sz w:val="20"/>
          <w:szCs w:val="20"/>
          <w:lang w:val="en-GB"/>
        </w:rPr>
        <w:t xml:space="preserve"> in </w:t>
      </w:r>
      <w:r>
        <w:rPr>
          <w:sz w:val="20"/>
          <w:szCs w:val="20"/>
          <w:lang w:val="en-GB"/>
        </w:rPr>
        <w:t>EU</w:t>
      </w:r>
      <w:r w:rsidRPr="00002EDC">
        <w:rPr>
          <w:sz w:val="20"/>
          <w:szCs w:val="20"/>
          <w:lang w:val="en-GB"/>
        </w:rPr>
        <w:t xml:space="preserve"> countries w</w:t>
      </w:r>
      <w:r>
        <w:rPr>
          <w:sz w:val="20"/>
          <w:szCs w:val="20"/>
          <w:lang w:val="en-GB"/>
        </w:rPr>
        <w:t xml:space="preserve">ere online daily in EU countries. This proportion of internet users </w:t>
      </w:r>
      <w:r w:rsidRPr="0083621B">
        <w:rPr>
          <w:sz w:val="20"/>
          <w:szCs w:val="20"/>
          <w:lang w:val="en-GB"/>
        </w:rPr>
        <w:t xml:space="preserve">ranges from over </w:t>
      </w:r>
      <w:r>
        <w:rPr>
          <w:sz w:val="20"/>
          <w:szCs w:val="20"/>
          <w:lang w:val="en-GB"/>
        </w:rPr>
        <w:t>80</w:t>
      </w:r>
      <w:r w:rsidRPr="0083621B">
        <w:rPr>
          <w:sz w:val="20"/>
          <w:szCs w:val="20"/>
          <w:lang w:val="en-GB"/>
        </w:rPr>
        <w:t xml:space="preserve">% in </w:t>
      </w:r>
      <w:r>
        <w:rPr>
          <w:sz w:val="20"/>
          <w:szCs w:val="20"/>
          <w:lang w:val="en-GB"/>
        </w:rPr>
        <w:t xml:space="preserve">Italy, </w:t>
      </w:r>
      <w:r w:rsidRPr="0083621B">
        <w:rPr>
          <w:sz w:val="20"/>
          <w:szCs w:val="20"/>
          <w:lang w:val="en-GB"/>
        </w:rPr>
        <w:t xml:space="preserve">Denmark, Luxembourg, the Netherlands, Sweden and United Kingdom to less than </w:t>
      </w:r>
      <w:r>
        <w:rPr>
          <w:sz w:val="20"/>
          <w:szCs w:val="20"/>
          <w:lang w:val="en-GB"/>
        </w:rPr>
        <w:t>6</w:t>
      </w:r>
      <w:r w:rsidRPr="0083621B">
        <w:rPr>
          <w:sz w:val="20"/>
          <w:szCs w:val="20"/>
          <w:lang w:val="en-GB"/>
        </w:rPr>
        <w:t xml:space="preserve">0% in </w:t>
      </w:r>
      <w:r>
        <w:rPr>
          <w:sz w:val="20"/>
          <w:szCs w:val="20"/>
          <w:lang w:val="en-GB"/>
        </w:rPr>
        <w:t xml:space="preserve">Austria, Bulgaria, the Czech Republic and </w:t>
      </w:r>
      <w:r w:rsidRPr="0083621B">
        <w:rPr>
          <w:sz w:val="20"/>
          <w:szCs w:val="20"/>
          <w:lang w:val="en-GB"/>
        </w:rPr>
        <w:t>Romania.</w:t>
      </w:r>
    </w:p>
    <w:p w:rsidR="008C4CA2" w:rsidRPr="00970B85" w:rsidRDefault="008C4CA2" w:rsidP="008C4CA2">
      <w:pPr>
        <w:pStyle w:val="Nadpis3"/>
      </w:pPr>
      <w:bookmarkStart w:id="75" w:name="_Toc533697506"/>
      <w:bookmarkStart w:id="76" w:name="_Toc534712005"/>
      <w:r w:rsidRPr="00284620">
        <w:t xml:space="preserve">Mobile </w:t>
      </w:r>
      <w:r>
        <w:t>phone internet users</w:t>
      </w:r>
      <w:r w:rsidRPr="00970B85">
        <w:t xml:space="preserve"> </w:t>
      </w:r>
      <w:r>
        <w:t>– Main figures</w:t>
      </w:r>
      <w:bookmarkEnd w:id="75"/>
      <w:bookmarkEnd w:id="76"/>
    </w:p>
    <w:p w:rsidR="008C4CA2" w:rsidRPr="00970B85" w:rsidRDefault="008C4CA2" w:rsidP="008C4CA2">
      <w:pPr>
        <w:pStyle w:val="Zkladntext"/>
        <w:spacing w:before="0" w:after="80" w:line="264" w:lineRule="auto"/>
        <w:rPr>
          <w:i/>
          <w:sz w:val="20"/>
          <w:lang w:val="en-GB"/>
        </w:rPr>
      </w:pPr>
      <w:r w:rsidRPr="00970B85">
        <w:rPr>
          <w:i/>
          <w:sz w:val="20"/>
          <w:lang w:val="en-GB"/>
        </w:rPr>
        <w:t>Mobile devices provide simpler and faster access of individuals to a large amount of information practicall</w:t>
      </w:r>
      <w:r w:rsidRPr="002D4DC4">
        <w:rPr>
          <w:i/>
          <w:sz w:val="20"/>
          <w:lang w:val="en-GB"/>
        </w:rPr>
        <w:t>y</w:t>
      </w:r>
      <w:r w:rsidRPr="002D4DC4">
        <w:rPr>
          <w:i/>
          <w:sz w:val="20"/>
          <w:szCs w:val="20"/>
          <w:lang w:val="en-GB"/>
        </w:rPr>
        <w:t>,</w:t>
      </w:r>
      <w:r w:rsidRPr="002D4DC4">
        <w:rPr>
          <w:i/>
          <w:sz w:val="20"/>
          <w:lang w:val="en-GB"/>
        </w:rPr>
        <w:t xml:space="preserve"> </w:t>
      </w:r>
      <w:r w:rsidRPr="00970B85">
        <w:rPr>
          <w:i/>
          <w:sz w:val="20"/>
          <w:lang w:val="en-GB"/>
        </w:rPr>
        <w:t xml:space="preserve">from anywhere and at any time. </w:t>
      </w:r>
      <w:r w:rsidRPr="002D4DC4">
        <w:rPr>
          <w:i/>
          <w:sz w:val="20"/>
          <w:lang w:val="en-GB"/>
        </w:rPr>
        <w:t xml:space="preserve">Currently, many people use </w:t>
      </w:r>
      <w:r w:rsidRPr="00970B85">
        <w:rPr>
          <w:i/>
          <w:sz w:val="20"/>
          <w:lang w:val="en-GB"/>
        </w:rPr>
        <w:t>the internet outside their home and workplace. Also</w:t>
      </w:r>
      <w:r w:rsidRPr="002D4DC4">
        <w:rPr>
          <w:i/>
          <w:sz w:val="20"/>
          <w:szCs w:val="20"/>
          <w:lang w:val="en-GB"/>
        </w:rPr>
        <w:t>,</w:t>
      </w:r>
      <w:r w:rsidRPr="00970B85">
        <w:rPr>
          <w:i/>
          <w:sz w:val="20"/>
          <w:lang w:val="en-GB"/>
        </w:rPr>
        <w:t xml:space="preserve"> due to this fact, the ICT</w:t>
      </w:r>
      <w:r w:rsidRPr="006A180E">
        <w:rPr>
          <w:i/>
          <w:color w:val="FF0000"/>
          <w:sz w:val="20"/>
          <w:lang w:val="en-GB"/>
        </w:rPr>
        <w:t xml:space="preserve"> </w:t>
      </w:r>
      <w:r w:rsidRPr="002D4DC4">
        <w:rPr>
          <w:i/>
          <w:sz w:val="20"/>
          <w:lang w:val="en-GB"/>
        </w:rPr>
        <w:t>has</w:t>
      </w:r>
      <w:r w:rsidRPr="006A180E">
        <w:rPr>
          <w:i/>
          <w:color w:val="FF0000"/>
          <w:sz w:val="20"/>
          <w:lang w:val="en-GB"/>
        </w:rPr>
        <w:t xml:space="preserve"> </w:t>
      </w:r>
      <w:r w:rsidRPr="00970B85">
        <w:rPr>
          <w:i/>
          <w:sz w:val="20"/>
          <w:lang w:val="en-GB"/>
        </w:rPr>
        <w:t>been gaining a significant role within society</w:t>
      </w:r>
      <w:r w:rsidRPr="002D4DC4">
        <w:rPr>
          <w:i/>
          <w:sz w:val="20"/>
          <w:szCs w:val="20"/>
          <w:lang w:val="en-GB"/>
        </w:rPr>
        <w:t>,</w:t>
      </w:r>
      <w:r w:rsidRPr="00970B85">
        <w:rPr>
          <w:i/>
          <w:sz w:val="20"/>
          <w:lang w:val="en-GB"/>
        </w:rPr>
        <w:t xml:space="preserve"> and for many people in the Czech Republi</w:t>
      </w:r>
      <w:r w:rsidRPr="002D4DC4">
        <w:rPr>
          <w:i/>
          <w:sz w:val="20"/>
          <w:lang w:val="en-GB"/>
        </w:rPr>
        <w:t>c</w:t>
      </w:r>
      <w:r w:rsidRPr="002D4DC4">
        <w:rPr>
          <w:i/>
          <w:sz w:val="20"/>
          <w:szCs w:val="20"/>
          <w:lang w:val="en-GB"/>
        </w:rPr>
        <w:t>,</w:t>
      </w:r>
      <w:r w:rsidRPr="002D4DC4">
        <w:rPr>
          <w:i/>
          <w:sz w:val="20"/>
          <w:lang w:val="en-GB"/>
        </w:rPr>
        <w:t xml:space="preserve"> </w:t>
      </w:r>
      <w:r w:rsidRPr="00970B85">
        <w:rPr>
          <w:i/>
          <w:sz w:val="20"/>
          <w:lang w:val="en-GB"/>
        </w:rPr>
        <w:t>as well as in other EU countrie</w:t>
      </w:r>
      <w:r w:rsidRPr="002D4DC4">
        <w:rPr>
          <w:i/>
          <w:sz w:val="20"/>
          <w:lang w:val="en-GB"/>
        </w:rPr>
        <w:t>s</w:t>
      </w:r>
      <w:r w:rsidRPr="002D4DC4">
        <w:rPr>
          <w:i/>
          <w:sz w:val="20"/>
          <w:szCs w:val="20"/>
          <w:lang w:val="en-GB"/>
        </w:rPr>
        <w:t>,</w:t>
      </w:r>
      <w:r w:rsidRPr="002D4DC4">
        <w:rPr>
          <w:i/>
          <w:sz w:val="20"/>
          <w:lang w:val="en-GB"/>
        </w:rPr>
        <w:t xml:space="preserve"> </w:t>
      </w:r>
      <w:r w:rsidRPr="00970B85">
        <w:rPr>
          <w:i/>
          <w:sz w:val="20"/>
          <w:lang w:val="en-GB"/>
        </w:rPr>
        <w:t xml:space="preserve">the internet </w:t>
      </w:r>
      <w:r w:rsidRPr="002D4DC4">
        <w:rPr>
          <w:i/>
          <w:sz w:val="20"/>
          <w:lang w:val="en-GB"/>
        </w:rPr>
        <w:t xml:space="preserve">has become </w:t>
      </w:r>
      <w:r w:rsidRPr="00970B85">
        <w:rPr>
          <w:i/>
          <w:sz w:val="20"/>
          <w:lang w:val="en-GB"/>
        </w:rPr>
        <w:t>a part of their everyday life.</w:t>
      </w:r>
    </w:p>
    <w:p w:rsidR="008C4CA2" w:rsidRPr="007409A8"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7409A8">
        <w:rPr>
          <w:sz w:val="20"/>
          <w:szCs w:val="20"/>
          <w:lang w:val="en-GB"/>
        </w:rPr>
        <w:t xml:space="preserve">In 2017, for the first time more than a half of Czech adults claimed to be using </w:t>
      </w:r>
      <w:r w:rsidRPr="007409A8">
        <w:rPr>
          <w:b/>
          <w:sz w:val="20"/>
          <w:szCs w:val="20"/>
          <w:lang w:val="en-GB"/>
        </w:rPr>
        <w:t>the internet on their mobile phones</w:t>
      </w:r>
      <w:r w:rsidRPr="007409A8">
        <w:rPr>
          <w:sz w:val="20"/>
          <w:szCs w:val="20"/>
          <w:lang w:val="en-GB"/>
        </w:rPr>
        <w:t xml:space="preserve">, i.e. nearly two thirds of internet users. The corresponding figures for 2012 was only 13 percent </w:t>
      </w:r>
      <w:r>
        <w:rPr>
          <w:sz w:val="20"/>
          <w:szCs w:val="20"/>
          <w:lang w:val="en-GB"/>
        </w:rPr>
        <w:t xml:space="preserve">of all individuals aged 16+ </w:t>
      </w:r>
      <w:r w:rsidRPr="007409A8">
        <w:rPr>
          <w:sz w:val="20"/>
          <w:szCs w:val="20"/>
          <w:lang w:val="en-GB"/>
        </w:rPr>
        <w:t>or one fifth of internet users</w:t>
      </w:r>
      <w:r>
        <w:rPr>
          <w:sz w:val="20"/>
          <w:szCs w:val="20"/>
          <w:lang w:val="en-GB"/>
        </w:rPr>
        <w:t xml:space="preserve"> aged 16+</w:t>
      </w:r>
      <w:r w:rsidRPr="007409A8">
        <w:rPr>
          <w:sz w:val="20"/>
          <w:szCs w:val="20"/>
          <w:lang w:val="en-GB"/>
        </w:rPr>
        <w:t xml:space="preserve">. </w:t>
      </w:r>
    </w:p>
    <w:p w:rsidR="008C4CA2" w:rsidRPr="00970B85" w:rsidRDefault="008C4CA2" w:rsidP="008C4CA2">
      <w:pPr>
        <w:pStyle w:val="Titulek"/>
        <w:keepNext/>
        <w:jc w:val="both"/>
        <w:rPr>
          <w:lang w:val="en-GB"/>
        </w:rPr>
        <w:sectPr w:rsidR="008C4CA2" w:rsidRPr="00970B85" w:rsidSect="008C4CA2">
          <w:type w:val="continuous"/>
          <w:pgSz w:w="11906" w:h="16838" w:code="9"/>
          <w:pgMar w:top="1134" w:right="1134" w:bottom="1418" w:left="1134" w:header="680" w:footer="680" w:gutter="0"/>
          <w:cols w:space="708"/>
          <w:docGrid w:linePitch="360"/>
        </w:sectPr>
      </w:pPr>
    </w:p>
    <w:p w:rsidR="008C4CA2" w:rsidRPr="00970B85" w:rsidRDefault="008C4CA2" w:rsidP="008C4CA2">
      <w:pPr>
        <w:pStyle w:val="Zkladntext"/>
        <w:spacing w:before="120" w:after="120" w:line="288" w:lineRule="auto"/>
        <w:rPr>
          <w:lang w:val="en-GB"/>
        </w:rPr>
      </w:pPr>
      <w:r w:rsidRPr="00970B85">
        <w:rPr>
          <w:noProof/>
        </w:rPr>
        <w:lastRenderedPageBreak/>
        <w:drawing>
          <wp:inline distT="0" distB="0" distL="0" distR="0" wp14:anchorId="77CF1AC1" wp14:editId="5F4249B5">
            <wp:extent cx="2988000" cy="2880000"/>
            <wp:effectExtent l="0" t="0" r="3175" b="0"/>
            <wp:docPr id="116" name="Graf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C4CA2" w:rsidRPr="00970B85" w:rsidRDefault="008C4CA2" w:rsidP="008C4CA2">
      <w:pPr>
        <w:pStyle w:val="Titulek"/>
        <w:keepNext/>
        <w:jc w:val="both"/>
        <w:rPr>
          <w:sz w:val="20"/>
          <w:szCs w:val="20"/>
          <w:lang w:val="en-GB"/>
        </w:rPr>
      </w:pPr>
      <w:r w:rsidRPr="00970B85">
        <w:rPr>
          <w:noProof/>
        </w:rPr>
        <w:drawing>
          <wp:inline distT="0" distB="0" distL="0" distR="0" wp14:anchorId="0D129EAA" wp14:editId="1E5DA78B">
            <wp:extent cx="3024000" cy="2880000"/>
            <wp:effectExtent l="0" t="0" r="5080" b="0"/>
            <wp:docPr id="117" name="Graf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C4CA2" w:rsidRPr="00970B85" w:rsidRDefault="008C4CA2" w:rsidP="008C4CA2">
      <w:pPr>
        <w:pStyle w:val="Zkladntext"/>
        <w:numPr>
          <w:ilvl w:val="0"/>
          <w:numId w:val="15"/>
        </w:numPr>
        <w:tabs>
          <w:tab w:val="clear" w:pos="360"/>
          <w:tab w:val="num" w:pos="284"/>
        </w:tabs>
        <w:spacing w:before="120" w:after="120" w:line="288" w:lineRule="auto"/>
        <w:ind w:left="284" w:hanging="284"/>
        <w:rPr>
          <w:sz w:val="20"/>
          <w:szCs w:val="20"/>
          <w:lang w:val="en-GB"/>
        </w:rPr>
        <w:sectPr w:rsidR="008C4CA2" w:rsidRPr="00970B85" w:rsidSect="008C4CA2">
          <w:type w:val="continuous"/>
          <w:pgSz w:w="11906" w:h="16838" w:code="9"/>
          <w:pgMar w:top="1134" w:right="1134" w:bottom="1418" w:left="1134" w:header="680" w:footer="680" w:gutter="0"/>
          <w:cols w:num="2" w:space="2"/>
          <w:docGrid w:linePitch="360"/>
        </w:sectPr>
      </w:pPr>
    </w:p>
    <w:p w:rsidR="008C4CA2" w:rsidRPr="005878E3"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The internet is </w:t>
      </w:r>
      <w:r>
        <w:rPr>
          <w:sz w:val="20"/>
          <w:szCs w:val="20"/>
          <w:lang w:val="en-GB"/>
        </w:rPr>
        <w:t xml:space="preserve">in the Czech Republic </w:t>
      </w:r>
      <w:r w:rsidRPr="002D4DC4">
        <w:rPr>
          <w:sz w:val="20"/>
          <w:szCs w:val="20"/>
          <w:lang w:val="en-GB"/>
        </w:rPr>
        <w:t>accessed through</w:t>
      </w:r>
      <w:r w:rsidRPr="006A180E">
        <w:rPr>
          <w:color w:val="FF0000"/>
          <w:sz w:val="20"/>
          <w:szCs w:val="20"/>
          <w:lang w:val="en-GB"/>
        </w:rPr>
        <w:t xml:space="preserve"> </w:t>
      </w:r>
      <w:r w:rsidRPr="00970B85">
        <w:rPr>
          <w:sz w:val="20"/>
          <w:szCs w:val="20"/>
          <w:lang w:val="en-GB"/>
        </w:rPr>
        <w:t xml:space="preserve">mobile phones typically </w:t>
      </w:r>
      <w:r w:rsidRPr="002E222C">
        <w:rPr>
          <w:b/>
          <w:sz w:val="20"/>
          <w:szCs w:val="20"/>
          <w:lang w:val="en-GB"/>
        </w:rPr>
        <w:t>by young people</w:t>
      </w:r>
      <w:r>
        <w:rPr>
          <w:sz w:val="20"/>
          <w:szCs w:val="20"/>
          <w:lang w:val="en-GB"/>
        </w:rPr>
        <w:t xml:space="preserve"> but recently also by middle generation. I</w:t>
      </w:r>
      <w:r w:rsidRPr="00970B85">
        <w:rPr>
          <w:sz w:val="20"/>
          <w:szCs w:val="20"/>
          <w:lang w:val="en-GB"/>
        </w:rPr>
        <w:t>n 2017 it was used this way nearly by nine out of ten persons aged 16 to 24</w:t>
      </w:r>
      <w:r>
        <w:rPr>
          <w:sz w:val="20"/>
          <w:szCs w:val="20"/>
          <w:lang w:val="en-GB"/>
        </w:rPr>
        <w:t xml:space="preserve"> but also by e.g. 71% of individuals aged 35 to 44</w:t>
      </w:r>
      <w:r w:rsidRPr="00970B85">
        <w:rPr>
          <w:sz w:val="20"/>
          <w:szCs w:val="20"/>
          <w:lang w:val="en-GB"/>
        </w:rPr>
        <w:t xml:space="preserve">. The internet is often accessed via mobile phones </w:t>
      </w:r>
      <w:r>
        <w:rPr>
          <w:sz w:val="20"/>
          <w:szCs w:val="20"/>
          <w:lang w:val="en-GB"/>
        </w:rPr>
        <w:t xml:space="preserve">also </w:t>
      </w:r>
      <w:r w:rsidRPr="00970B85">
        <w:rPr>
          <w:sz w:val="20"/>
          <w:szCs w:val="20"/>
          <w:lang w:val="en-GB"/>
        </w:rPr>
        <w:t xml:space="preserve">by </w:t>
      </w:r>
      <w:r w:rsidRPr="00830169">
        <w:rPr>
          <w:b/>
          <w:sz w:val="20"/>
          <w:szCs w:val="20"/>
          <w:lang w:val="en-GB"/>
        </w:rPr>
        <w:t>women on maternity or parental leave</w:t>
      </w:r>
      <w:r w:rsidRPr="00970B85">
        <w:rPr>
          <w:sz w:val="20"/>
          <w:szCs w:val="20"/>
          <w:lang w:val="en-GB"/>
        </w:rPr>
        <w:t xml:space="preserve"> (approx. three</w:t>
      </w:r>
      <w:r>
        <w:rPr>
          <w:sz w:val="20"/>
          <w:szCs w:val="20"/>
          <w:lang w:val="en-GB"/>
        </w:rPr>
        <w:t> </w:t>
      </w:r>
      <w:r w:rsidRPr="00970B85">
        <w:rPr>
          <w:sz w:val="20"/>
          <w:szCs w:val="20"/>
          <w:lang w:val="en-GB"/>
        </w:rPr>
        <w:t>quarters)</w:t>
      </w:r>
      <w:r>
        <w:rPr>
          <w:sz w:val="20"/>
          <w:szCs w:val="20"/>
          <w:lang w:val="en-GB"/>
        </w:rPr>
        <w:t xml:space="preserve"> or individuals with </w:t>
      </w:r>
      <w:r w:rsidRPr="00830169">
        <w:rPr>
          <w:b/>
          <w:sz w:val="20"/>
          <w:szCs w:val="20"/>
          <w:lang w:val="en-GB"/>
        </w:rPr>
        <w:t>higher level of education</w:t>
      </w:r>
      <w:r w:rsidRPr="005878E3">
        <w:rPr>
          <w:sz w:val="20"/>
          <w:szCs w:val="20"/>
          <w:lang w:val="en-GB"/>
        </w:rPr>
        <w:t xml:space="preserve">, e.g. on average 71% of individuals aged 25+ with tertiary education </w:t>
      </w:r>
      <w:r>
        <w:rPr>
          <w:sz w:val="20"/>
          <w:szCs w:val="20"/>
          <w:lang w:val="en-GB"/>
        </w:rPr>
        <w:t xml:space="preserve">claimed that were </w:t>
      </w:r>
      <w:r w:rsidRPr="005878E3">
        <w:rPr>
          <w:sz w:val="20"/>
          <w:szCs w:val="20"/>
          <w:lang w:val="en-GB"/>
        </w:rPr>
        <w:t>using internet on their mobile phone in 2017.</w:t>
      </w:r>
    </w:p>
    <w:p w:rsidR="008C4CA2" w:rsidRPr="005878E3"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5878E3">
        <w:rPr>
          <w:sz w:val="20"/>
          <w:szCs w:val="20"/>
          <w:lang w:val="en-GB"/>
        </w:rPr>
        <w:t xml:space="preserve">Even if </w:t>
      </w:r>
      <w:r w:rsidRPr="005878E3">
        <w:rPr>
          <w:b/>
          <w:sz w:val="20"/>
          <w:szCs w:val="20"/>
          <w:lang w:val="en-GB"/>
        </w:rPr>
        <w:t>internet users aged 55 to 64</w:t>
      </w:r>
      <w:r w:rsidRPr="005878E3">
        <w:rPr>
          <w:sz w:val="20"/>
          <w:szCs w:val="20"/>
          <w:lang w:val="en-GB"/>
        </w:rPr>
        <w:t xml:space="preserve"> made significantly less use of mobile devices, their proportion</w:t>
      </w:r>
      <w:r>
        <w:rPr>
          <w:sz w:val="20"/>
          <w:szCs w:val="20"/>
          <w:lang w:val="en-GB"/>
        </w:rPr>
        <w:t>,</w:t>
      </w:r>
      <w:r w:rsidRPr="005878E3">
        <w:rPr>
          <w:sz w:val="20"/>
          <w:szCs w:val="20"/>
          <w:lang w:val="en-GB"/>
        </w:rPr>
        <w:t xml:space="preserve"> however</w:t>
      </w:r>
      <w:r>
        <w:rPr>
          <w:sz w:val="20"/>
          <w:szCs w:val="20"/>
          <w:lang w:val="en-GB"/>
        </w:rPr>
        <w:t>,</w:t>
      </w:r>
      <w:r w:rsidRPr="005878E3">
        <w:rPr>
          <w:sz w:val="20"/>
          <w:szCs w:val="20"/>
          <w:lang w:val="en-GB"/>
        </w:rPr>
        <w:t xml:space="preserve"> has grown significantly in the last two years from 14 percent in 2015 to 29 percent in 2017.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Despite the fact that the number of persons who go online via a mobile phone in the Czech Republic</w:t>
      </w:r>
      <w:r w:rsidRPr="002D4DC4">
        <w:rPr>
          <w:sz w:val="20"/>
          <w:szCs w:val="20"/>
          <w:lang w:val="en-GB"/>
        </w:rPr>
        <w:t>,</w:t>
      </w:r>
      <w:r w:rsidRPr="00970B85">
        <w:rPr>
          <w:sz w:val="20"/>
          <w:szCs w:val="20"/>
          <w:lang w:val="en-GB"/>
        </w:rPr>
        <w:t xml:space="preserve"> has been increasing year by year, compared to the values of the majority of the </w:t>
      </w:r>
      <w:r>
        <w:rPr>
          <w:b/>
          <w:sz w:val="20"/>
          <w:szCs w:val="20"/>
          <w:lang w:val="en-GB"/>
        </w:rPr>
        <w:t>EU</w:t>
      </w:r>
      <w:r w:rsidRPr="00970B85">
        <w:rPr>
          <w:b/>
          <w:sz w:val="20"/>
          <w:szCs w:val="20"/>
          <w:lang w:val="en-GB"/>
        </w:rPr>
        <w:t>28 countries</w:t>
      </w:r>
      <w:r w:rsidRPr="00970B85">
        <w:rPr>
          <w:sz w:val="20"/>
          <w:szCs w:val="20"/>
          <w:lang w:val="en-GB"/>
        </w:rPr>
        <w:t>, the internet</w:t>
      </w:r>
      <w:r w:rsidRPr="00970B85">
        <w:rPr>
          <w:b/>
          <w:sz w:val="20"/>
          <w:szCs w:val="20"/>
          <w:lang w:val="en-GB"/>
        </w:rPr>
        <w:t xml:space="preserve"> </w:t>
      </w:r>
      <w:r w:rsidRPr="00970B85">
        <w:rPr>
          <w:sz w:val="20"/>
          <w:szCs w:val="20"/>
          <w:lang w:val="en-GB"/>
        </w:rPr>
        <w:t>is not</w:t>
      </w:r>
      <w:r w:rsidRPr="00970B85">
        <w:rPr>
          <w:b/>
          <w:sz w:val="20"/>
          <w:szCs w:val="20"/>
          <w:lang w:val="en-GB"/>
        </w:rPr>
        <w:t xml:space="preserve"> </w:t>
      </w:r>
      <w:r w:rsidRPr="00970B85">
        <w:rPr>
          <w:sz w:val="20"/>
          <w:szCs w:val="20"/>
          <w:lang w:val="en-GB"/>
        </w:rPr>
        <w:t>used by means of mobile phones very much. In 2017, the internet was accessed by mobile phones in the Czech Republic by 55% of persons aged 16–74</w:t>
      </w:r>
      <w:r w:rsidRPr="002D4DC4">
        <w:rPr>
          <w:sz w:val="20"/>
          <w:szCs w:val="20"/>
          <w:lang w:val="en-GB"/>
        </w:rPr>
        <w:t>;</w:t>
      </w:r>
      <w:r w:rsidRPr="00970B85">
        <w:rPr>
          <w:sz w:val="20"/>
          <w:szCs w:val="20"/>
          <w:lang w:val="en-GB"/>
        </w:rPr>
        <w:t xml:space="preserve"> the EU28 average was higher by 8</w:t>
      </w:r>
      <w:r>
        <w:rPr>
          <w:sz w:val="20"/>
          <w:szCs w:val="20"/>
          <w:lang w:val="en-GB"/>
        </w:rPr>
        <w:t xml:space="preserve"> p.p.</w:t>
      </w:r>
    </w:p>
    <w:p w:rsidR="008C4CA2" w:rsidRPr="00970B85" w:rsidRDefault="008C4CA2" w:rsidP="008C4CA2">
      <w:pPr>
        <w:pStyle w:val="Zkladntext"/>
        <w:spacing w:before="120" w:after="120" w:line="288" w:lineRule="auto"/>
        <w:rPr>
          <w:sz w:val="20"/>
          <w:szCs w:val="20"/>
          <w:lang w:val="en-GB"/>
        </w:rPr>
      </w:pPr>
      <w:r w:rsidRPr="00970B85">
        <w:rPr>
          <w:noProof/>
        </w:rPr>
        <w:drawing>
          <wp:inline distT="0" distB="0" distL="0" distR="0" wp14:anchorId="09F1336D" wp14:editId="054E8B5B">
            <wp:extent cx="6012000" cy="3600000"/>
            <wp:effectExtent l="0" t="0" r="0" b="0"/>
            <wp:docPr id="118" name="Graf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lastRenderedPageBreak/>
        <w:t xml:space="preserve">The highest percentage of persons using the internet via mobile phones can be found in Sweden and in the Netherlands – 84% in 2017. Apart from Italy and Poland, the internet via a mobile phone is used less frequently </w:t>
      </w:r>
      <w:r>
        <w:rPr>
          <w:sz w:val="20"/>
          <w:szCs w:val="20"/>
          <w:lang w:val="en-GB"/>
        </w:rPr>
        <w:t xml:space="preserve">also </w:t>
      </w:r>
      <w:r w:rsidRPr="00970B85">
        <w:rPr>
          <w:sz w:val="20"/>
          <w:szCs w:val="20"/>
          <w:lang w:val="en-GB"/>
        </w:rPr>
        <w:t xml:space="preserve">in Croatia </w:t>
      </w:r>
      <w:r>
        <w:rPr>
          <w:sz w:val="20"/>
          <w:szCs w:val="20"/>
          <w:lang w:val="en-GB"/>
        </w:rPr>
        <w:t>and Greece.</w:t>
      </w:r>
      <w:r w:rsidRPr="00970B85">
        <w:rPr>
          <w:sz w:val="20"/>
          <w:szCs w:val="20"/>
          <w:lang w:val="en-GB"/>
        </w:rPr>
        <w:t xml:space="preserve"> In the Czech Republic only people younger than 34, university graduates or women on maternity/parental leave</w:t>
      </w:r>
      <w:r w:rsidRPr="002D4DC4">
        <w:rPr>
          <w:sz w:val="20"/>
          <w:szCs w:val="20"/>
          <w:lang w:val="en-GB"/>
        </w:rPr>
        <w:t>,</w:t>
      </w:r>
      <w:r w:rsidRPr="00970B85">
        <w:rPr>
          <w:sz w:val="20"/>
          <w:szCs w:val="20"/>
          <w:lang w:val="en-GB"/>
        </w:rPr>
        <w:t xml:space="preserve"> reach the EU average</w:t>
      </w:r>
      <w:r w:rsidRPr="002D4DC4">
        <w:rPr>
          <w:sz w:val="20"/>
          <w:szCs w:val="20"/>
          <w:lang w:val="en-GB"/>
        </w:rPr>
        <w:t>,</w:t>
      </w:r>
      <w:r w:rsidRPr="00970B85">
        <w:rPr>
          <w:sz w:val="20"/>
          <w:szCs w:val="20"/>
          <w:lang w:val="en-GB"/>
        </w:rPr>
        <w:t xml:space="preserve"> with respect to the use of </w:t>
      </w:r>
      <w:r w:rsidRPr="002D4DC4">
        <w:rPr>
          <w:sz w:val="20"/>
          <w:szCs w:val="20"/>
          <w:lang w:val="en-GB"/>
        </w:rPr>
        <w:t>the</w:t>
      </w:r>
      <w:r w:rsidRPr="00B83018">
        <w:rPr>
          <w:color w:val="FF0000"/>
          <w:sz w:val="20"/>
          <w:szCs w:val="20"/>
          <w:lang w:val="en-GB"/>
        </w:rPr>
        <w:t xml:space="preserve"> </w:t>
      </w:r>
      <w:r w:rsidRPr="00970B85">
        <w:rPr>
          <w:sz w:val="20"/>
          <w:szCs w:val="20"/>
          <w:lang w:val="en-GB"/>
        </w:rPr>
        <w:t>internet via a mobile phone.</w:t>
      </w:r>
    </w:p>
    <w:p w:rsidR="008C4CA2" w:rsidRPr="00970B85" w:rsidRDefault="008C4CA2" w:rsidP="008C4CA2">
      <w:pPr>
        <w:pStyle w:val="Nadpis3"/>
      </w:pPr>
      <w:bookmarkStart w:id="77" w:name="_Toc533697507"/>
      <w:bookmarkStart w:id="78" w:name="_Toc534712006"/>
      <w:r>
        <w:t>Type of connection used by m</w:t>
      </w:r>
      <w:r w:rsidRPr="00284620">
        <w:t xml:space="preserve">obile </w:t>
      </w:r>
      <w:r>
        <w:t>phone internet users</w:t>
      </w:r>
      <w:bookmarkEnd w:id="77"/>
      <w:bookmarkEnd w:id="78"/>
    </w:p>
    <w:p w:rsidR="008C4CA2" w:rsidRPr="005F087D" w:rsidRDefault="008C4CA2" w:rsidP="008C4CA2">
      <w:pPr>
        <w:pStyle w:val="Zkladntext"/>
        <w:spacing w:before="0" w:after="80" w:line="264" w:lineRule="auto"/>
        <w:rPr>
          <w:i/>
          <w:sz w:val="20"/>
          <w:lang w:val="en-GB"/>
        </w:rPr>
      </w:pPr>
      <w:r w:rsidRPr="005F087D">
        <w:rPr>
          <w:i/>
          <w:sz w:val="20"/>
          <w:lang w:val="en-GB"/>
        </w:rPr>
        <w:t xml:space="preserve">The wider distribution of wireless internet connection via Wi-Fi technology in public places, such as libraries, restaurants, trains, etc., which is usually provided free of charge, as well as the aforementioned wider distribution of Wi-Fi routers for the distribution of internet in households, has been used by more and more individuals in the Czech Republic for internet access via mobile phones.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5F087D">
        <w:rPr>
          <w:b/>
          <w:sz w:val="20"/>
          <w:szCs w:val="20"/>
          <w:lang w:val="en-GB"/>
        </w:rPr>
        <w:t>Free wireless internet connection (Wi-Fi)</w:t>
      </w:r>
      <w:r w:rsidRPr="00970B85">
        <w:rPr>
          <w:b/>
          <w:sz w:val="20"/>
          <w:szCs w:val="20"/>
          <w:lang w:val="en-GB"/>
        </w:rPr>
        <w:t xml:space="preserve"> </w:t>
      </w:r>
      <w:r w:rsidRPr="00970B85">
        <w:rPr>
          <w:sz w:val="20"/>
          <w:szCs w:val="20"/>
          <w:lang w:val="en-GB"/>
        </w:rPr>
        <w:t xml:space="preserve">via a mobile phone (whether at home or elsewhere) was </w:t>
      </w:r>
      <w:r w:rsidRPr="002D4DC4">
        <w:rPr>
          <w:sz w:val="20"/>
          <w:szCs w:val="20"/>
          <w:lang w:val="en-GB"/>
        </w:rPr>
        <w:t xml:space="preserve">used at least once in 2017 by four </w:t>
      </w:r>
      <w:r w:rsidRPr="00970B85">
        <w:rPr>
          <w:sz w:val="20"/>
          <w:szCs w:val="20"/>
          <w:lang w:val="en-GB"/>
        </w:rPr>
        <w:t>million (46%) persons over the age of 16, i.e. 92% of those who use the internet on their mobile phones.</w:t>
      </w:r>
    </w:p>
    <w:p w:rsidR="008C4CA2" w:rsidRPr="00970B85" w:rsidRDefault="008C4CA2" w:rsidP="008C4CA2">
      <w:pPr>
        <w:pStyle w:val="Zkladntext"/>
        <w:spacing w:before="0" w:line="288" w:lineRule="auto"/>
        <w:rPr>
          <w:lang w:val="en-GB"/>
        </w:rPr>
      </w:pPr>
      <w:r w:rsidRPr="00970B85">
        <w:rPr>
          <w:noProof/>
        </w:rPr>
        <w:drawing>
          <wp:inline distT="0" distB="0" distL="0" distR="0" wp14:anchorId="3144E2B9" wp14:editId="3ABAA3AE">
            <wp:extent cx="2916000" cy="3060000"/>
            <wp:effectExtent l="0" t="0" r="0" b="7620"/>
            <wp:docPr id="119" name="Graf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970B85">
        <w:rPr>
          <w:noProof/>
        </w:rPr>
        <w:drawing>
          <wp:inline distT="0" distB="0" distL="0" distR="0" wp14:anchorId="25262733" wp14:editId="43BA92F7">
            <wp:extent cx="3204000" cy="3060000"/>
            <wp:effectExtent l="0" t="0" r="0" b="7620"/>
            <wp:docPr id="120" name="Graf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In 201</w:t>
      </w:r>
      <w:r>
        <w:rPr>
          <w:sz w:val="20"/>
          <w:szCs w:val="20"/>
          <w:lang w:val="en-GB"/>
        </w:rPr>
        <w:t>7</w:t>
      </w:r>
      <w:r w:rsidRPr="00970B85">
        <w:rPr>
          <w:sz w:val="20"/>
          <w:szCs w:val="20"/>
          <w:lang w:val="en-GB"/>
        </w:rPr>
        <w:t>, the</w:t>
      </w:r>
      <w:r>
        <w:rPr>
          <w:sz w:val="20"/>
          <w:szCs w:val="20"/>
          <w:lang w:val="en-GB"/>
        </w:rPr>
        <w:t xml:space="preserve"> 28% of mobile phone internet users aged 16+ were using only </w:t>
      </w:r>
      <w:r w:rsidRPr="00970B85">
        <w:rPr>
          <w:b/>
          <w:sz w:val="20"/>
          <w:szCs w:val="20"/>
          <w:lang w:val="en-GB"/>
        </w:rPr>
        <w:t>free wireless</w:t>
      </w:r>
      <w:r>
        <w:rPr>
          <w:b/>
          <w:sz w:val="20"/>
          <w:szCs w:val="20"/>
          <w:lang w:val="en-GB"/>
        </w:rPr>
        <w:t xml:space="preserve"> network</w:t>
      </w:r>
      <w:r w:rsidRPr="00970B85">
        <w:rPr>
          <w:b/>
          <w:sz w:val="20"/>
          <w:szCs w:val="20"/>
          <w:lang w:val="en-GB"/>
        </w:rPr>
        <w:t xml:space="preserve"> </w:t>
      </w:r>
      <w:r>
        <w:rPr>
          <w:b/>
          <w:sz w:val="20"/>
          <w:szCs w:val="20"/>
          <w:lang w:val="en-GB"/>
        </w:rPr>
        <w:t>(</w:t>
      </w:r>
      <w:r w:rsidRPr="00970B85">
        <w:rPr>
          <w:b/>
          <w:sz w:val="20"/>
          <w:szCs w:val="20"/>
          <w:lang w:val="en-GB"/>
        </w:rPr>
        <w:t>Wi-Fi</w:t>
      </w:r>
      <w:r>
        <w:rPr>
          <w:b/>
          <w:sz w:val="20"/>
          <w:szCs w:val="20"/>
          <w:lang w:val="en-GB"/>
        </w:rPr>
        <w:t>)</w:t>
      </w:r>
      <w:r w:rsidRPr="00970B85">
        <w:rPr>
          <w:sz w:val="20"/>
          <w:szCs w:val="20"/>
          <w:lang w:val="en-GB"/>
        </w:rPr>
        <w:t xml:space="preserve"> </w:t>
      </w:r>
      <w:r>
        <w:rPr>
          <w:sz w:val="20"/>
          <w:szCs w:val="20"/>
          <w:lang w:val="en-GB"/>
        </w:rPr>
        <w:t xml:space="preserve">for accessing </w:t>
      </w:r>
      <w:r w:rsidRPr="00970B85">
        <w:rPr>
          <w:sz w:val="20"/>
          <w:szCs w:val="20"/>
          <w:lang w:val="en-GB"/>
        </w:rPr>
        <w:t>internet on their mobile phones</w:t>
      </w:r>
      <w:r>
        <w:rPr>
          <w:sz w:val="20"/>
          <w:szCs w:val="20"/>
          <w:lang w:val="en-GB"/>
        </w:rPr>
        <w:t>, in the Czech Republic</w:t>
      </w:r>
      <w:r w:rsidRPr="00970B85">
        <w:rPr>
          <w:sz w:val="20"/>
          <w:szCs w:val="20"/>
          <w:lang w:val="en-GB"/>
        </w:rPr>
        <w:t xml:space="preserve">. When women use the internet on their mobile phones, they </w:t>
      </w:r>
      <w:r w:rsidRPr="002D4DC4">
        <w:rPr>
          <w:sz w:val="20"/>
          <w:szCs w:val="20"/>
          <w:lang w:val="en-GB"/>
        </w:rPr>
        <w:t xml:space="preserve">tend to use it as a </w:t>
      </w:r>
      <w:r>
        <w:rPr>
          <w:sz w:val="20"/>
          <w:szCs w:val="20"/>
          <w:lang w:val="en-GB"/>
        </w:rPr>
        <w:t>means</w:t>
      </w:r>
      <w:r w:rsidRPr="00970B85">
        <w:rPr>
          <w:sz w:val="20"/>
          <w:szCs w:val="20"/>
          <w:lang w:val="en-GB"/>
        </w:rPr>
        <w:t xml:space="preserve"> of connection more frequently than men.</w:t>
      </w:r>
    </w:p>
    <w:p w:rsidR="008C4CA2" w:rsidRPr="00160AFA"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160AFA">
        <w:rPr>
          <w:sz w:val="20"/>
          <w:szCs w:val="20"/>
          <w:lang w:val="en-GB"/>
        </w:rPr>
        <w:t xml:space="preserve">Mobile-phone internet users can also go online by means of </w:t>
      </w:r>
      <w:r w:rsidRPr="00160AFA">
        <w:rPr>
          <w:b/>
          <w:sz w:val="20"/>
          <w:szCs w:val="20"/>
          <w:lang w:val="en-GB"/>
        </w:rPr>
        <w:t>paid data from mobile phone operators</w:t>
      </w:r>
      <w:r w:rsidRPr="00160AFA">
        <w:rPr>
          <w:sz w:val="20"/>
          <w:szCs w:val="20"/>
          <w:lang w:val="en-GB"/>
        </w:rPr>
        <w:t>. This provides the possibility of connection from any place covered by the signal. In 2017, 36% of persons over the age of 16 (72% of which</w:t>
      </w:r>
      <w:r w:rsidRPr="00160AFA">
        <w:rPr>
          <w:color w:val="FF0000"/>
          <w:sz w:val="20"/>
          <w:szCs w:val="20"/>
          <w:lang w:val="en-GB"/>
        </w:rPr>
        <w:t xml:space="preserve"> </w:t>
      </w:r>
      <w:r w:rsidRPr="00160AFA">
        <w:rPr>
          <w:sz w:val="20"/>
          <w:szCs w:val="20"/>
          <w:lang w:val="en-GB"/>
        </w:rPr>
        <w:t xml:space="preserve">access the internet on their mobile phones) claimed to be using a data tariff to access the internet within their mobile network operators. </w:t>
      </w:r>
      <w:r>
        <w:rPr>
          <w:sz w:val="20"/>
          <w:szCs w:val="20"/>
          <w:lang w:val="en-GB"/>
        </w:rPr>
        <w:t>D</w:t>
      </w:r>
      <w:r w:rsidRPr="00160AFA">
        <w:rPr>
          <w:sz w:val="20"/>
          <w:szCs w:val="20"/>
          <w:lang w:val="en-GB"/>
        </w:rPr>
        <w:t>ue to the decreasing prices of data tariffs provided by mobile phone operators, the number of mobile phone users, who get online via these networks, has been increasing year by year. In the past 5 years, this number has increased nearly five times in the Czech Republic.</w:t>
      </w:r>
    </w:p>
    <w:p w:rsidR="008C4CA2" w:rsidRPr="00970B85" w:rsidRDefault="008C4CA2" w:rsidP="008C4CA2">
      <w:pPr>
        <w:pStyle w:val="Nadpis3"/>
      </w:pPr>
      <w:bookmarkStart w:id="79" w:name="_Toc533697508"/>
      <w:bookmarkStart w:id="80" w:name="_Toc534712007"/>
      <w:r>
        <w:t>Use of the internet on portable computers away from home</w:t>
      </w:r>
      <w:bookmarkEnd w:id="79"/>
      <w:bookmarkEnd w:id="80"/>
    </w:p>
    <w:p w:rsidR="008C4CA2" w:rsidRPr="005F087D" w:rsidRDefault="008C4CA2" w:rsidP="008C4CA2">
      <w:pPr>
        <w:pStyle w:val="Zkladntext"/>
        <w:spacing w:before="0" w:after="80" w:line="264" w:lineRule="auto"/>
        <w:rPr>
          <w:i/>
          <w:sz w:val="20"/>
          <w:lang w:val="en-GB"/>
        </w:rPr>
      </w:pPr>
      <w:r w:rsidRPr="005F087D">
        <w:rPr>
          <w:i/>
          <w:sz w:val="20"/>
          <w:lang w:val="en-GB"/>
        </w:rPr>
        <w:t xml:space="preserve">Whereas at times when the internet was a novelty, and could solely be accessed through a desktop computer, nowadays there is a wide range of other devices, that enable internet access, and the range is still expanding.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With respect to portable computers, their users in the Czech Republic </w:t>
      </w:r>
      <w:r w:rsidRPr="00732718">
        <w:rPr>
          <w:sz w:val="20"/>
          <w:szCs w:val="20"/>
          <w:lang w:val="en-GB"/>
        </w:rPr>
        <w:t xml:space="preserve">get </w:t>
      </w:r>
      <w:r w:rsidRPr="00970B85">
        <w:rPr>
          <w:sz w:val="20"/>
          <w:szCs w:val="20"/>
          <w:lang w:val="en-GB"/>
        </w:rPr>
        <w:t xml:space="preserve">online mainly by means of </w:t>
      </w:r>
      <w:r w:rsidRPr="00970B85">
        <w:rPr>
          <w:b/>
          <w:sz w:val="20"/>
          <w:szCs w:val="20"/>
          <w:lang w:val="en-GB"/>
        </w:rPr>
        <w:t>laptops</w:t>
      </w:r>
      <w:r w:rsidRPr="00970B85">
        <w:rPr>
          <w:sz w:val="20"/>
          <w:szCs w:val="20"/>
          <w:lang w:val="en-GB"/>
        </w:rPr>
        <w:t xml:space="preserve"> (52% of the total number of inhabitants over the age of 16). In the same year, the internet was accessed via </w:t>
      </w:r>
      <w:r w:rsidRPr="00970B85">
        <w:rPr>
          <w:b/>
          <w:sz w:val="20"/>
          <w:szCs w:val="20"/>
          <w:lang w:val="en-GB"/>
        </w:rPr>
        <w:t>tablets</w:t>
      </w:r>
      <w:r w:rsidRPr="00970B85">
        <w:rPr>
          <w:sz w:val="20"/>
          <w:szCs w:val="20"/>
          <w:lang w:val="en-GB"/>
        </w:rPr>
        <w:t xml:space="preserve"> by 17% of persons over the age of 16. The usage of all these portable devices</w:t>
      </w:r>
      <w:r w:rsidRPr="00732718">
        <w:rPr>
          <w:sz w:val="20"/>
          <w:szCs w:val="20"/>
          <w:lang w:val="en-GB"/>
        </w:rPr>
        <w:t xml:space="preserve"> with the intention of going </w:t>
      </w:r>
      <w:r w:rsidRPr="00970B85">
        <w:rPr>
          <w:sz w:val="20"/>
          <w:szCs w:val="20"/>
          <w:lang w:val="en-GB"/>
        </w:rPr>
        <w:t xml:space="preserve">online is on the upward trend.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lastRenderedPageBreak/>
        <w:t>Provided that a household has internet access</w:t>
      </w:r>
      <w:r w:rsidRPr="008A7576">
        <w:rPr>
          <w:sz w:val="20"/>
          <w:szCs w:val="20"/>
          <w:lang w:val="en-GB"/>
        </w:rPr>
        <w:t>,</w:t>
      </w:r>
      <w:r w:rsidRPr="00970B85">
        <w:rPr>
          <w:sz w:val="20"/>
          <w:szCs w:val="20"/>
          <w:lang w:val="en-GB"/>
        </w:rPr>
        <w:t xml:space="preserve"> and its own laptop or tablet, we may assume that someone from the given family also uses this laptop or tablet in order to get online. Nevertheless, certainly not everyone uses the </w:t>
      </w:r>
      <w:r w:rsidRPr="00970B85">
        <w:rPr>
          <w:b/>
          <w:sz w:val="20"/>
          <w:szCs w:val="20"/>
          <w:lang w:val="en-GB"/>
        </w:rPr>
        <w:t xml:space="preserve">mobile function </w:t>
      </w:r>
      <w:r w:rsidRPr="00970B85">
        <w:rPr>
          <w:sz w:val="20"/>
          <w:szCs w:val="20"/>
          <w:lang w:val="en-GB"/>
        </w:rPr>
        <w:t>of his or her portable device – someone prefers to leave the laptop on the table at home or at work</w:t>
      </w:r>
      <w:r w:rsidRPr="00732718">
        <w:rPr>
          <w:sz w:val="20"/>
          <w:szCs w:val="20"/>
          <w:lang w:val="en-GB"/>
        </w:rPr>
        <w:t xml:space="preserve">, </w:t>
      </w:r>
      <w:r w:rsidRPr="00970B85">
        <w:rPr>
          <w:sz w:val="20"/>
          <w:szCs w:val="20"/>
          <w:lang w:val="en-GB"/>
        </w:rPr>
        <w:t xml:space="preserve">and tablets often serve only as entertainment for children. </w:t>
      </w:r>
    </w:p>
    <w:p w:rsidR="008C4CA2" w:rsidRPr="00160AFA"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There is also a large group of </w:t>
      </w:r>
      <w:r w:rsidRPr="00AA2B2C">
        <w:rPr>
          <w:sz w:val="20"/>
          <w:szCs w:val="20"/>
          <w:lang w:val="en-GB"/>
        </w:rPr>
        <w:t>people, who do not use laptops or tablets as a replacement of the desktop computer or to be carried within their flats</w:t>
      </w:r>
      <w:r w:rsidRPr="00970B85">
        <w:rPr>
          <w:sz w:val="20"/>
          <w:szCs w:val="20"/>
          <w:lang w:val="en-GB"/>
        </w:rPr>
        <w:t xml:space="preserve">; these persons purchase these devices in order to be able to carry them outside their home or office. In 2017, almost 30% of individuals in the Czech Republic claimed to have used </w:t>
      </w:r>
      <w:r w:rsidRPr="00AA2B2C">
        <w:rPr>
          <w:b/>
          <w:sz w:val="20"/>
          <w:szCs w:val="20"/>
          <w:lang w:val="en-GB"/>
        </w:rPr>
        <w:t>their laptops or tablets outside their home or office</w:t>
      </w:r>
      <w:r w:rsidRPr="00970B85">
        <w:rPr>
          <w:sz w:val="20"/>
          <w:szCs w:val="20"/>
          <w:lang w:val="en-GB"/>
        </w:rPr>
        <w:t xml:space="preserve"> (e.g. in a café, on a train or in a hotel) and </w:t>
      </w:r>
      <w:r>
        <w:rPr>
          <w:sz w:val="20"/>
          <w:szCs w:val="20"/>
          <w:lang w:val="en-GB"/>
        </w:rPr>
        <w:t>gotten</w:t>
      </w:r>
      <w:r w:rsidRPr="00271816">
        <w:rPr>
          <w:sz w:val="20"/>
          <w:szCs w:val="20"/>
          <w:lang w:val="en-GB"/>
        </w:rPr>
        <w:t xml:space="preserve"> </w:t>
      </w:r>
      <w:r w:rsidRPr="00970B85">
        <w:rPr>
          <w:sz w:val="20"/>
          <w:szCs w:val="20"/>
          <w:lang w:val="en-GB"/>
        </w:rPr>
        <w:t>connected to the internet from there – five years ago it was only 12% of individuals.</w:t>
      </w:r>
    </w:p>
    <w:p w:rsidR="008C4CA2" w:rsidRPr="005F087D" w:rsidRDefault="008C4CA2" w:rsidP="008C4CA2">
      <w:pPr>
        <w:sectPr w:rsidR="008C4CA2" w:rsidRPr="005F087D" w:rsidSect="007B46EA">
          <w:type w:val="continuous"/>
          <w:pgSz w:w="11906" w:h="16838" w:code="9"/>
          <w:pgMar w:top="1134" w:right="1134" w:bottom="1418" w:left="1134" w:header="680" w:footer="680" w:gutter="0"/>
          <w:cols w:space="708"/>
          <w:docGrid w:linePitch="360"/>
        </w:sectPr>
      </w:pPr>
    </w:p>
    <w:p w:rsidR="008C4CA2" w:rsidRPr="00970B85" w:rsidRDefault="008C4CA2" w:rsidP="008C4CA2">
      <w:pPr>
        <w:pStyle w:val="Titulek"/>
        <w:widowControl w:val="0"/>
        <w:spacing w:after="0"/>
        <w:jc w:val="both"/>
        <w:rPr>
          <w:color w:val="FFFFFF" w:themeColor="background1"/>
          <w:sz w:val="4"/>
          <w:szCs w:val="4"/>
          <w:lang w:val="en-GB"/>
        </w:rPr>
      </w:pPr>
      <w:bookmarkStart w:id="81" w:name="_Toc533151837"/>
      <w:r w:rsidRPr="00970B85">
        <w:rPr>
          <w:color w:val="FFFFFF" w:themeColor="background1"/>
          <w:sz w:val="4"/>
          <w:szCs w:val="4"/>
          <w:lang w:val="en-GB"/>
        </w:rPr>
        <w:t xml:space="preserve">Figure C </w:t>
      </w:r>
      <w:r w:rsidRPr="00970B85">
        <w:rPr>
          <w:color w:val="FFFFFF" w:themeColor="background1"/>
          <w:sz w:val="4"/>
          <w:szCs w:val="4"/>
          <w:lang w:val="en-GB"/>
        </w:rPr>
        <w:fldChar w:fldCharType="begin"/>
      </w:r>
      <w:r w:rsidRPr="00970B85">
        <w:rPr>
          <w:color w:val="FFFFFF" w:themeColor="background1"/>
          <w:sz w:val="4"/>
          <w:szCs w:val="4"/>
          <w:lang w:val="en-GB"/>
        </w:rPr>
        <w:instrText xml:space="preserve"> SEQ Figure_C \* ARABIC </w:instrText>
      </w:r>
      <w:r w:rsidRPr="00970B85">
        <w:rPr>
          <w:color w:val="FFFFFF" w:themeColor="background1"/>
          <w:sz w:val="4"/>
          <w:szCs w:val="4"/>
          <w:lang w:val="en-GB"/>
        </w:rPr>
        <w:fldChar w:fldCharType="separate"/>
      </w:r>
      <w:r w:rsidR="00EE7DB4">
        <w:rPr>
          <w:noProof/>
          <w:color w:val="FFFFFF" w:themeColor="background1"/>
          <w:sz w:val="4"/>
          <w:szCs w:val="4"/>
          <w:lang w:val="en-GB"/>
        </w:rPr>
        <w:t>1</w:t>
      </w:r>
      <w:r w:rsidRPr="00970B85">
        <w:rPr>
          <w:color w:val="FFFFFF" w:themeColor="background1"/>
          <w:sz w:val="4"/>
          <w:szCs w:val="4"/>
          <w:lang w:val="en-GB"/>
        </w:rPr>
        <w:fldChar w:fldCharType="end"/>
      </w:r>
      <w:r w:rsidRPr="00970B85">
        <w:rPr>
          <w:color w:val="FFFFFF" w:themeColor="background1"/>
          <w:sz w:val="4"/>
          <w:szCs w:val="4"/>
          <w:lang w:val="en-GB"/>
        </w:rPr>
        <w:t xml:space="preserve"> Individuals in the Czech Republic aged 16+ using the internet on a portable computer away from home or work</w:t>
      </w:r>
      <w:bookmarkEnd w:id="81"/>
    </w:p>
    <w:p w:rsidR="008C4CA2" w:rsidRPr="00970B85" w:rsidRDefault="008C4CA2" w:rsidP="008C4CA2">
      <w:pPr>
        <w:pStyle w:val="Zkladntext"/>
        <w:widowControl w:val="0"/>
        <w:spacing w:before="0" w:after="120" w:line="288" w:lineRule="auto"/>
        <w:rPr>
          <w:lang w:val="en-GB"/>
        </w:rPr>
      </w:pPr>
      <w:r w:rsidRPr="00970B85">
        <w:rPr>
          <w:noProof/>
        </w:rPr>
        <w:drawing>
          <wp:inline distT="0" distB="0" distL="0" distR="0" wp14:anchorId="67A4D37D" wp14:editId="3952405F">
            <wp:extent cx="3060000" cy="2880000"/>
            <wp:effectExtent l="0" t="0" r="7620" b="0"/>
            <wp:docPr id="121" name="Graf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970B85">
        <w:rPr>
          <w:lang w:val="en-GB"/>
        </w:rPr>
        <w:t xml:space="preserve"> </w:t>
      </w:r>
    </w:p>
    <w:p w:rsidR="008C4CA2" w:rsidRPr="00970B85" w:rsidRDefault="008C4CA2" w:rsidP="008C4CA2">
      <w:pPr>
        <w:pStyle w:val="Titulek"/>
        <w:widowControl w:val="0"/>
        <w:spacing w:after="0"/>
        <w:jc w:val="both"/>
        <w:rPr>
          <w:color w:val="FFFFFF" w:themeColor="background1"/>
          <w:sz w:val="4"/>
          <w:szCs w:val="4"/>
          <w:lang w:val="en-GB"/>
        </w:rPr>
      </w:pPr>
      <w:bookmarkStart w:id="82" w:name="_Toc533151838"/>
      <w:r w:rsidRPr="00970B85">
        <w:rPr>
          <w:color w:val="FFFFFF" w:themeColor="background1"/>
          <w:sz w:val="4"/>
          <w:szCs w:val="4"/>
          <w:lang w:val="en-GB"/>
        </w:rPr>
        <w:t>Figure C</w:t>
      </w:r>
      <w:r w:rsidRPr="00970B85">
        <w:rPr>
          <w:color w:val="FFFFFF" w:themeColor="background1"/>
          <w:sz w:val="4"/>
          <w:szCs w:val="4"/>
          <w:lang w:val="en-GB"/>
        </w:rPr>
        <w:fldChar w:fldCharType="begin"/>
      </w:r>
      <w:r w:rsidRPr="00970B85">
        <w:rPr>
          <w:color w:val="FFFFFF" w:themeColor="background1"/>
          <w:sz w:val="4"/>
          <w:szCs w:val="4"/>
          <w:lang w:val="en-GB"/>
        </w:rPr>
        <w:instrText xml:space="preserve"> SEQ Figure_C \* ARABIC </w:instrText>
      </w:r>
      <w:r w:rsidRPr="00970B85">
        <w:rPr>
          <w:color w:val="FFFFFF" w:themeColor="background1"/>
          <w:sz w:val="4"/>
          <w:szCs w:val="4"/>
          <w:lang w:val="en-GB"/>
        </w:rPr>
        <w:fldChar w:fldCharType="separate"/>
      </w:r>
      <w:r w:rsidR="00EE7DB4">
        <w:rPr>
          <w:noProof/>
          <w:color w:val="FFFFFF" w:themeColor="background1"/>
          <w:sz w:val="4"/>
          <w:szCs w:val="4"/>
          <w:lang w:val="en-GB"/>
        </w:rPr>
        <w:t>2</w:t>
      </w:r>
      <w:r w:rsidRPr="00970B85">
        <w:rPr>
          <w:color w:val="FFFFFF" w:themeColor="background1"/>
          <w:sz w:val="4"/>
          <w:szCs w:val="4"/>
          <w:lang w:val="en-GB"/>
        </w:rPr>
        <w:fldChar w:fldCharType="end"/>
      </w:r>
      <w:r w:rsidRPr="00970B85">
        <w:rPr>
          <w:color w:val="FFFFFF" w:themeColor="background1"/>
          <w:sz w:val="4"/>
          <w:szCs w:val="4"/>
          <w:lang w:val="en-GB"/>
        </w:rPr>
        <w:t xml:space="preserve"> Individuals in the Czech Republic using the internet on tablet computer</w:t>
      </w:r>
      <w:bookmarkEnd w:id="82"/>
    </w:p>
    <w:p w:rsidR="008C4CA2" w:rsidRPr="00970B85" w:rsidRDefault="008C4CA2" w:rsidP="008C4CA2">
      <w:pPr>
        <w:pStyle w:val="Zkladntext"/>
        <w:widowControl w:val="0"/>
        <w:spacing w:before="0" w:after="120" w:line="288" w:lineRule="auto"/>
        <w:rPr>
          <w:sz w:val="20"/>
          <w:szCs w:val="20"/>
          <w:lang w:val="en-GB"/>
        </w:rPr>
      </w:pPr>
      <w:r w:rsidRPr="00970B85">
        <w:rPr>
          <w:noProof/>
        </w:rPr>
        <w:drawing>
          <wp:inline distT="0" distB="0" distL="0" distR="0" wp14:anchorId="237C4DD0" wp14:editId="72C1DB1C">
            <wp:extent cx="3024000" cy="2880000"/>
            <wp:effectExtent l="0" t="0" r="5080" b="0"/>
            <wp:docPr id="122" name="Graf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C4CA2" w:rsidRPr="00970B85" w:rsidRDefault="008C4CA2" w:rsidP="008C4CA2">
      <w:pPr>
        <w:pStyle w:val="Zkladntext"/>
        <w:widowControl w:val="0"/>
        <w:numPr>
          <w:ilvl w:val="0"/>
          <w:numId w:val="15"/>
        </w:numPr>
        <w:tabs>
          <w:tab w:val="clear" w:pos="360"/>
          <w:tab w:val="num" w:pos="284"/>
        </w:tabs>
        <w:spacing w:before="0" w:after="120" w:line="288" w:lineRule="auto"/>
        <w:ind w:left="284" w:hanging="284"/>
        <w:rPr>
          <w:sz w:val="20"/>
          <w:szCs w:val="20"/>
          <w:lang w:val="en-GB"/>
        </w:rPr>
        <w:sectPr w:rsidR="008C4CA2" w:rsidRPr="00970B85" w:rsidSect="008C4CA2">
          <w:type w:val="continuous"/>
          <w:pgSz w:w="11906" w:h="16838" w:code="9"/>
          <w:pgMar w:top="1134" w:right="1134" w:bottom="1418" w:left="1134" w:header="680" w:footer="680" w:gutter="0"/>
          <w:cols w:num="2" w:space="286"/>
          <w:docGrid w:linePitch="360"/>
        </w:sectPr>
      </w:pPr>
    </w:p>
    <w:p w:rsidR="008C4CA2" w:rsidRPr="00F73DBA"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F73DBA">
        <w:rPr>
          <w:sz w:val="20"/>
          <w:szCs w:val="20"/>
          <w:lang w:val="en-GB"/>
        </w:rPr>
        <w:t xml:space="preserve">Whereas mobile phone usage with the purpose of getting connected to the internet is </w:t>
      </w:r>
      <w:r w:rsidRPr="00F73DBA">
        <w:rPr>
          <w:b/>
          <w:sz w:val="20"/>
          <w:szCs w:val="20"/>
          <w:lang w:val="en-GB"/>
        </w:rPr>
        <w:t>decreasing rapidly, along with the users’ age</w:t>
      </w:r>
      <w:r w:rsidRPr="00F73DBA">
        <w:rPr>
          <w:sz w:val="20"/>
          <w:szCs w:val="20"/>
          <w:lang w:val="en-GB"/>
        </w:rPr>
        <w:t>, it is the opposite way with desktop computers. Older people can also be characterised by the fact that they mostly access the internet from one device, most frequently from a desktop computer.</w:t>
      </w:r>
    </w:p>
    <w:p w:rsidR="008C4CA2" w:rsidRPr="00970B85" w:rsidRDefault="008C4CA2" w:rsidP="008C4CA2">
      <w:pPr>
        <w:pStyle w:val="Nadpis3"/>
        <w:keepNext w:val="0"/>
        <w:keepLines w:val="0"/>
        <w:widowControl w:val="0"/>
      </w:pPr>
      <w:bookmarkStart w:id="83" w:name="_Toc533697509"/>
      <w:bookmarkStart w:id="84" w:name="_Toc534712008"/>
      <w:r w:rsidRPr="00284620">
        <w:t>Internet users among elderly people</w:t>
      </w:r>
      <w:bookmarkEnd w:id="83"/>
      <w:bookmarkEnd w:id="84"/>
    </w:p>
    <w:p w:rsidR="008C4CA2" w:rsidRPr="00970B85" w:rsidRDefault="008C4CA2" w:rsidP="008C4CA2">
      <w:pPr>
        <w:pStyle w:val="Zkladntext"/>
        <w:spacing w:before="0" w:after="80" w:line="264" w:lineRule="auto"/>
        <w:rPr>
          <w:i/>
          <w:sz w:val="20"/>
          <w:highlight w:val="cyan"/>
          <w:lang w:val="en-GB"/>
        </w:rPr>
      </w:pPr>
      <w:r w:rsidRPr="00970B85">
        <w:rPr>
          <w:i/>
          <w:sz w:val="20"/>
          <w:lang w:val="en-GB"/>
        </w:rPr>
        <w:t xml:space="preserve">The rapid </w:t>
      </w:r>
      <w:r w:rsidRPr="00A15776">
        <w:rPr>
          <w:i/>
          <w:sz w:val="20"/>
          <w:lang w:val="en-GB"/>
        </w:rPr>
        <w:t>appearance</w:t>
      </w:r>
      <w:r w:rsidRPr="00970B85">
        <w:rPr>
          <w:i/>
          <w:sz w:val="20"/>
          <w:lang w:val="en-GB"/>
        </w:rPr>
        <w:t xml:space="preserve"> of information technologie</w:t>
      </w:r>
      <w:r w:rsidRPr="00271816">
        <w:rPr>
          <w:i/>
          <w:sz w:val="20"/>
          <w:lang w:val="en-GB"/>
        </w:rPr>
        <w:t>s</w:t>
      </w:r>
      <w:r w:rsidRPr="008A7576">
        <w:rPr>
          <w:i/>
          <w:sz w:val="20"/>
          <w:szCs w:val="20"/>
          <w:lang w:val="en-GB"/>
        </w:rPr>
        <w:t>,</w:t>
      </w:r>
      <w:r w:rsidRPr="00970B85">
        <w:rPr>
          <w:i/>
          <w:sz w:val="20"/>
          <w:lang w:val="en-GB"/>
        </w:rPr>
        <w:t xml:space="preserve"> and especially of the internet in the past 20 year</w:t>
      </w:r>
      <w:r w:rsidRPr="00A15776">
        <w:rPr>
          <w:i/>
          <w:sz w:val="20"/>
          <w:lang w:val="en-GB"/>
        </w:rPr>
        <w:t>s</w:t>
      </w:r>
      <w:r w:rsidRPr="00A15776">
        <w:rPr>
          <w:i/>
          <w:sz w:val="20"/>
          <w:szCs w:val="20"/>
          <w:lang w:val="en-GB"/>
        </w:rPr>
        <w:t>,</w:t>
      </w:r>
      <w:r w:rsidRPr="00A15776">
        <w:rPr>
          <w:i/>
          <w:sz w:val="20"/>
          <w:lang w:val="en-GB"/>
        </w:rPr>
        <w:t xml:space="preserve"> </w:t>
      </w:r>
      <w:r w:rsidRPr="00970B85">
        <w:rPr>
          <w:i/>
          <w:sz w:val="20"/>
          <w:lang w:val="en-GB"/>
        </w:rPr>
        <w:t>has brought in a phenomenon which we call the “digital divide</w:t>
      </w:r>
      <w:r w:rsidRPr="00A15776">
        <w:rPr>
          <w:i/>
          <w:sz w:val="20"/>
          <w:lang w:val="en-GB"/>
        </w:rPr>
        <w:t xml:space="preserve">”; meaning the increasing </w:t>
      </w:r>
      <w:r w:rsidRPr="00970B85">
        <w:rPr>
          <w:i/>
          <w:sz w:val="20"/>
          <w:lang w:val="en-GB"/>
        </w:rPr>
        <w:t xml:space="preserve">differences between people with and without internet access, or their abilities and willingness to use the internet. One of the groups of inhabitants that has been the most affected by this </w:t>
      </w:r>
      <w:r>
        <w:rPr>
          <w:i/>
          <w:sz w:val="20"/>
          <w:lang w:val="en-GB"/>
        </w:rPr>
        <w:t>are</w:t>
      </w:r>
      <w:r w:rsidRPr="00970B85">
        <w:rPr>
          <w:i/>
          <w:sz w:val="20"/>
          <w:lang w:val="en-GB"/>
        </w:rPr>
        <w:t xml:space="preserve"> people of older age, i.e. pensioners, above all.</w:t>
      </w:r>
    </w:p>
    <w:p w:rsidR="008C4CA2" w:rsidRPr="00970B85"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In 2017, 60.7% of Czech citizens </w:t>
      </w:r>
      <w:r w:rsidRPr="00970B85">
        <w:rPr>
          <w:b/>
          <w:sz w:val="20"/>
          <w:szCs w:val="20"/>
          <w:lang w:val="en-GB"/>
        </w:rPr>
        <w:t>aged 55–74</w:t>
      </w:r>
      <w:r w:rsidRPr="00970B85">
        <w:rPr>
          <w:sz w:val="20"/>
          <w:szCs w:val="20"/>
          <w:lang w:val="en-GB"/>
        </w:rPr>
        <w:t xml:space="preserve"> claimed to have used the internet at least once in the past three months, i.e. they </w:t>
      </w:r>
      <w:r w:rsidRPr="00A15776">
        <w:rPr>
          <w:sz w:val="20"/>
          <w:szCs w:val="20"/>
          <w:lang w:val="en-GB"/>
        </w:rPr>
        <w:t>were</w:t>
      </w:r>
      <w:r w:rsidRPr="00970B85">
        <w:rPr>
          <w:sz w:val="20"/>
          <w:szCs w:val="20"/>
          <w:lang w:val="en-GB"/>
        </w:rPr>
        <w:t xml:space="preserve"> classified as so called “internet users”. Regular internet users are added to this age group every year. As opposed to </w:t>
      </w:r>
      <w:r w:rsidRPr="00A15776">
        <w:rPr>
          <w:sz w:val="20"/>
          <w:szCs w:val="20"/>
          <w:lang w:val="en-GB"/>
        </w:rPr>
        <w:t>this</w:t>
      </w:r>
      <w:r w:rsidRPr="00970B85">
        <w:rPr>
          <w:sz w:val="20"/>
          <w:szCs w:val="20"/>
          <w:lang w:val="en-GB"/>
        </w:rPr>
        <w:t>, the number of those</w:t>
      </w:r>
      <w:r w:rsidRPr="008A7576">
        <w:rPr>
          <w:sz w:val="20"/>
          <w:szCs w:val="20"/>
          <w:lang w:val="en-GB"/>
        </w:rPr>
        <w:t xml:space="preserve">, </w:t>
      </w:r>
      <w:r w:rsidRPr="00970B85">
        <w:rPr>
          <w:sz w:val="20"/>
          <w:szCs w:val="20"/>
          <w:lang w:val="en-GB"/>
        </w:rPr>
        <w:t>who have never used it is decreasing. Whereas in 2017 the internet was used regularly by the absolute majority of people belonging to this age group</w:t>
      </w:r>
      <w:r w:rsidRPr="00A15776">
        <w:rPr>
          <w:sz w:val="20"/>
          <w:szCs w:val="20"/>
          <w:lang w:val="en-GB"/>
        </w:rPr>
        <w:t>,</w:t>
      </w:r>
      <w:r w:rsidRPr="00970B85">
        <w:rPr>
          <w:sz w:val="20"/>
          <w:szCs w:val="20"/>
          <w:lang w:val="en-GB"/>
        </w:rPr>
        <w:t xml:space="preserve"> and a mere third of this age group had never used it, in 2012, i.e. five years ago, this ratio was </w:t>
      </w:r>
      <w:r w:rsidRPr="00A15776">
        <w:rPr>
          <w:sz w:val="20"/>
          <w:szCs w:val="20"/>
          <w:lang w:val="en-GB"/>
        </w:rPr>
        <w:t xml:space="preserve">the opposite </w:t>
      </w:r>
      <w:r w:rsidRPr="00970B85">
        <w:rPr>
          <w:sz w:val="20"/>
          <w:szCs w:val="20"/>
          <w:lang w:val="en-GB"/>
        </w:rPr>
        <w:t>(43% had never used the internet while 36% had been using it on a regular basis).</w:t>
      </w:r>
    </w:p>
    <w:p w:rsidR="008C4CA2" w:rsidRPr="00970B85" w:rsidRDefault="008C4CA2" w:rsidP="008C4CA2">
      <w:pPr>
        <w:pStyle w:val="Zkladntext"/>
        <w:spacing w:before="0" w:line="288" w:lineRule="auto"/>
        <w:ind w:left="284"/>
        <w:rPr>
          <w:sz w:val="20"/>
          <w:szCs w:val="20"/>
          <w:lang w:val="en-GB"/>
        </w:rPr>
      </w:pPr>
    </w:p>
    <w:p w:rsidR="008C4CA2" w:rsidRPr="00970B85" w:rsidRDefault="008C4CA2" w:rsidP="008C4CA2">
      <w:pPr>
        <w:pStyle w:val="Titulek"/>
        <w:keepNext/>
        <w:spacing w:after="0" w:line="264" w:lineRule="auto"/>
        <w:jc w:val="both"/>
        <w:rPr>
          <w:lang w:val="en-GB"/>
        </w:rPr>
        <w:sectPr w:rsidR="008C4CA2" w:rsidRPr="00970B85" w:rsidSect="008C4CA2">
          <w:type w:val="continuous"/>
          <w:pgSz w:w="11906" w:h="16838" w:code="9"/>
          <w:pgMar w:top="1134" w:right="1134" w:bottom="1418" w:left="1134" w:header="680" w:footer="680" w:gutter="0"/>
          <w:cols w:space="708"/>
          <w:docGrid w:linePitch="360"/>
        </w:sectPr>
      </w:pPr>
    </w:p>
    <w:p w:rsidR="008C4CA2" w:rsidRPr="00970B85" w:rsidRDefault="008C4CA2" w:rsidP="008C4CA2">
      <w:pPr>
        <w:pStyle w:val="Zkladntext"/>
        <w:spacing w:before="120" w:after="120" w:line="288" w:lineRule="auto"/>
        <w:rPr>
          <w:lang w:val="en-GB"/>
        </w:rPr>
      </w:pPr>
      <w:r w:rsidRPr="00970B85">
        <w:rPr>
          <w:noProof/>
        </w:rPr>
        <w:lastRenderedPageBreak/>
        <w:drawing>
          <wp:inline distT="0" distB="0" distL="0" distR="0" wp14:anchorId="11FFA401" wp14:editId="17438452">
            <wp:extent cx="3019425" cy="2880000"/>
            <wp:effectExtent l="0" t="0" r="0" b="0"/>
            <wp:docPr id="123" name="Graf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C4CA2" w:rsidRPr="00970B85" w:rsidRDefault="008C4CA2" w:rsidP="008C4CA2">
      <w:pPr>
        <w:pStyle w:val="Zkladntext"/>
        <w:spacing w:before="120" w:after="120" w:line="288" w:lineRule="auto"/>
        <w:rPr>
          <w:sz w:val="20"/>
          <w:szCs w:val="20"/>
          <w:lang w:val="en-GB"/>
        </w:rPr>
      </w:pPr>
      <w:r>
        <w:rPr>
          <w:noProof/>
        </w:rPr>
        <w:drawing>
          <wp:inline distT="0" distB="0" distL="0" distR="0" wp14:anchorId="1437FBFC" wp14:editId="42CA9CE2">
            <wp:extent cx="2835275" cy="2880000"/>
            <wp:effectExtent l="0" t="0" r="3175"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C4CA2" w:rsidRPr="00970B85" w:rsidRDefault="008C4CA2" w:rsidP="008C4CA2">
      <w:pPr>
        <w:pStyle w:val="Zkladntext"/>
        <w:numPr>
          <w:ilvl w:val="0"/>
          <w:numId w:val="15"/>
        </w:numPr>
        <w:tabs>
          <w:tab w:val="clear" w:pos="360"/>
        </w:tabs>
        <w:spacing w:before="120" w:after="120" w:line="288" w:lineRule="auto"/>
        <w:ind w:left="284" w:hanging="284"/>
        <w:rPr>
          <w:sz w:val="20"/>
          <w:szCs w:val="20"/>
          <w:lang w:val="en-GB"/>
        </w:rPr>
        <w:sectPr w:rsidR="008C4CA2" w:rsidRPr="00970B85" w:rsidSect="008C4CA2">
          <w:type w:val="continuous"/>
          <w:pgSz w:w="11906" w:h="16838" w:code="9"/>
          <w:pgMar w:top="1134" w:right="1134" w:bottom="1418" w:left="1134" w:header="680" w:footer="680" w:gutter="0"/>
          <w:cols w:num="2" w:space="708"/>
          <w:docGrid w:linePitch="360"/>
        </w:sectPr>
      </w:pPr>
    </w:p>
    <w:p w:rsidR="008C4CA2"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Within the age group of 55–74, </w:t>
      </w:r>
      <w:r w:rsidRPr="00970B85">
        <w:rPr>
          <w:b/>
          <w:sz w:val="20"/>
          <w:szCs w:val="20"/>
          <w:lang w:val="en-GB"/>
        </w:rPr>
        <w:t>women</w:t>
      </w:r>
      <w:r w:rsidRPr="00970B85">
        <w:rPr>
          <w:sz w:val="20"/>
          <w:szCs w:val="20"/>
          <w:lang w:val="en-GB"/>
        </w:rPr>
        <w:t xml:space="preserve"> gradually start catching up with men with respect to internet usage, although even here </w:t>
      </w:r>
      <w:r w:rsidRPr="00A15776">
        <w:rPr>
          <w:sz w:val="20"/>
          <w:szCs w:val="20"/>
          <w:lang w:val="en-GB"/>
        </w:rPr>
        <w:t xml:space="preserve">the difference is bigger </w:t>
      </w:r>
      <w:r w:rsidRPr="00970B85">
        <w:rPr>
          <w:sz w:val="20"/>
          <w:szCs w:val="20"/>
          <w:lang w:val="en-GB"/>
        </w:rPr>
        <w:t>than in younger age groups. This strongly depends on whether the persons belonging to this age group still work</w:t>
      </w:r>
      <w:r w:rsidRPr="00A15776">
        <w:rPr>
          <w:sz w:val="20"/>
          <w:szCs w:val="20"/>
          <w:lang w:val="en-GB"/>
        </w:rPr>
        <w:t>,</w:t>
      </w:r>
      <w:r w:rsidRPr="00970B85">
        <w:rPr>
          <w:sz w:val="20"/>
          <w:szCs w:val="20"/>
          <w:lang w:val="en-GB"/>
        </w:rPr>
        <w:t xml:space="preserve"> and on the level of their highest attained education – e.g. 92% of </w:t>
      </w:r>
      <w:r w:rsidRPr="000E0344">
        <w:rPr>
          <w:b/>
          <w:sz w:val="20"/>
          <w:szCs w:val="20"/>
          <w:lang w:val="en-GB"/>
        </w:rPr>
        <w:t>tertiary</w:t>
      </w:r>
      <w:r>
        <w:rPr>
          <w:sz w:val="20"/>
          <w:szCs w:val="20"/>
          <w:lang w:val="en-GB"/>
        </w:rPr>
        <w:t xml:space="preserve"> </w:t>
      </w:r>
      <w:r w:rsidRPr="00970B85">
        <w:rPr>
          <w:b/>
          <w:sz w:val="20"/>
          <w:szCs w:val="20"/>
          <w:lang w:val="en-GB"/>
        </w:rPr>
        <w:t>graduates</w:t>
      </w:r>
      <w:r w:rsidRPr="00970B85">
        <w:rPr>
          <w:sz w:val="20"/>
          <w:szCs w:val="20"/>
          <w:lang w:val="en-GB"/>
        </w:rPr>
        <w:t xml:space="preserve"> use the internet as opposed to less than a quarter of persons with </w:t>
      </w:r>
      <w:r w:rsidRPr="000E0344">
        <w:rPr>
          <w:b/>
          <w:sz w:val="20"/>
          <w:szCs w:val="20"/>
          <w:lang w:val="en-GB"/>
        </w:rPr>
        <w:t>lower secondary</w:t>
      </w:r>
      <w:r>
        <w:rPr>
          <w:sz w:val="20"/>
          <w:szCs w:val="20"/>
          <w:lang w:val="en-GB"/>
        </w:rPr>
        <w:t xml:space="preserve"> </w:t>
      </w:r>
      <w:r w:rsidRPr="00970B85">
        <w:rPr>
          <w:b/>
          <w:sz w:val="20"/>
          <w:szCs w:val="20"/>
          <w:lang w:val="en-GB"/>
        </w:rPr>
        <w:t>education</w:t>
      </w:r>
      <w:r>
        <w:rPr>
          <w:b/>
          <w:sz w:val="20"/>
          <w:szCs w:val="20"/>
          <w:lang w:val="en-GB"/>
        </w:rPr>
        <w:t xml:space="preserve"> in this age group</w:t>
      </w:r>
      <w:r w:rsidRPr="00970B85">
        <w:rPr>
          <w:sz w:val="20"/>
          <w:szCs w:val="20"/>
          <w:lang w:val="en-GB"/>
        </w:rPr>
        <w:t>.</w:t>
      </w:r>
      <w:r w:rsidRPr="00F73DBA">
        <w:rPr>
          <w:sz w:val="20"/>
          <w:szCs w:val="20"/>
          <w:lang w:val="en-GB"/>
        </w:rPr>
        <w:t xml:space="preserve"> </w:t>
      </w:r>
    </w:p>
    <w:p w:rsidR="008C4CA2"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Provided that three quarters of persons belonging to </w:t>
      </w:r>
      <w:r w:rsidRPr="00DE6AF1">
        <w:rPr>
          <w:sz w:val="20"/>
          <w:szCs w:val="20"/>
          <w:lang w:val="en-GB"/>
        </w:rPr>
        <w:t>the</w:t>
      </w:r>
      <w:r>
        <w:rPr>
          <w:color w:val="FF0000"/>
          <w:sz w:val="20"/>
          <w:szCs w:val="20"/>
          <w:lang w:val="en-GB"/>
        </w:rPr>
        <w:t xml:space="preserve"> </w:t>
      </w:r>
      <w:r w:rsidRPr="00970B85">
        <w:rPr>
          <w:sz w:val="20"/>
          <w:szCs w:val="20"/>
          <w:lang w:val="en-GB"/>
        </w:rPr>
        <w:t xml:space="preserve">age group </w:t>
      </w:r>
      <w:r w:rsidRPr="00970B85">
        <w:rPr>
          <w:b/>
          <w:sz w:val="20"/>
          <w:szCs w:val="20"/>
          <w:lang w:val="en-GB"/>
        </w:rPr>
        <w:t xml:space="preserve">55–64 </w:t>
      </w:r>
      <w:r w:rsidRPr="00970B85">
        <w:rPr>
          <w:sz w:val="20"/>
          <w:szCs w:val="20"/>
          <w:lang w:val="en-GB"/>
        </w:rPr>
        <w:t>used the internet, the percentage of persons</w:t>
      </w:r>
      <w:r w:rsidRPr="00970B85">
        <w:rPr>
          <w:b/>
          <w:sz w:val="20"/>
          <w:szCs w:val="20"/>
          <w:lang w:val="en-GB"/>
        </w:rPr>
        <w:t xml:space="preserve"> </w:t>
      </w:r>
      <w:r w:rsidRPr="00970B85">
        <w:rPr>
          <w:sz w:val="20"/>
          <w:szCs w:val="20"/>
          <w:lang w:val="en-GB"/>
        </w:rPr>
        <w:t xml:space="preserve">who are ten years older </w:t>
      </w:r>
      <w:r w:rsidRPr="00970B85">
        <w:rPr>
          <w:b/>
          <w:sz w:val="20"/>
          <w:szCs w:val="20"/>
          <w:lang w:val="en-GB"/>
        </w:rPr>
        <w:t>(aged 65–74)</w:t>
      </w:r>
      <w:r w:rsidRPr="00970B85">
        <w:rPr>
          <w:sz w:val="20"/>
          <w:szCs w:val="20"/>
          <w:lang w:val="en-GB"/>
        </w:rPr>
        <w:t xml:space="preserve"> is only 45</w:t>
      </w:r>
      <w:r w:rsidRPr="00DE6AF1">
        <w:rPr>
          <w:sz w:val="20"/>
          <w:szCs w:val="20"/>
          <w:lang w:val="en-GB"/>
        </w:rPr>
        <w:t xml:space="preserve">%, and for the </w:t>
      </w:r>
      <w:r w:rsidRPr="00DE6AF1">
        <w:rPr>
          <w:b/>
          <w:sz w:val="20"/>
          <w:szCs w:val="20"/>
          <w:lang w:val="en-GB"/>
        </w:rPr>
        <w:t>75+</w:t>
      </w:r>
      <w:r w:rsidRPr="00DE6AF1">
        <w:rPr>
          <w:sz w:val="20"/>
          <w:szCs w:val="20"/>
          <w:lang w:val="en-GB"/>
        </w:rPr>
        <w:t xml:space="preserve"> age group, </w:t>
      </w:r>
      <w:r w:rsidRPr="00970B85">
        <w:rPr>
          <w:sz w:val="20"/>
          <w:szCs w:val="20"/>
          <w:lang w:val="en-GB"/>
        </w:rPr>
        <w:t xml:space="preserve">it is only 15%. </w:t>
      </w:r>
    </w:p>
    <w:p w:rsidR="008C4CA2" w:rsidRPr="00970B85"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We may assume that </w:t>
      </w:r>
      <w:r w:rsidRPr="000E0344">
        <w:rPr>
          <w:b/>
          <w:sz w:val="20"/>
          <w:szCs w:val="20"/>
          <w:lang w:val="en-GB"/>
        </w:rPr>
        <w:t>persons over the age of 65</w:t>
      </w:r>
      <w:r w:rsidRPr="00970B85">
        <w:rPr>
          <w:sz w:val="20"/>
          <w:szCs w:val="20"/>
          <w:lang w:val="en-GB"/>
        </w:rPr>
        <w:t xml:space="preserve"> use the internet not out of necessity, but </w:t>
      </w:r>
      <w:r w:rsidRPr="00DE6AF1">
        <w:rPr>
          <w:sz w:val="20"/>
          <w:szCs w:val="20"/>
          <w:lang w:val="en-GB"/>
        </w:rPr>
        <w:t xml:space="preserve">rather that </w:t>
      </w:r>
      <w:r w:rsidRPr="00970B85">
        <w:rPr>
          <w:sz w:val="20"/>
          <w:szCs w:val="20"/>
          <w:lang w:val="en-GB"/>
        </w:rPr>
        <w:t xml:space="preserve">the internet serves them as a </w:t>
      </w:r>
      <w:r w:rsidRPr="00DE6AF1">
        <w:rPr>
          <w:sz w:val="20"/>
          <w:szCs w:val="20"/>
          <w:lang w:val="en-GB"/>
        </w:rPr>
        <w:t xml:space="preserve">hobby or </w:t>
      </w:r>
      <w:r w:rsidRPr="00970B85">
        <w:rPr>
          <w:sz w:val="20"/>
          <w:szCs w:val="20"/>
          <w:lang w:val="en-GB"/>
        </w:rPr>
        <w:t>a voluntary activity. Despite the fact that there are countless initiatives attempting to educate the older generation in the field of computer and internet literacy</w:t>
      </w:r>
      <w:r w:rsidRPr="008A2045">
        <w:rPr>
          <w:sz w:val="20"/>
          <w:szCs w:val="20"/>
          <w:lang w:val="en-GB"/>
        </w:rPr>
        <w:t xml:space="preserve">, </w:t>
      </w:r>
      <w:r w:rsidRPr="00970B85">
        <w:rPr>
          <w:sz w:val="20"/>
          <w:szCs w:val="20"/>
          <w:lang w:val="en-GB"/>
        </w:rPr>
        <w:t xml:space="preserve">and that the internet could be of great help to the elderly, for most of </w:t>
      </w:r>
      <w:r w:rsidRPr="008A2045">
        <w:rPr>
          <w:sz w:val="20"/>
          <w:szCs w:val="20"/>
          <w:lang w:val="en-GB"/>
        </w:rPr>
        <w:t>them</w:t>
      </w:r>
      <w:r w:rsidRPr="00376EDE">
        <w:rPr>
          <w:color w:val="FF0000"/>
          <w:sz w:val="20"/>
          <w:szCs w:val="20"/>
          <w:lang w:val="en-GB"/>
        </w:rPr>
        <w:t xml:space="preserve"> </w:t>
      </w:r>
      <w:r w:rsidRPr="00970B85">
        <w:rPr>
          <w:sz w:val="20"/>
          <w:szCs w:val="20"/>
          <w:lang w:val="en-GB"/>
        </w:rPr>
        <w:t xml:space="preserve">the internet </w:t>
      </w:r>
      <w:r w:rsidRPr="008A2045">
        <w:rPr>
          <w:sz w:val="20"/>
          <w:szCs w:val="20"/>
          <w:lang w:val="en-GB"/>
        </w:rPr>
        <w:t xml:space="preserve">is </w:t>
      </w:r>
      <w:r w:rsidRPr="00970B85">
        <w:rPr>
          <w:sz w:val="20"/>
          <w:szCs w:val="20"/>
          <w:lang w:val="en-GB"/>
        </w:rPr>
        <w:t xml:space="preserve">probably </w:t>
      </w:r>
      <w:r w:rsidRPr="008A2045">
        <w:rPr>
          <w:sz w:val="20"/>
          <w:szCs w:val="20"/>
          <w:lang w:val="en-GB"/>
        </w:rPr>
        <w:t xml:space="preserve">seen as an </w:t>
      </w:r>
      <w:r w:rsidRPr="00970B85">
        <w:rPr>
          <w:sz w:val="20"/>
          <w:szCs w:val="20"/>
          <w:lang w:val="en-GB"/>
        </w:rPr>
        <w:t>unnecessary burden. Getting familiarised with the internet</w:t>
      </w:r>
      <w:r w:rsidRPr="008A2045">
        <w:rPr>
          <w:sz w:val="20"/>
          <w:szCs w:val="20"/>
          <w:lang w:val="en-GB"/>
        </w:rPr>
        <w:t>,</w:t>
      </w:r>
      <w:r w:rsidRPr="00970B85">
        <w:rPr>
          <w:sz w:val="20"/>
          <w:szCs w:val="20"/>
          <w:lang w:val="en-GB"/>
        </w:rPr>
        <w:t xml:space="preserve"> and overcoming the natural mistrust towards </w:t>
      </w:r>
      <w:r w:rsidRPr="008A2045">
        <w:rPr>
          <w:sz w:val="20"/>
          <w:szCs w:val="20"/>
          <w:lang w:val="en-GB"/>
        </w:rPr>
        <w:t>technology, is difficult for them</w:t>
      </w:r>
      <w:r w:rsidRPr="00970B85">
        <w:rPr>
          <w:sz w:val="20"/>
          <w:szCs w:val="20"/>
          <w:lang w:val="en-GB"/>
        </w:rPr>
        <w:t>.</w:t>
      </w:r>
    </w:p>
    <w:p w:rsidR="008C4CA2" w:rsidRPr="00F73DBA"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F73DBA">
        <w:rPr>
          <w:sz w:val="20"/>
          <w:szCs w:val="20"/>
          <w:lang w:val="en-GB"/>
        </w:rPr>
        <w:t xml:space="preserve">Out of four main devices most frequently used for internet access, i.e. desktop computer, laptop, mobile phone, and tablet, internet users – pensioners – definitely use the </w:t>
      </w:r>
      <w:r w:rsidRPr="00F73DBA">
        <w:rPr>
          <w:b/>
          <w:sz w:val="20"/>
          <w:szCs w:val="20"/>
          <w:lang w:val="en-GB"/>
        </w:rPr>
        <w:t>desktop computers</w:t>
      </w:r>
      <w:r w:rsidRPr="00F73DBA">
        <w:rPr>
          <w:sz w:val="20"/>
          <w:szCs w:val="20"/>
          <w:lang w:val="en-GB"/>
        </w:rPr>
        <w:t xml:space="preserve"> most frequently so far (still) in the Czech Republic. Whereas laptop and mobile phone usage, in order to get connected to the internet</w:t>
      </w:r>
      <w:r w:rsidRPr="00FA0C79">
        <w:rPr>
          <w:sz w:val="20"/>
          <w:szCs w:val="20"/>
          <w:lang w:val="en-GB"/>
        </w:rPr>
        <w:t>,</w:t>
      </w:r>
      <w:r w:rsidRPr="00F73DBA">
        <w:rPr>
          <w:sz w:val="20"/>
          <w:szCs w:val="20"/>
          <w:lang w:val="en-GB"/>
        </w:rPr>
        <w:t xml:space="preserve"> is decreasing rapidly along with the users’ age, it is the other way around with desktop computers.</w:t>
      </w:r>
    </w:p>
    <w:p w:rsidR="008C4CA2" w:rsidRPr="00970B85" w:rsidRDefault="008C4CA2" w:rsidP="008C4CA2">
      <w:pPr>
        <w:pStyle w:val="Zkladntext"/>
        <w:spacing w:before="0" w:after="120" w:line="288" w:lineRule="auto"/>
        <w:rPr>
          <w:sz w:val="20"/>
          <w:szCs w:val="20"/>
          <w:lang w:val="en-GB"/>
        </w:rPr>
      </w:pPr>
      <w:r w:rsidRPr="00970B85">
        <w:rPr>
          <w:noProof/>
        </w:rPr>
        <w:lastRenderedPageBreak/>
        <w:drawing>
          <wp:inline distT="0" distB="0" distL="0" distR="0" wp14:anchorId="71F155A0" wp14:editId="526EDEEC">
            <wp:extent cx="5972810" cy="3600000"/>
            <wp:effectExtent l="0" t="0" r="0" b="0"/>
            <wp:docPr id="125" name="Graf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Only in 2007 the percentage of persons aged 55–74 using the internet was </w:t>
      </w:r>
      <w:r>
        <w:rPr>
          <w:sz w:val="20"/>
          <w:szCs w:val="20"/>
          <w:lang w:val="en-GB"/>
        </w:rPr>
        <w:t xml:space="preserve">in the Czech Republic </w:t>
      </w:r>
      <w:r w:rsidRPr="00970B85">
        <w:rPr>
          <w:sz w:val="20"/>
          <w:szCs w:val="20"/>
          <w:lang w:val="en-GB"/>
        </w:rPr>
        <w:t>10</w:t>
      </w:r>
      <w:r>
        <w:rPr>
          <w:sz w:val="20"/>
          <w:szCs w:val="20"/>
          <w:lang w:val="en-GB"/>
        </w:rPr>
        <w:t xml:space="preserve"> p.p.</w:t>
      </w:r>
      <w:r w:rsidRPr="00970B85">
        <w:rPr>
          <w:sz w:val="20"/>
          <w:szCs w:val="20"/>
          <w:lang w:val="en-GB"/>
        </w:rPr>
        <w:t xml:space="preserve"> lower than the </w:t>
      </w:r>
      <w:r w:rsidRPr="00970B85">
        <w:rPr>
          <w:b/>
          <w:sz w:val="20"/>
          <w:szCs w:val="20"/>
          <w:lang w:val="en-GB"/>
        </w:rPr>
        <w:t>EU28 average</w:t>
      </w:r>
      <w:r w:rsidRPr="008A2045">
        <w:rPr>
          <w:b/>
          <w:sz w:val="20"/>
          <w:szCs w:val="20"/>
          <w:lang w:val="en-GB"/>
        </w:rPr>
        <w:t>.</w:t>
      </w:r>
      <w:r w:rsidRPr="008A2045">
        <w:rPr>
          <w:sz w:val="20"/>
          <w:szCs w:val="20"/>
          <w:lang w:val="en-GB"/>
        </w:rPr>
        <w:t xml:space="preserve"> Czech </w:t>
      </w:r>
      <w:r w:rsidRPr="00970B85">
        <w:rPr>
          <w:sz w:val="20"/>
          <w:szCs w:val="20"/>
          <w:lang w:val="en-GB"/>
        </w:rPr>
        <w:t>pensioners aged 65–74, could not be compared to the European average concerning internet usage at all</w:t>
      </w:r>
      <w:r w:rsidRPr="008A2045">
        <w:rPr>
          <w:sz w:val="20"/>
          <w:szCs w:val="20"/>
          <w:lang w:val="en-GB"/>
        </w:rPr>
        <w:t xml:space="preserve"> </w:t>
      </w:r>
      <w:r w:rsidRPr="00970B85">
        <w:rPr>
          <w:sz w:val="20"/>
          <w:szCs w:val="20"/>
          <w:lang w:val="en-GB"/>
        </w:rPr>
        <w:t xml:space="preserve">due to the fact that the average number of European internet users aged 65–74 was twice as high as </w:t>
      </w:r>
      <w:r w:rsidRPr="008A2045">
        <w:rPr>
          <w:sz w:val="20"/>
          <w:szCs w:val="20"/>
          <w:lang w:val="en-GB"/>
        </w:rPr>
        <w:t>that of the Czech Republic</w:t>
      </w:r>
      <w:r w:rsidRPr="00970B85">
        <w:rPr>
          <w:sz w:val="20"/>
          <w:szCs w:val="20"/>
          <w:lang w:val="en-GB"/>
        </w:rPr>
        <w:t xml:space="preserve">. </w:t>
      </w:r>
      <w:r>
        <w:rPr>
          <w:sz w:val="20"/>
          <w:szCs w:val="20"/>
          <w:lang w:val="en-GB"/>
        </w:rPr>
        <w:t>However, i</w:t>
      </w:r>
      <w:r w:rsidRPr="00970B85">
        <w:rPr>
          <w:sz w:val="20"/>
          <w:szCs w:val="20"/>
          <w:lang w:val="en-GB"/>
        </w:rPr>
        <w:t>n recent years, Czech pensioners have nearly caught up with the head start of their E</w:t>
      </w:r>
      <w:r>
        <w:rPr>
          <w:sz w:val="20"/>
          <w:szCs w:val="20"/>
          <w:lang w:val="en-GB"/>
        </w:rPr>
        <w:t xml:space="preserve">uropean peers. </w:t>
      </w:r>
      <w:r w:rsidRPr="00DA6955">
        <w:rPr>
          <w:color w:val="000000" w:themeColor="text1"/>
          <w:sz w:val="20"/>
          <w:szCs w:val="20"/>
          <w:lang w:val="en-GB"/>
        </w:rPr>
        <w:t xml:space="preserve">With respect to the </w:t>
      </w:r>
      <w:r w:rsidRPr="008A2045">
        <w:rPr>
          <w:sz w:val="20"/>
          <w:szCs w:val="20"/>
          <w:lang w:val="en-GB"/>
        </w:rPr>
        <w:t xml:space="preserve">internet </w:t>
      </w:r>
      <w:r w:rsidRPr="00970B85">
        <w:rPr>
          <w:sz w:val="20"/>
          <w:szCs w:val="20"/>
          <w:lang w:val="en-GB"/>
        </w:rPr>
        <w:t xml:space="preserve">usage by individuals aged 55–74 in 2017, the Czech Republic, similarly to Spain, found itself </w:t>
      </w:r>
      <w:r w:rsidRPr="00970B85">
        <w:rPr>
          <w:b/>
          <w:sz w:val="20"/>
          <w:szCs w:val="20"/>
          <w:lang w:val="en-GB"/>
        </w:rPr>
        <w:t>just below the EU28 average</w:t>
      </w:r>
      <w:r w:rsidRPr="00970B85">
        <w:rPr>
          <w:sz w:val="20"/>
          <w:szCs w:val="20"/>
          <w:lang w:val="en-GB"/>
        </w:rPr>
        <w:t>.</w:t>
      </w:r>
    </w:p>
    <w:p w:rsidR="008C4CA2" w:rsidRPr="00970B85" w:rsidRDefault="008C4CA2" w:rsidP="008C4CA2">
      <w:pPr>
        <w:pStyle w:val="Zkladntext"/>
        <w:numPr>
          <w:ilvl w:val="0"/>
          <w:numId w:val="15"/>
        </w:numPr>
        <w:spacing w:before="0" w:after="80" w:line="264" w:lineRule="auto"/>
        <w:ind w:left="284" w:hanging="284"/>
        <w:rPr>
          <w:sz w:val="20"/>
          <w:szCs w:val="20"/>
          <w:lang w:val="en-GB"/>
        </w:rPr>
      </w:pPr>
      <w:r w:rsidRPr="00970B85">
        <w:rPr>
          <w:sz w:val="20"/>
          <w:szCs w:val="20"/>
          <w:lang w:val="en-GB"/>
        </w:rPr>
        <w:t xml:space="preserve">Nevertheless, the principal difference arises with the view of </w:t>
      </w:r>
      <w:r w:rsidRPr="008A2045">
        <w:rPr>
          <w:sz w:val="20"/>
          <w:szCs w:val="20"/>
          <w:lang w:val="en-GB"/>
        </w:rPr>
        <w:t xml:space="preserve">devices, as a </w:t>
      </w:r>
      <w:r w:rsidRPr="00970B85">
        <w:rPr>
          <w:sz w:val="20"/>
          <w:szCs w:val="20"/>
          <w:lang w:val="en-GB"/>
        </w:rPr>
        <w:t xml:space="preserve">means of which the persons aged 55–74 go online. On average, up to a third of European citizens belonging to this age group use their </w:t>
      </w:r>
      <w:r w:rsidRPr="00970B85">
        <w:rPr>
          <w:b/>
          <w:sz w:val="20"/>
          <w:szCs w:val="20"/>
          <w:lang w:val="en-GB"/>
        </w:rPr>
        <w:t>mobile phones</w:t>
      </w:r>
      <w:r w:rsidRPr="00970B85">
        <w:rPr>
          <w:sz w:val="20"/>
          <w:szCs w:val="20"/>
          <w:lang w:val="en-GB"/>
        </w:rPr>
        <w:t xml:space="preserve">, in the Czech Republic it was only 19% of persons belonging to this age group. The internet is most frequently used by persons aged 55–74 in Luxembourg, Sweden, the Netherlands </w:t>
      </w:r>
      <w:r w:rsidRPr="008A2045">
        <w:rPr>
          <w:sz w:val="20"/>
          <w:szCs w:val="20"/>
          <w:lang w:val="en-GB"/>
        </w:rPr>
        <w:t>and</w:t>
      </w:r>
      <w:r w:rsidRPr="002A5740">
        <w:rPr>
          <w:color w:val="FF0000"/>
          <w:sz w:val="20"/>
          <w:szCs w:val="20"/>
          <w:lang w:val="en-GB"/>
        </w:rPr>
        <w:t xml:space="preserve"> </w:t>
      </w:r>
      <w:r w:rsidRPr="00970B85">
        <w:rPr>
          <w:sz w:val="20"/>
          <w:szCs w:val="20"/>
          <w:lang w:val="en-GB"/>
        </w:rPr>
        <w:t>Denmark; the same applies to mobile internet.</w:t>
      </w:r>
    </w:p>
    <w:p w:rsidR="008C4CA2" w:rsidRPr="00970B85" w:rsidRDefault="008C4CA2" w:rsidP="008C4CA2">
      <w:pPr>
        <w:pStyle w:val="Nadpis2"/>
      </w:pPr>
      <w:bookmarkStart w:id="85" w:name="_Toc533697510"/>
      <w:bookmarkStart w:id="86" w:name="_Toc534712009"/>
      <w:r w:rsidRPr="00970B85">
        <w:t xml:space="preserve">C.3 </w:t>
      </w:r>
      <w:r>
        <w:t>Internet activities – Purpose of internet use by individuals</w:t>
      </w:r>
      <w:bookmarkEnd w:id="85"/>
      <w:bookmarkEnd w:id="86"/>
    </w:p>
    <w:p w:rsidR="008C4CA2" w:rsidRPr="00970B85" w:rsidRDefault="008C4CA2" w:rsidP="008C4CA2">
      <w:pPr>
        <w:pStyle w:val="Zkladntext"/>
        <w:spacing w:before="0" w:after="80" w:line="264" w:lineRule="auto"/>
        <w:rPr>
          <w:i/>
          <w:sz w:val="20"/>
          <w:lang w:val="en-GB"/>
        </w:rPr>
      </w:pPr>
      <w:r w:rsidRPr="00970B85">
        <w:rPr>
          <w:i/>
          <w:sz w:val="20"/>
          <w:lang w:val="en-GB"/>
        </w:rPr>
        <w:t xml:space="preserve">The number of people regularly using the internet is augmenting, as is the number of activities carried out online. </w:t>
      </w:r>
      <w:r w:rsidRPr="003E3EBB">
        <w:rPr>
          <w:i/>
          <w:sz w:val="20"/>
          <w:lang w:val="en-GB"/>
        </w:rPr>
        <w:t>The internet has changed human behaviour and lifestyle of citizens in many ways</w:t>
      </w:r>
      <w:r>
        <w:rPr>
          <w:i/>
          <w:sz w:val="20"/>
          <w:lang w:val="en-GB"/>
        </w:rPr>
        <w:t>.</w:t>
      </w:r>
      <w:r w:rsidRPr="00970B85">
        <w:rPr>
          <w:i/>
          <w:sz w:val="20"/>
          <w:lang w:val="en-GB"/>
        </w:rPr>
        <w:t xml:space="preserve"> Over the last </w:t>
      </w:r>
      <w:r>
        <w:rPr>
          <w:i/>
          <w:sz w:val="20"/>
          <w:lang w:val="en-GB"/>
        </w:rPr>
        <w:t>few</w:t>
      </w:r>
      <w:r w:rsidRPr="00970B85">
        <w:rPr>
          <w:i/>
          <w:sz w:val="20"/>
          <w:lang w:val="en-GB"/>
        </w:rPr>
        <w:t xml:space="preserve"> years, a range of online activities gained in popularity. Nowadays, we spend a considerable part of our time online for various reasons, whether at work, school or university, at home or on the move. We often depend on our digital devices to stay in touch with our families and friends, to get directions to shops, hotels and restaurants or to check our bank accounts</w:t>
      </w:r>
      <w:r w:rsidRPr="00284620">
        <w:rPr>
          <w:i/>
          <w:sz w:val="20"/>
          <w:lang w:val="en-GB"/>
        </w:rPr>
        <w:t>.</w:t>
      </w:r>
      <w:r w:rsidRPr="00284620">
        <w:t xml:space="preserve"> </w:t>
      </w:r>
      <w:r w:rsidRPr="00284620">
        <w:rPr>
          <w:i/>
          <w:sz w:val="20"/>
          <w:lang w:val="en-GB"/>
        </w:rPr>
        <w:t>On the other hand, social media platforms and other online fora also provide a space for negative social interactions given the comparatively lower barrier to participation than in the case for real life interactions.</w:t>
      </w:r>
    </w:p>
    <w:p w:rsidR="008C4CA2" w:rsidRDefault="008C4CA2" w:rsidP="008C4CA2">
      <w:pPr>
        <w:pStyle w:val="Zkladntext"/>
        <w:spacing w:before="0" w:after="80" w:line="264" w:lineRule="auto"/>
        <w:rPr>
          <w:i/>
          <w:sz w:val="20"/>
          <w:lang w:val="en-GB"/>
        </w:rPr>
      </w:pPr>
      <w:r w:rsidRPr="00DB7AE6">
        <w:rPr>
          <w:i/>
          <w:sz w:val="20"/>
          <w:lang w:val="en-GB"/>
        </w:rPr>
        <w:t>The variety of uses show that the share of the population using the internet does not fully reflect the extent to which people use the internet for important daily tasks</w:t>
      </w:r>
      <w:r>
        <w:rPr>
          <w:i/>
          <w:sz w:val="20"/>
          <w:lang w:val="en-GB"/>
        </w:rPr>
        <w:t xml:space="preserve"> and also </w:t>
      </w:r>
      <w:r w:rsidRPr="00DB7AE6">
        <w:rPr>
          <w:i/>
          <w:sz w:val="20"/>
          <w:lang w:val="en-GB"/>
        </w:rPr>
        <w:t xml:space="preserve">does not capture the sophistication with which people navigated the internet. </w:t>
      </w:r>
      <w:r w:rsidRPr="00970B85">
        <w:rPr>
          <w:i/>
          <w:sz w:val="20"/>
          <w:lang w:val="en-GB"/>
        </w:rPr>
        <w:t>Whereas internet usage in general is affected mainly by age, income or education, activities carried out on the internet are also affected by the cultural context, infrastructure, and availability of individual services and applications online.</w:t>
      </w:r>
    </w:p>
    <w:p w:rsidR="008C4CA2" w:rsidRDefault="008C4CA2" w:rsidP="008C4CA2">
      <w:pPr>
        <w:pStyle w:val="Nadpis3"/>
      </w:pPr>
      <w:bookmarkStart w:id="87" w:name="_Toc533697511"/>
      <w:bookmarkStart w:id="88" w:name="_Toc534712010"/>
      <w:r w:rsidRPr="00970B85">
        <w:t>Internet use for communication</w:t>
      </w:r>
      <w:bookmarkEnd w:id="87"/>
      <w:bookmarkEnd w:id="88"/>
    </w:p>
    <w:p w:rsidR="008C4CA2" w:rsidRPr="003E3EBB" w:rsidRDefault="008C4CA2" w:rsidP="008C4CA2">
      <w:pPr>
        <w:pStyle w:val="Zkladntext"/>
        <w:spacing w:before="0" w:after="80" w:line="264" w:lineRule="auto"/>
        <w:rPr>
          <w:i/>
          <w:sz w:val="20"/>
          <w:lang w:val="en-GB"/>
        </w:rPr>
      </w:pPr>
      <w:r w:rsidRPr="00970B85">
        <w:rPr>
          <w:i/>
          <w:sz w:val="20"/>
          <w:lang w:val="en-GB"/>
        </w:rPr>
        <w:t xml:space="preserve">Nowadays, communication, </w:t>
      </w:r>
      <w:r w:rsidRPr="00C70817">
        <w:rPr>
          <w:i/>
          <w:sz w:val="20"/>
          <w:lang w:val="en-GB"/>
        </w:rPr>
        <w:t xml:space="preserve">primarily through </w:t>
      </w:r>
      <w:r w:rsidRPr="00970B85">
        <w:rPr>
          <w:i/>
          <w:sz w:val="20"/>
          <w:lang w:val="en-GB"/>
        </w:rPr>
        <w:t xml:space="preserve">emails, which have been one of the most significant activities carried out on the internet for many years, has many competitors. Not only in the form of other platforms </w:t>
      </w:r>
      <w:r w:rsidRPr="00970B85">
        <w:rPr>
          <w:i/>
          <w:sz w:val="20"/>
          <w:lang w:val="en-GB"/>
        </w:rPr>
        <w:lastRenderedPageBreak/>
        <w:t>designed for communication, such as social or professional networks</w:t>
      </w:r>
      <w:r>
        <w:rPr>
          <w:i/>
          <w:sz w:val="20"/>
          <w:lang w:val="en-GB"/>
        </w:rPr>
        <w:t xml:space="preserve">. </w:t>
      </w:r>
      <w:r w:rsidRPr="003E3EBB">
        <w:rPr>
          <w:i/>
          <w:sz w:val="20"/>
          <w:lang w:val="en-GB"/>
        </w:rPr>
        <w:t xml:space="preserve">Communication has changed dramatically with the introduction of the mobile phone and the rise of opportunities to share pictures and videos at no charge using </w:t>
      </w:r>
      <w:r>
        <w:rPr>
          <w:i/>
          <w:sz w:val="20"/>
          <w:lang w:val="en-GB"/>
        </w:rPr>
        <w:t xml:space="preserve">internet applications such as Skype, </w:t>
      </w:r>
      <w:r w:rsidRPr="003E3EBB">
        <w:rPr>
          <w:i/>
          <w:sz w:val="20"/>
          <w:lang w:val="en-GB"/>
        </w:rPr>
        <w:t>WhatsApp, Viber</w:t>
      </w:r>
      <w:r>
        <w:rPr>
          <w:i/>
          <w:sz w:val="20"/>
          <w:lang w:val="en-GB"/>
        </w:rPr>
        <w:t xml:space="preserve">, Instagram or </w:t>
      </w:r>
      <w:r w:rsidRPr="003E3EBB">
        <w:rPr>
          <w:i/>
          <w:sz w:val="20"/>
          <w:lang w:val="en-GB"/>
        </w:rPr>
        <w:t>Facebook.</w:t>
      </w:r>
      <w:r>
        <w:rPr>
          <w:i/>
          <w:sz w:val="20"/>
          <w:lang w:val="en-GB"/>
        </w:rPr>
        <w:t xml:space="preserve"> </w:t>
      </w:r>
      <w:r w:rsidRPr="0041634C">
        <w:rPr>
          <w:i/>
          <w:sz w:val="20"/>
          <w:lang w:val="en-GB"/>
        </w:rPr>
        <w:t xml:space="preserve">The </w:t>
      </w:r>
      <w:r>
        <w:rPr>
          <w:i/>
          <w:sz w:val="20"/>
          <w:lang w:val="en-GB"/>
        </w:rPr>
        <w:t>i</w:t>
      </w:r>
      <w:r w:rsidRPr="0041634C">
        <w:rPr>
          <w:i/>
          <w:sz w:val="20"/>
          <w:lang w:val="en-GB"/>
        </w:rPr>
        <w:t>nternet</w:t>
      </w:r>
      <w:r>
        <w:rPr>
          <w:i/>
          <w:sz w:val="20"/>
          <w:lang w:val="en-GB"/>
        </w:rPr>
        <w:t xml:space="preserve"> in the connection with </w:t>
      </w:r>
      <w:r w:rsidRPr="0041634C">
        <w:rPr>
          <w:i/>
          <w:sz w:val="20"/>
          <w:lang w:val="en-GB"/>
        </w:rPr>
        <w:t>smartphone</w:t>
      </w:r>
      <w:r>
        <w:rPr>
          <w:i/>
          <w:sz w:val="20"/>
          <w:lang w:val="en-GB"/>
        </w:rPr>
        <w:t>s</w:t>
      </w:r>
      <w:r w:rsidRPr="0041634C">
        <w:rPr>
          <w:i/>
          <w:sz w:val="20"/>
          <w:lang w:val="en-GB"/>
        </w:rPr>
        <w:t xml:space="preserve"> have fundamentally changed the way people interact with each other.</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Since the very beginning of internet usage, the internet </w:t>
      </w:r>
      <w:r w:rsidRPr="006A5985">
        <w:rPr>
          <w:sz w:val="20"/>
          <w:szCs w:val="20"/>
          <w:lang w:val="en-GB"/>
        </w:rPr>
        <w:t xml:space="preserve">has served </w:t>
      </w:r>
      <w:r w:rsidRPr="00970B85">
        <w:rPr>
          <w:sz w:val="20"/>
          <w:szCs w:val="20"/>
          <w:lang w:val="en-GB"/>
        </w:rPr>
        <w:t xml:space="preserve">nearly all users as a means of communication. In 2017, for instance, 73% of all Czech citizens aged 16+ communicated via </w:t>
      </w:r>
      <w:r w:rsidRPr="00970B85">
        <w:rPr>
          <w:b/>
          <w:sz w:val="20"/>
          <w:szCs w:val="20"/>
          <w:lang w:val="en-GB"/>
        </w:rPr>
        <w:t>electronic mail</w:t>
      </w:r>
      <w:r w:rsidRPr="00970B85">
        <w:rPr>
          <w:sz w:val="20"/>
          <w:szCs w:val="20"/>
          <w:lang w:val="en-GB"/>
        </w:rPr>
        <w:t>. This means that sending and receiving emails is a matter of course nearly for everyone</w:t>
      </w:r>
      <w:r w:rsidRPr="0022063E">
        <w:rPr>
          <w:sz w:val="20"/>
          <w:szCs w:val="20"/>
          <w:lang w:val="en-GB"/>
        </w:rPr>
        <w:t xml:space="preserve">, </w:t>
      </w:r>
      <w:r w:rsidRPr="00970B85">
        <w:rPr>
          <w:sz w:val="20"/>
          <w:szCs w:val="20"/>
          <w:lang w:val="en-GB"/>
        </w:rPr>
        <w:t>who uses the internet. Out of internet users, only 7% of individuals do not use emails, this mainly includes the elderly</w:t>
      </w:r>
      <w:r w:rsidRPr="0022063E">
        <w:rPr>
          <w:sz w:val="20"/>
          <w:szCs w:val="20"/>
          <w:lang w:val="en-GB"/>
        </w:rPr>
        <w:t xml:space="preserve">, </w:t>
      </w:r>
      <w:r w:rsidRPr="00970B85">
        <w:rPr>
          <w:sz w:val="20"/>
          <w:szCs w:val="20"/>
          <w:lang w:val="en-GB"/>
        </w:rPr>
        <w:t>and persons with lower education level.</w:t>
      </w:r>
    </w:p>
    <w:p w:rsidR="008C4CA2" w:rsidRPr="00DB7AE6"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DB7AE6">
        <w:rPr>
          <w:sz w:val="20"/>
          <w:szCs w:val="20"/>
          <w:lang w:val="en-GB"/>
        </w:rPr>
        <w:t xml:space="preserve">Besides email communication, other internet applications which can serve as </w:t>
      </w:r>
      <w:r w:rsidRPr="00DB7AE6">
        <w:rPr>
          <w:b/>
          <w:sz w:val="20"/>
          <w:szCs w:val="20"/>
          <w:lang w:val="en-GB"/>
        </w:rPr>
        <w:t>messengers</w:t>
      </w:r>
      <w:r w:rsidRPr="00DB7AE6">
        <w:rPr>
          <w:sz w:val="20"/>
          <w:szCs w:val="20"/>
          <w:lang w:val="en-GB"/>
        </w:rPr>
        <w:t xml:space="preserve"> (such as WhatsApp, Facebook messenger, Viber, etc.) have also increased in importance. These applications are also frequently used on mobile phones or tablets. In 2017, they were used by 31% of the</w:t>
      </w:r>
      <w:r w:rsidRPr="00DB7AE6">
        <w:rPr>
          <w:color w:val="FF0000"/>
          <w:sz w:val="20"/>
          <w:szCs w:val="20"/>
          <w:lang w:val="en-GB"/>
        </w:rPr>
        <w:t xml:space="preserve"> </w:t>
      </w:r>
      <w:r w:rsidRPr="00DB7AE6">
        <w:rPr>
          <w:sz w:val="20"/>
          <w:szCs w:val="20"/>
          <w:lang w:val="en-GB"/>
        </w:rPr>
        <w:t xml:space="preserve">Czech population, regardless of the device on which they were used. The operation of these applications is often faster than writing emails, and it also serves as an alternative method to text messages. The advantage of these applications is also that they are often free of charge. The highest percentage of persons using the aforementioned applications can be found within the 16–24 age group (63%). However, even the percentage of the next age group (25–34) is over 50%. Along with the increasing age, the percentage of people using these applications is continuing to decrease. </w:t>
      </w:r>
    </w:p>
    <w:p w:rsidR="008C4CA2" w:rsidRPr="00284620" w:rsidRDefault="008C4CA2" w:rsidP="008E55E4">
      <w:pPr>
        <w:pStyle w:val="Zkladntext"/>
        <w:numPr>
          <w:ilvl w:val="0"/>
          <w:numId w:val="15"/>
        </w:numPr>
        <w:tabs>
          <w:tab w:val="clear" w:pos="360"/>
          <w:tab w:val="num" w:pos="284"/>
        </w:tabs>
        <w:spacing w:before="0" w:after="80"/>
        <w:ind w:left="284" w:hanging="284"/>
        <w:rPr>
          <w:szCs w:val="20"/>
        </w:rPr>
      </w:pPr>
      <w:r w:rsidRPr="00284620">
        <w:rPr>
          <w:sz w:val="20"/>
          <w:szCs w:val="20"/>
          <w:lang w:val="en-GB"/>
        </w:rPr>
        <w:t xml:space="preserve">Another means of internet communication is </w:t>
      </w:r>
      <w:r w:rsidRPr="00284620">
        <w:rPr>
          <w:b/>
          <w:sz w:val="20"/>
          <w:szCs w:val="20"/>
          <w:lang w:val="en-GB"/>
        </w:rPr>
        <w:t>making calls</w:t>
      </w:r>
      <w:r w:rsidRPr="00284620">
        <w:rPr>
          <w:sz w:val="20"/>
          <w:szCs w:val="20"/>
          <w:lang w:val="en-GB"/>
        </w:rPr>
        <w:t>. Telephone communication via internet applications, such as Skype or WhatsApp, was used in 2017 by a third of Czech inhabitants, i.e. 42% of internet users. This percentage has been decreasing in recent years. Telephone communication via the internet using these applications has also become less attractive due to the cheaper telephone calls made via mobile phones, including telephone communication via roaming within the EU. Since 2012, when the percentage of persons using telephone communication via the internet in the Czech Republic has been the historical highest (37%), the number decreased to the aforementioned 33% in 2017.</w:t>
      </w:r>
    </w:p>
    <w:p w:rsidR="008C4CA2" w:rsidRPr="00970B85" w:rsidRDefault="008C4CA2" w:rsidP="008C4CA2">
      <w:pPr>
        <w:pStyle w:val="Nadpis3"/>
      </w:pPr>
      <w:bookmarkStart w:id="89" w:name="_Toc533697512"/>
      <w:bookmarkStart w:id="90" w:name="_Toc534712011"/>
      <w:r>
        <w:t>Participating in online s</w:t>
      </w:r>
      <w:r w:rsidRPr="00970B85">
        <w:t>ocial networks</w:t>
      </w:r>
      <w:bookmarkEnd w:id="89"/>
      <w:bookmarkEnd w:id="90"/>
      <w:r w:rsidRPr="00970B85">
        <w:t xml:space="preserve"> </w:t>
      </w:r>
    </w:p>
    <w:p w:rsidR="008C4CA2" w:rsidRPr="00837C0E" w:rsidRDefault="008C4CA2" w:rsidP="008C4CA2">
      <w:pPr>
        <w:pStyle w:val="Zkladntext"/>
        <w:spacing w:before="0" w:after="80" w:line="264" w:lineRule="auto"/>
        <w:rPr>
          <w:i/>
          <w:sz w:val="20"/>
          <w:lang w:val="en-GB"/>
        </w:rPr>
      </w:pPr>
      <w:r w:rsidRPr="00837C0E">
        <w:rPr>
          <w:i/>
          <w:sz w:val="20"/>
          <w:lang w:val="en-GB"/>
        </w:rPr>
        <w:t>In recent years, large expansion has been recorded with respect to social network activities, primarily with younger generations. Social networks most frequently serve for the sharing information, for communication</w:t>
      </w:r>
      <w:r w:rsidRPr="005860C6">
        <w:rPr>
          <w:sz w:val="20"/>
          <w:szCs w:val="20"/>
          <w:lang w:val="en-GB"/>
        </w:rPr>
        <w:t>,</w:t>
      </w:r>
      <w:r w:rsidRPr="00837C0E">
        <w:rPr>
          <w:i/>
          <w:sz w:val="20"/>
          <w:lang w:val="en-GB"/>
        </w:rPr>
        <w:t xml:space="preserve"> and promotion. On a global scale, they are considered</w:t>
      </w:r>
      <w:r w:rsidRPr="00837C0E">
        <w:rPr>
          <w:i/>
          <w:color w:val="FF0000"/>
          <w:sz w:val="20"/>
          <w:lang w:val="en-GB"/>
        </w:rPr>
        <w:t xml:space="preserve"> </w:t>
      </w:r>
      <w:r w:rsidRPr="00837C0E">
        <w:rPr>
          <w:i/>
          <w:sz w:val="20"/>
          <w:lang w:val="en-GB"/>
        </w:rPr>
        <w:t>to be a significant instrument outside of communication, as well. Social media can enable individuals to maintain existing social relationships and also to build new ones. Evidence on the impact of online social networks on real-life social connections and mental health is mixed. It is likely, however, that not all segments of society benefit from online social networks to the same extent. For example, the elderly could benefit greatly from online networks but may lack the appropriate skills.</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2017, a </w:t>
      </w:r>
      <w:r w:rsidRPr="00970B85">
        <w:rPr>
          <w:b/>
          <w:sz w:val="20"/>
          <w:szCs w:val="20"/>
          <w:lang w:val="en-GB"/>
        </w:rPr>
        <w:t>social network</w:t>
      </w:r>
      <w:r w:rsidRPr="006D0804">
        <w:rPr>
          <w:rStyle w:val="Znakapoznpodarou"/>
          <w:sz w:val="20"/>
          <w:szCs w:val="20"/>
          <w:lang w:val="en-GB"/>
        </w:rPr>
        <w:footnoteReference w:id="30"/>
      </w:r>
      <w:r w:rsidRPr="006D0804">
        <w:rPr>
          <w:sz w:val="20"/>
          <w:szCs w:val="20"/>
          <w:lang w:val="en-GB"/>
        </w:rPr>
        <w:t xml:space="preserve"> </w:t>
      </w:r>
      <w:r w:rsidRPr="00970B85">
        <w:rPr>
          <w:sz w:val="20"/>
          <w:szCs w:val="20"/>
          <w:lang w:val="en-GB"/>
        </w:rPr>
        <w:t>profile was owned</w:t>
      </w:r>
      <w:r w:rsidRPr="00970B85">
        <w:rPr>
          <w:b/>
          <w:sz w:val="20"/>
          <w:szCs w:val="20"/>
          <w:lang w:val="en-GB"/>
        </w:rPr>
        <w:t xml:space="preserve"> </w:t>
      </w:r>
      <w:r w:rsidRPr="00970B85">
        <w:rPr>
          <w:sz w:val="20"/>
          <w:szCs w:val="20"/>
          <w:lang w:val="en-GB"/>
        </w:rPr>
        <w:t>nearly by 4 million (44%) of individuals over the age of 16 in the Czech Republic</w:t>
      </w:r>
      <w:r w:rsidRPr="006D0804">
        <w:rPr>
          <w:sz w:val="20"/>
          <w:szCs w:val="20"/>
          <w:lang w:val="en-GB"/>
        </w:rPr>
        <w:t xml:space="preserve">, </w:t>
      </w:r>
      <w:r w:rsidRPr="00970B85">
        <w:rPr>
          <w:sz w:val="20"/>
          <w:szCs w:val="20"/>
          <w:lang w:val="en-GB"/>
        </w:rPr>
        <w:t>as opposed to one million (10%) in 2010. Above all, the younger generation is the most active on social networks</w:t>
      </w:r>
      <w:r w:rsidRPr="006D0804">
        <w:rPr>
          <w:sz w:val="20"/>
          <w:szCs w:val="20"/>
          <w:lang w:val="en-GB"/>
        </w:rPr>
        <w:t>,</w:t>
      </w:r>
      <w:r w:rsidRPr="00970B85">
        <w:rPr>
          <w:sz w:val="20"/>
          <w:szCs w:val="20"/>
          <w:lang w:val="en-GB"/>
        </w:rPr>
        <w:t xml:space="preserve"> and, for instance, out of all students aged 16+ only 5% do not have a profile on a social network. </w:t>
      </w:r>
      <w:r w:rsidRPr="006D0804">
        <w:rPr>
          <w:sz w:val="20"/>
          <w:szCs w:val="20"/>
          <w:lang w:val="en-GB"/>
        </w:rPr>
        <w:t>In contrast</w:t>
      </w:r>
      <w:r w:rsidRPr="00970B85">
        <w:rPr>
          <w:sz w:val="20"/>
          <w:szCs w:val="20"/>
          <w:lang w:val="en-GB"/>
        </w:rPr>
        <w:t xml:space="preserve">, the popularity of the elderly concerning social networks is nowhere near as high. </w:t>
      </w:r>
      <w:r w:rsidRPr="00970B85">
        <w:rPr>
          <w:sz w:val="20"/>
          <w:lang w:val="en-GB"/>
        </w:rPr>
        <w:t>The highest increase in the percentage of social network users was recorded between the years 2009 and 2012, when it increased from 5% to 31%. Since then, the growth has slowed down and it shows an average increase by 2.6%.</w:t>
      </w:r>
    </w:p>
    <w:p w:rsidR="008C4CA2" w:rsidRPr="00970B85" w:rsidRDefault="008C4CA2" w:rsidP="008C4CA2">
      <w:pPr>
        <w:pStyle w:val="Zkladntext"/>
        <w:spacing w:before="0" w:line="288" w:lineRule="auto"/>
        <w:rPr>
          <w:lang w:val="en-GB"/>
        </w:rPr>
      </w:pPr>
      <w:r w:rsidRPr="00970B85">
        <w:rPr>
          <w:noProof/>
        </w:rPr>
        <w:lastRenderedPageBreak/>
        <w:drawing>
          <wp:inline distT="0" distB="0" distL="0" distR="0" wp14:anchorId="026AF10F" wp14:editId="5BAE8073">
            <wp:extent cx="2952000" cy="2700000"/>
            <wp:effectExtent l="0" t="0" r="1270" b="5715"/>
            <wp:docPr id="126" name="Graf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970B85">
        <w:rPr>
          <w:noProof/>
        </w:rPr>
        <w:drawing>
          <wp:inline distT="0" distB="0" distL="0" distR="0" wp14:anchorId="508297DE" wp14:editId="3D08F332">
            <wp:extent cx="3095625" cy="2700000"/>
            <wp:effectExtent l="0" t="0" r="0" b="5715"/>
            <wp:docPr id="127" name="Graf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Despite the fact that it may seem that the usage of social networks in the Czech Republic has highly expanded, with respect to the </w:t>
      </w:r>
      <w:r w:rsidRPr="00970B85">
        <w:rPr>
          <w:b/>
          <w:sz w:val="20"/>
          <w:szCs w:val="20"/>
          <w:lang w:val="en-GB"/>
        </w:rPr>
        <w:t>international comparison</w:t>
      </w:r>
      <w:r w:rsidRPr="00846E9A">
        <w:rPr>
          <w:sz w:val="20"/>
          <w:szCs w:val="20"/>
          <w:lang w:val="en-GB"/>
        </w:rPr>
        <w:t>,</w:t>
      </w:r>
      <w:r w:rsidRPr="00970B85">
        <w:rPr>
          <w:sz w:val="20"/>
          <w:szCs w:val="20"/>
          <w:lang w:val="en-GB"/>
        </w:rPr>
        <w:t xml:space="preserve"> the Czech Republic</w:t>
      </w:r>
      <w:r w:rsidRPr="00846E9A">
        <w:rPr>
          <w:sz w:val="20"/>
          <w:szCs w:val="20"/>
          <w:lang w:val="en-GB"/>
        </w:rPr>
        <w:t xml:space="preserve">, </w:t>
      </w:r>
      <w:r w:rsidRPr="00970B85">
        <w:rPr>
          <w:sz w:val="20"/>
          <w:szCs w:val="20"/>
          <w:lang w:val="en-GB"/>
        </w:rPr>
        <w:t>with its 48% of individuals aged 16–74 in 2017</w:t>
      </w:r>
      <w:r w:rsidRPr="00846E9A">
        <w:rPr>
          <w:sz w:val="20"/>
          <w:szCs w:val="20"/>
          <w:lang w:val="en-GB"/>
        </w:rPr>
        <w:t>,</w:t>
      </w:r>
      <w:r w:rsidRPr="00970B85">
        <w:rPr>
          <w:sz w:val="20"/>
          <w:szCs w:val="20"/>
          <w:lang w:val="en-GB"/>
        </w:rPr>
        <w:t xml:space="preserve"> is found below the EU average (54%). With respect to the age group 55–74, our position in international comparison is even worse</w:t>
      </w:r>
      <w:r w:rsidRPr="00846E9A">
        <w:rPr>
          <w:sz w:val="20"/>
          <w:szCs w:val="20"/>
          <w:lang w:val="en-GB"/>
        </w:rPr>
        <w:t>;</w:t>
      </w:r>
      <w:r w:rsidRPr="00970B85">
        <w:rPr>
          <w:sz w:val="20"/>
          <w:szCs w:val="20"/>
          <w:lang w:val="en-GB"/>
        </w:rPr>
        <w:t xml:space="preserve"> in this case we are the very last ones on the scale.</w:t>
      </w:r>
    </w:p>
    <w:p w:rsidR="008C4CA2" w:rsidRDefault="008C4CA2" w:rsidP="008C4CA2">
      <w:pPr>
        <w:pStyle w:val="Zkladntext"/>
        <w:spacing w:before="0" w:after="80" w:line="264" w:lineRule="auto"/>
        <w:rPr>
          <w:sz w:val="20"/>
          <w:szCs w:val="20"/>
          <w:lang w:val="en-GB"/>
        </w:rPr>
      </w:pPr>
      <w:r w:rsidRPr="00970B85">
        <w:rPr>
          <w:noProof/>
        </w:rPr>
        <w:drawing>
          <wp:inline distT="0" distB="0" distL="0" distR="0" wp14:anchorId="1B668CF3" wp14:editId="4839FA34">
            <wp:extent cx="5972810" cy="2844000"/>
            <wp:effectExtent l="0" t="0" r="0" b="0"/>
            <wp:docPr id="128" name="Graf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C4CA2" w:rsidRPr="00970B85" w:rsidRDefault="008C4CA2" w:rsidP="008C4CA2">
      <w:pPr>
        <w:pStyle w:val="Zkladntext"/>
        <w:numPr>
          <w:ilvl w:val="0"/>
          <w:numId w:val="15"/>
        </w:numPr>
        <w:spacing w:before="0" w:after="80" w:line="264" w:lineRule="auto"/>
        <w:ind w:left="284" w:hanging="284"/>
        <w:rPr>
          <w:sz w:val="20"/>
          <w:szCs w:val="20"/>
          <w:lang w:val="en-GB"/>
        </w:rPr>
      </w:pPr>
      <w:r w:rsidRPr="00A54EA4">
        <w:rPr>
          <w:sz w:val="20"/>
          <w:szCs w:val="20"/>
          <w:lang w:val="en-GB"/>
        </w:rPr>
        <w:t>Besides social networks, there are also professional networks (e.g. LinkedIn), where electronic CVs may be created, and supplemented by references from co-workers and superiors</w:t>
      </w:r>
      <w:r>
        <w:rPr>
          <w:sz w:val="20"/>
          <w:szCs w:val="20"/>
          <w:lang w:val="en-GB"/>
        </w:rPr>
        <w:t>.</w:t>
      </w:r>
      <w:r w:rsidRPr="00A54EA4">
        <w:t xml:space="preserve"> </w:t>
      </w:r>
      <w:r w:rsidRPr="00A54EA4">
        <w:rPr>
          <w:sz w:val="20"/>
          <w:szCs w:val="20"/>
          <w:lang w:val="en-GB"/>
        </w:rPr>
        <w:t xml:space="preserve"> On the network, companies may, for instance, present their announcements concerning conferences. Thus, a professional network not only serves individuals seeking employment, but also companies seeking suitable candidates for jobs. </w:t>
      </w:r>
      <w:r w:rsidRPr="00970B85">
        <w:rPr>
          <w:sz w:val="20"/>
          <w:szCs w:val="20"/>
          <w:lang w:val="en-GB"/>
        </w:rPr>
        <w:t xml:space="preserve">In 2017, </w:t>
      </w:r>
      <w:r w:rsidRPr="00970B85">
        <w:rPr>
          <w:b/>
          <w:sz w:val="20"/>
          <w:szCs w:val="20"/>
          <w:lang w:val="en-GB"/>
        </w:rPr>
        <w:t xml:space="preserve">professional networks </w:t>
      </w:r>
      <w:r w:rsidRPr="00970B85">
        <w:rPr>
          <w:sz w:val="20"/>
          <w:szCs w:val="20"/>
          <w:lang w:val="en-GB"/>
        </w:rPr>
        <w:t>were used by 4% of adults in the Czech Republic. This mainly includes university graduates (11.5%). With respect to age, the highest percentage of users is in the age group 16–44. With respect to economic activities, the relatively highest percentage of users is found among students (7%)</w:t>
      </w:r>
      <w:r w:rsidRPr="00846E9A">
        <w:rPr>
          <w:sz w:val="20"/>
          <w:szCs w:val="20"/>
          <w:lang w:val="en-GB"/>
        </w:rPr>
        <w:t>,</w:t>
      </w:r>
      <w:r w:rsidRPr="00970B85">
        <w:rPr>
          <w:sz w:val="20"/>
          <w:szCs w:val="20"/>
          <w:lang w:val="en-GB"/>
        </w:rPr>
        <w:t xml:space="preserve"> who </w:t>
      </w:r>
      <w:r w:rsidRPr="00846E9A">
        <w:rPr>
          <w:sz w:val="20"/>
          <w:szCs w:val="20"/>
          <w:lang w:val="en-GB"/>
        </w:rPr>
        <w:t xml:space="preserve">on one hand </w:t>
      </w:r>
      <w:r w:rsidRPr="00970B85">
        <w:rPr>
          <w:sz w:val="20"/>
          <w:szCs w:val="20"/>
          <w:lang w:val="en-GB"/>
        </w:rPr>
        <w:t xml:space="preserve">do not have as much work experience as older </w:t>
      </w:r>
      <w:r w:rsidRPr="00846E9A">
        <w:rPr>
          <w:sz w:val="20"/>
          <w:szCs w:val="20"/>
          <w:lang w:val="en-GB"/>
        </w:rPr>
        <w:t xml:space="preserve">individuals, but on the other hand are </w:t>
      </w:r>
      <w:r w:rsidRPr="00970B85">
        <w:rPr>
          <w:sz w:val="20"/>
          <w:szCs w:val="20"/>
          <w:lang w:val="en-GB"/>
        </w:rPr>
        <w:t>used to this mean of job seeking.</w:t>
      </w:r>
    </w:p>
    <w:p w:rsidR="008C4CA2" w:rsidRPr="00970B85" w:rsidRDefault="008C4CA2" w:rsidP="008C4CA2">
      <w:pPr>
        <w:pStyle w:val="Nadpis3"/>
      </w:pPr>
      <w:bookmarkStart w:id="91" w:name="_Toc533697513"/>
      <w:bookmarkStart w:id="92" w:name="_Toc534712012"/>
      <w:r w:rsidRPr="00970B85">
        <w:t>Internet us</w:t>
      </w:r>
      <w:r>
        <w:t xml:space="preserve">e for </w:t>
      </w:r>
      <w:r w:rsidRPr="00970B85">
        <w:t>entertainment</w:t>
      </w:r>
      <w:bookmarkEnd w:id="91"/>
      <w:bookmarkEnd w:id="92"/>
      <w:r w:rsidRPr="00970B85">
        <w:t xml:space="preserve"> </w:t>
      </w:r>
    </w:p>
    <w:p w:rsidR="008C4CA2" w:rsidRDefault="008C4CA2" w:rsidP="008C4CA2">
      <w:pPr>
        <w:pStyle w:val="Zkladntext"/>
        <w:spacing w:before="0" w:after="80" w:line="264" w:lineRule="auto"/>
        <w:rPr>
          <w:i/>
          <w:sz w:val="20"/>
          <w:lang w:val="en-GB"/>
        </w:rPr>
      </w:pPr>
      <w:r w:rsidRPr="00970B85">
        <w:rPr>
          <w:i/>
          <w:sz w:val="20"/>
          <w:lang w:val="en-GB"/>
        </w:rPr>
        <w:t>Aside from online communication and information seeking, the overwhelming majority of internet users use it for entertainment. This is due to the fact that the internet offers a whole range of free-time and entertainment activities used by today’s digital society</w:t>
      </w:r>
      <w:r>
        <w:rPr>
          <w:i/>
          <w:sz w:val="20"/>
          <w:lang w:val="en-GB"/>
        </w:rPr>
        <w:t xml:space="preserve">. </w:t>
      </w:r>
      <w:r w:rsidRPr="00846E9A">
        <w:rPr>
          <w:i/>
          <w:sz w:val="20"/>
          <w:lang w:val="en-GB"/>
        </w:rPr>
        <w:t xml:space="preserve">Entertainment through </w:t>
      </w:r>
      <w:r w:rsidRPr="00970B85">
        <w:rPr>
          <w:i/>
          <w:sz w:val="20"/>
          <w:lang w:val="en-GB"/>
        </w:rPr>
        <w:t xml:space="preserve">the internet (in total or divided to various types) is mainly </w:t>
      </w:r>
      <w:r w:rsidRPr="00846E9A">
        <w:rPr>
          <w:i/>
          <w:sz w:val="20"/>
          <w:lang w:val="en-GB"/>
        </w:rPr>
        <w:t>welcomed</w:t>
      </w:r>
      <w:r w:rsidRPr="001F5FEF">
        <w:rPr>
          <w:i/>
          <w:color w:val="FF0000"/>
          <w:sz w:val="20"/>
          <w:lang w:val="en-GB"/>
        </w:rPr>
        <w:t xml:space="preserve"> </w:t>
      </w:r>
      <w:r w:rsidRPr="00970B85">
        <w:rPr>
          <w:i/>
          <w:sz w:val="20"/>
          <w:lang w:val="en-GB"/>
        </w:rPr>
        <w:t>by students.</w:t>
      </w:r>
      <w:r w:rsidRPr="00A54EA4">
        <w:rPr>
          <w:i/>
          <w:sz w:val="20"/>
          <w:lang w:val="en-GB"/>
        </w:rPr>
        <w:t xml:space="preserve">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lastRenderedPageBreak/>
        <w:t xml:space="preserve">Apart from online communication, probably the most popular example of a free-time activity concerning the internet is </w:t>
      </w:r>
      <w:r w:rsidRPr="00A54EA4">
        <w:rPr>
          <w:b/>
          <w:sz w:val="20"/>
          <w:szCs w:val="20"/>
          <w:lang w:val="en-GB"/>
        </w:rPr>
        <w:t>reading online news</w:t>
      </w:r>
      <w:r w:rsidRPr="00970B85">
        <w:rPr>
          <w:sz w:val="20"/>
          <w:szCs w:val="20"/>
          <w:lang w:val="en-GB"/>
        </w:rPr>
        <w:t xml:space="preserve">, including internet </w:t>
      </w:r>
      <w:r w:rsidRPr="00846E9A">
        <w:rPr>
          <w:sz w:val="20"/>
          <w:szCs w:val="20"/>
          <w:lang w:val="en-GB"/>
        </w:rPr>
        <w:t>newspapers</w:t>
      </w:r>
      <w:r w:rsidRPr="001F5FEF">
        <w:rPr>
          <w:color w:val="FF0000"/>
          <w:sz w:val="20"/>
          <w:szCs w:val="20"/>
          <w:lang w:val="en-GB"/>
        </w:rPr>
        <w:t xml:space="preserve"> </w:t>
      </w:r>
      <w:r w:rsidRPr="00970B85">
        <w:rPr>
          <w:sz w:val="20"/>
          <w:szCs w:val="20"/>
          <w:lang w:val="en-GB"/>
        </w:rPr>
        <w:t xml:space="preserve">and magazines. </w:t>
      </w:r>
      <w:r>
        <w:rPr>
          <w:sz w:val="20"/>
          <w:szCs w:val="20"/>
          <w:lang w:val="en-GB"/>
        </w:rPr>
        <w:t xml:space="preserve">In 2017, on average, </w:t>
      </w:r>
      <w:r w:rsidRPr="00970B85">
        <w:rPr>
          <w:sz w:val="20"/>
          <w:szCs w:val="20"/>
          <w:lang w:val="en-GB"/>
        </w:rPr>
        <w:t xml:space="preserve">this activity </w:t>
      </w:r>
      <w:r w:rsidRPr="00846E9A">
        <w:rPr>
          <w:sz w:val="20"/>
          <w:szCs w:val="20"/>
          <w:lang w:val="en-GB"/>
        </w:rPr>
        <w:t xml:space="preserve">was enjoyed by 71% of </w:t>
      </w:r>
      <w:r>
        <w:rPr>
          <w:sz w:val="20"/>
          <w:szCs w:val="20"/>
          <w:lang w:val="en-GB"/>
        </w:rPr>
        <w:t xml:space="preserve">Czech </w:t>
      </w:r>
      <w:r w:rsidRPr="00846E9A">
        <w:rPr>
          <w:sz w:val="20"/>
          <w:szCs w:val="20"/>
          <w:lang w:val="en-GB"/>
        </w:rPr>
        <w:t>individuals (91% of internet users)</w:t>
      </w:r>
      <w:r>
        <w:rPr>
          <w:sz w:val="20"/>
          <w:szCs w:val="20"/>
          <w:lang w:val="en-GB"/>
        </w:rPr>
        <w:t xml:space="preserve"> aged 16 years and over</w:t>
      </w:r>
      <w:r w:rsidRPr="00846E9A">
        <w:rPr>
          <w:sz w:val="20"/>
          <w:szCs w:val="20"/>
          <w:lang w:val="en-GB"/>
        </w:rPr>
        <w:t>.</w:t>
      </w:r>
      <w:r w:rsidRPr="00970B85">
        <w:rPr>
          <w:sz w:val="20"/>
          <w:szCs w:val="20"/>
          <w:lang w:val="en-GB"/>
        </w:rPr>
        <w:t xml:space="preserve"> Among the pensioners, it means every third person. Provided we narrow the set only to pensioners using the internet, the percentage rises at once to 90%, which explains the popularity of this free-time activity type among the older generation.</w:t>
      </w:r>
    </w:p>
    <w:p w:rsidR="008C4CA2" w:rsidRPr="00970B85" w:rsidRDefault="008C4CA2" w:rsidP="008C4CA2">
      <w:pPr>
        <w:pStyle w:val="Titulek"/>
        <w:keepNext/>
        <w:jc w:val="both"/>
        <w:rPr>
          <w:lang w:val="en-GB"/>
        </w:rPr>
        <w:sectPr w:rsidR="008C4CA2" w:rsidRPr="00970B85" w:rsidSect="008C4CA2">
          <w:type w:val="continuous"/>
          <w:pgSz w:w="11906" w:h="16838" w:code="9"/>
          <w:pgMar w:top="1134" w:right="1134" w:bottom="1418" w:left="1134" w:header="680" w:footer="680" w:gutter="0"/>
          <w:cols w:space="708"/>
          <w:docGrid w:linePitch="360"/>
        </w:sectPr>
      </w:pPr>
    </w:p>
    <w:p w:rsidR="008C4CA2" w:rsidRPr="008E55E4" w:rsidRDefault="00DE695F" w:rsidP="008E55E4">
      <w:pPr>
        <w:pStyle w:val="Zkladntext"/>
        <w:spacing w:before="0" w:after="120" w:line="288" w:lineRule="auto"/>
        <w:rPr>
          <w:lang w:val="en-GB"/>
        </w:rPr>
      </w:pPr>
      <w:r>
        <w:rPr>
          <w:noProof/>
        </w:rPr>
        <w:drawing>
          <wp:inline distT="0" distB="0" distL="0" distR="0" wp14:anchorId="5D672E9D" wp14:editId="107AB478">
            <wp:extent cx="2969260" cy="2828925"/>
            <wp:effectExtent l="0" t="0" r="254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8C4CA2" w:rsidRPr="00970B85">
        <w:rPr>
          <w:noProof/>
          <w:sz w:val="20"/>
          <w:szCs w:val="20"/>
          <w:lang w:val="en-GB"/>
        </w:rPr>
        <w:t xml:space="preserve"> </w:t>
      </w:r>
    </w:p>
    <w:p w:rsidR="008C4CA2" w:rsidRPr="00970B85" w:rsidRDefault="00DE695F" w:rsidP="008C4CA2">
      <w:pPr>
        <w:pStyle w:val="Zkladntext"/>
        <w:spacing w:before="0" w:after="120" w:line="288" w:lineRule="auto"/>
        <w:rPr>
          <w:sz w:val="20"/>
          <w:szCs w:val="20"/>
          <w:lang w:val="en-GB"/>
        </w:rPr>
      </w:pPr>
      <w:r>
        <w:rPr>
          <w:noProof/>
        </w:rPr>
        <w:drawing>
          <wp:inline distT="0" distB="0" distL="0" distR="0" wp14:anchorId="6A883D75" wp14:editId="775DD801">
            <wp:extent cx="2969260" cy="2819400"/>
            <wp:effectExtent l="0" t="0" r="2540" b="0"/>
            <wp:docPr id="80" name="Graf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C4CA2" w:rsidRPr="00970B85" w:rsidRDefault="008C4CA2" w:rsidP="008C4CA2">
      <w:pPr>
        <w:pStyle w:val="Zkladntext"/>
        <w:numPr>
          <w:ilvl w:val="0"/>
          <w:numId w:val="15"/>
        </w:numPr>
        <w:tabs>
          <w:tab w:val="num" w:pos="284"/>
        </w:tabs>
        <w:spacing w:before="0" w:after="120" w:line="288" w:lineRule="auto"/>
        <w:ind w:left="284" w:hanging="284"/>
        <w:rPr>
          <w:sz w:val="20"/>
          <w:szCs w:val="20"/>
          <w:lang w:val="en-GB"/>
        </w:rPr>
        <w:sectPr w:rsidR="008C4CA2" w:rsidRPr="00970B85" w:rsidSect="008C4CA2">
          <w:type w:val="continuous"/>
          <w:pgSz w:w="11906" w:h="16838" w:code="9"/>
          <w:pgMar w:top="1134" w:right="1134" w:bottom="1418" w:left="1134" w:header="680" w:footer="680" w:gutter="0"/>
          <w:cols w:num="2" w:space="286"/>
          <w:docGrid w:linePitch="360"/>
        </w:sectPr>
      </w:pP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The number of Czech citizens reading the news or magazines over the internet in 2017 was </w:t>
      </w:r>
      <w:r w:rsidRPr="00970B85">
        <w:rPr>
          <w:b/>
          <w:sz w:val="20"/>
          <w:szCs w:val="20"/>
          <w:lang w:val="en-GB"/>
        </w:rPr>
        <w:t>the</w:t>
      </w:r>
      <w:r w:rsidRPr="00970B85">
        <w:rPr>
          <w:sz w:val="20"/>
          <w:szCs w:val="20"/>
          <w:lang w:val="en-GB"/>
        </w:rPr>
        <w:t xml:space="preserve"> </w:t>
      </w:r>
      <w:r w:rsidRPr="00970B85">
        <w:rPr>
          <w:b/>
          <w:sz w:val="20"/>
          <w:szCs w:val="20"/>
          <w:lang w:val="en-GB"/>
        </w:rPr>
        <w:t>sixth highest within the EU</w:t>
      </w:r>
      <w:r w:rsidRPr="00970B85">
        <w:rPr>
          <w:sz w:val="20"/>
          <w:szCs w:val="20"/>
          <w:lang w:val="en-GB"/>
        </w:rPr>
        <w:t xml:space="preserve">, high above the EU average. Apart from e.g. Scandinavian states, reading news on the internet has expanded also to Luxembourg, Estonia or precisely the Czech Republic. </w:t>
      </w:r>
    </w:p>
    <w:p w:rsidR="008C4CA2" w:rsidRPr="00970B85" w:rsidRDefault="008C4CA2" w:rsidP="008C4CA2">
      <w:pPr>
        <w:pStyle w:val="Zkladntext"/>
        <w:numPr>
          <w:ilvl w:val="0"/>
          <w:numId w:val="15"/>
        </w:numPr>
        <w:tabs>
          <w:tab w:val="num" w:pos="284"/>
        </w:tabs>
        <w:spacing w:before="0" w:after="80" w:line="264" w:lineRule="auto"/>
        <w:ind w:left="284" w:hanging="284"/>
        <w:rPr>
          <w:sz w:val="20"/>
          <w:szCs w:val="20"/>
          <w:lang w:val="en-GB"/>
        </w:rPr>
      </w:pPr>
      <w:r w:rsidRPr="00970B85">
        <w:rPr>
          <w:sz w:val="20"/>
          <w:szCs w:val="20"/>
          <w:lang w:val="en-GB"/>
        </w:rPr>
        <w:t xml:space="preserve">Other activities, by means of which free time can be spent on the internet, concern </w:t>
      </w:r>
      <w:r w:rsidRPr="00970B85">
        <w:rPr>
          <w:b/>
          <w:sz w:val="20"/>
          <w:szCs w:val="20"/>
          <w:lang w:val="en-GB"/>
        </w:rPr>
        <w:t>playing and downloading computer games.</w:t>
      </w:r>
      <w:r>
        <w:rPr>
          <w:sz w:val="20"/>
          <w:szCs w:val="20"/>
          <w:lang w:val="en-GB"/>
        </w:rPr>
        <w:t xml:space="preserve"> The history of computer </w:t>
      </w:r>
      <w:r w:rsidRPr="00303EB3">
        <w:rPr>
          <w:sz w:val="20"/>
          <w:szCs w:val="20"/>
          <w:lang w:val="en-GB"/>
        </w:rPr>
        <w:t xml:space="preserve">game </w:t>
      </w:r>
      <w:r w:rsidRPr="00970B85">
        <w:rPr>
          <w:sz w:val="20"/>
          <w:szCs w:val="20"/>
          <w:lang w:val="en-GB"/>
        </w:rPr>
        <w:t xml:space="preserve">playing commenced way before the internet came into existence. However, along with the </w:t>
      </w:r>
      <w:r w:rsidRPr="00303EB3">
        <w:rPr>
          <w:sz w:val="20"/>
          <w:szCs w:val="20"/>
          <w:lang w:val="en-GB"/>
        </w:rPr>
        <w:t>existence of the internet</w:t>
      </w:r>
      <w:r w:rsidRPr="00970B85">
        <w:rPr>
          <w:sz w:val="20"/>
          <w:szCs w:val="20"/>
          <w:lang w:val="en-GB"/>
        </w:rPr>
        <w:t>, the offer of computer games, as well as the structure of their players, has expanded.</w:t>
      </w:r>
    </w:p>
    <w:p w:rsidR="008C4CA2" w:rsidRPr="00DB7AE6" w:rsidRDefault="008C4CA2" w:rsidP="008E55E4">
      <w:pPr>
        <w:pStyle w:val="Zkladntext"/>
        <w:numPr>
          <w:ilvl w:val="0"/>
          <w:numId w:val="15"/>
        </w:numPr>
        <w:tabs>
          <w:tab w:val="clear" w:pos="360"/>
          <w:tab w:val="num" w:pos="284"/>
        </w:tabs>
        <w:spacing w:before="0" w:after="80" w:line="288" w:lineRule="auto"/>
        <w:ind w:left="284" w:hanging="284"/>
        <w:rPr>
          <w:sz w:val="20"/>
          <w:szCs w:val="20"/>
          <w:lang w:val="en-GB"/>
        </w:rPr>
      </w:pPr>
      <w:r w:rsidRPr="00DB7AE6">
        <w:rPr>
          <w:sz w:val="20"/>
          <w:szCs w:val="20"/>
          <w:lang w:val="en-GB"/>
        </w:rPr>
        <w:t xml:space="preserve">Computer games exist since the beginning of the Computer age and today the computer game industry is an important ICT branch. In 2017, a fifth of inhabitants of the Czech Republic, or alternatively a fourth of internet users, claimed to have played a computer game on the internet or by means of it. </w:t>
      </w:r>
      <w:r w:rsidRPr="00DB7AE6">
        <w:rPr>
          <w:b/>
          <w:sz w:val="20"/>
          <w:szCs w:val="20"/>
          <w:lang w:val="en-GB"/>
        </w:rPr>
        <w:t>Playing online games</w:t>
      </w:r>
      <w:r w:rsidRPr="00DB7AE6">
        <w:rPr>
          <w:sz w:val="20"/>
          <w:szCs w:val="20"/>
          <w:lang w:val="en-GB"/>
        </w:rPr>
        <w:t xml:space="preserve"> is preferred by men rather than by women, where the percentage of players is 29% and 11%, respectively. It may not come as a surprise that the number of players decreases as age increased. Within the youngest monitored age group, i.e. 16–24 years of age, games are played by nearly 67% of young people, as opposed to that, only 4% of inhabitants over the age of 65 play these games. It is worth mentioning that compared to other analysed effects within the survey, the higher the degree of education, the lower the percentage of online game players among the internet users. </w:t>
      </w:r>
    </w:p>
    <w:p w:rsidR="008C4CA2" w:rsidRDefault="008C4CA2" w:rsidP="008C4CA2">
      <w:pPr>
        <w:pStyle w:val="Nadpis3"/>
      </w:pPr>
      <w:bookmarkStart w:id="93" w:name="_Toc533697514"/>
      <w:bookmarkStart w:id="94" w:name="_Toc534712013"/>
      <w:bookmarkEnd w:id="59"/>
      <w:r w:rsidRPr="00970B85">
        <w:t>Watching videos on the internet</w:t>
      </w:r>
      <w:bookmarkEnd w:id="93"/>
      <w:bookmarkEnd w:id="94"/>
    </w:p>
    <w:p w:rsidR="008C4CA2" w:rsidRDefault="008C4CA2" w:rsidP="008C4CA2">
      <w:pPr>
        <w:pStyle w:val="Zkladntext"/>
        <w:spacing w:before="0" w:after="80" w:line="264" w:lineRule="auto"/>
        <w:rPr>
          <w:i/>
          <w:sz w:val="20"/>
          <w:lang w:val="en-GB"/>
        </w:rPr>
      </w:pPr>
      <w:r w:rsidRPr="00A80B9D">
        <w:rPr>
          <w:i/>
          <w:sz w:val="20"/>
          <w:lang w:val="en-GB"/>
        </w:rPr>
        <w:t xml:space="preserve">Another change in lifestyle is consumption of entertainment provided via </w:t>
      </w:r>
      <w:r>
        <w:rPr>
          <w:i/>
          <w:sz w:val="20"/>
          <w:lang w:val="en-GB"/>
        </w:rPr>
        <w:t>i</w:t>
      </w:r>
      <w:r w:rsidRPr="00A80B9D">
        <w:rPr>
          <w:i/>
          <w:sz w:val="20"/>
          <w:lang w:val="en-GB"/>
        </w:rPr>
        <w:t xml:space="preserve">nternet like streaming video services and audio services.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In 2016,</w:t>
      </w:r>
      <w:r w:rsidRPr="00970B85">
        <w:rPr>
          <w:b/>
          <w:sz w:val="20"/>
          <w:szCs w:val="20"/>
          <w:lang w:val="en-GB"/>
        </w:rPr>
        <w:t xml:space="preserve"> internet </w:t>
      </w:r>
      <w:r w:rsidRPr="00303EB3">
        <w:rPr>
          <w:b/>
          <w:sz w:val="20"/>
          <w:szCs w:val="20"/>
          <w:lang w:val="en-GB"/>
        </w:rPr>
        <w:t xml:space="preserve">broadcasts of classic TV stations </w:t>
      </w:r>
      <w:r w:rsidRPr="00303EB3">
        <w:rPr>
          <w:sz w:val="20"/>
          <w:szCs w:val="20"/>
          <w:lang w:val="en-GB"/>
        </w:rPr>
        <w:t xml:space="preserve">were </w:t>
      </w:r>
      <w:r w:rsidRPr="00970B85">
        <w:rPr>
          <w:sz w:val="20"/>
          <w:szCs w:val="20"/>
          <w:lang w:val="en-GB"/>
        </w:rPr>
        <w:t>watched by 24% of persons over the age of 16 in the Czech Republic. Since 2010</w:t>
      </w:r>
      <w:r w:rsidRPr="00303EB3">
        <w:rPr>
          <w:sz w:val="20"/>
          <w:szCs w:val="20"/>
          <w:lang w:val="en-GB"/>
        </w:rPr>
        <w:t>,</w:t>
      </w:r>
      <w:r w:rsidRPr="00970B85">
        <w:rPr>
          <w:sz w:val="20"/>
          <w:szCs w:val="20"/>
          <w:lang w:val="en-GB"/>
        </w:rPr>
        <w:t xml:space="preserve"> the percentage of persons watching TV on the internet has increased by 10%; online broadcast is preferred by men rather than women.</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recent years, the number of </w:t>
      </w:r>
      <w:r w:rsidRPr="00970B85">
        <w:rPr>
          <w:b/>
          <w:sz w:val="20"/>
          <w:szCs w:val="20"/>
          <w:lang w:val="en-GB"/>
        </w:rPr>
        <w:t>internet TV stations</w:t>
      </w:r>
      <w:r w:rsidRPr="00970B85">
        <w:rPr>
          <w:sz w:val="20"/>
          <w:szCs w:val="20"/>
          <w:lang w:val="en-GB"/>
        </w:rPr>
        <w:t xml:space="preserve"> functioning only online without their classic TV broadcast counterpart, e.g. </w:t>
      </w:r>
      <w:r w:rsidRPr="00054F4D">
        <w:rPr>
          <w:i/>
          <w:sz w:val="20"/>
          <w:szCs w:val="20"/>
          <w:lang w:val="en-GB"/>
        </w:rPr>
        <w:t>Stream</w:t>
      </w:r>
      <w:r w:rsidRPr="00970B85">
        <w:rPr>
          <w:sz w:val="20"/>
          <w:szCs w:val="20"/>
          <w:lang w:val="en-GB"/>
        </w:rPr>
        <w:t xml:space="preserve"> or </w:t>
      </w:r>
      <w:r w:rsidRPr="00054F4D">
        <w:rPr>
          <w:i/>
          <w:sz w:val="20"/>
          <w:szCs w:val="20"/>
          <w:lang w:val="en-GB"/>
        </w:rPr>
        <w:t>Playtvak</w:t>
      </w:r>
      <w:r w:rsidRPr="00970B85">
        <w:rPr>
          <w:sz w:val="20"/>
          <w:szCs w:val="20"/>
          <w:lang w:val="en-GB"/>
        </w:rPr>
        <w:t xml:space="preserve">, has increased. In 2016, these stations were watched by 21% of adults in the Czech Republic. They are </w:t>
      </w:r>
      <w:r w:rsidRPr="00303EB3">
        <w:rPr>
          <w:sz w:val="20"/>
          <w:szCs w:val="20"/>
          <w:lang w:val="en-GB"/>
        </w:rPr>
        <w:t>the</w:t>
      </w:r>
      <w:r w:rsidRPr="00777F18">
        <w:rPr>
          <w:color w:val="FF0000"/>
          <w:sz w:val="20"/>
          <w:szCs w:val="20"/>
          <w:lang w:val="en-GB"/>
        </w:rPr>
        <w:t xml:space="preserve"> </w:t>
      </w:r>
      <w:r w:rsidRPr="00970B85">
        <w:rPr>
          <w:sz w:val="20"/>
          <w:szCs w:val="20"/>
          <w:lang w:val="en-GB"/>
        </w:rPr>
        <w:t>most popular with the young generation – within the age group of 16–24</w:t>
      </w:r>
      <w:r w:rsidRPr="00303EB3">
        <w:rPr>
          <w:sz w:val="20"/>
          <w:szCs w:val="20"/>
          <w:lang w:val="en-GB"/>
        </w:rPr>
        <w:t xml:space="preserve">; </w:t>
      </w:r>
      <w:r w:rsidRPr="00970B85">
        <w:rPr>
          <w:sz w:val="20"/>
          <w:szCs w:val="20"/>
          <w:lang w:val="en-GB"/>
        </w:rPr>
        <w:t xml:space="preserve">programmes on these channels were watched by 46% of </w:t>
      </w:r>
      <w:r w:rsidRPr="00303EB3">
        <w:rPr>
          <w:sz w:val="20"/>
          <w:szCs w:val="20"/>
          <w:lang w:val="en-GB"/>
        </w:rPr>
        <w:t>persons, and within the 25–34 age group it was 3</w:t>
      </w:r>
      <w:r w:rsidRPr="00970B85">
        <w:rPr>
          <w:sz w:val="20"/>
          <w:szCs w:val="20"/>
          <w:lang w:val="en-GB"/>
        </w:rPr>
        <w:t>8% of persons.</w:t>
      </w:r>
    </w:p>
    <w:p w:rsidR="008C4CA2" w:rsidRPr="00970B85" w:rsidRDefault="008C4CA2" w:rsidP="008C4CA2">
      <w:pPr>
        <w:pStyle w:val="Zkladntext"/>
        <w:numPr>
          <w:ilvl w:val="0"/>
          <w:numId w:val="15"/>
        </w:numPr>
        <w:spacing w:before="0" w:after="80" w:line="264" w:lineRule="auto"/>
        <w:ind w:left="284" w:hanging="284"/>
        <w:rPr>
          <w:sz w:val="20"/>
          <w:szCs w:val="20"/>
          <w:lang w:val="en-GB"/>
        </w:rPr>
      </w:pPr>
      <w:r w:rsidRPr="00970B85">
        <w:rPr>
          <w:sz w:val="20"/>
          <w:szCs w:val="20"/>
          <w:lang w:val="en-GB"/>
        </w:rPr>
        <w:lastRenderedPageBreak/>
        <w:t xml:space="preserve">Spectators </w:t>
      </w:r>
      <w:r w:rsidRPr="00303EB3">
        <w:rPr>
          <w:sz w:val="20"/>
          <w:szCs w:val="20"/>
          <w:lang w:val="en-GB"/>
        </w:rPr>
        <w:t xml:space="preserve">with </w:t>
      </w:r>
      <w:r w:rsidRPr="00970B85">
        <w:rPr>
          <w:sz w:val="20"/>
          <w:szCs w:val="20"/>
          <w:lang w:val="en-GB"/>
        </w:rPr>
        <w:t>higher demands</w:t>
      </w:r>
      <w:r w:rsidRPr="00303EB3">
        <w:rPr>
          <w:sz w:val="20"/>
          <w:szCs w:val="20"/>
          <w:lang w:val="en-GB"/>
        </w:rPr>
        <w:t>, w</w:t>
      </w:r>
      <w:r w:rsidRPr="00970B85">
        <w:rPr>
          <w:sz w:val="20"/>
          <w:szCs w:val="20"/>
          <w:lang w:val="en-GB"/>
        </w:rPr>
        <w:t xml:space="preserve">ho find the offer of internet TV broadcasts </w:t>
      </w:r>
      <w:r w:rsidRPr="00303EB3">
        <w:rPr>
          <w:sz w:val="20"/>
          <w:szCs w:val="20"/>
          <w:lang w:val="en-GB"/>
        </w:rPr>
        <w:t xml:space="preserve">insufficient, may pay for the </w:t>
      </w:r>
      <w:r w:rsidRPr="00970B85">
        <w:rPr>
          <w:sz w:val="20"/>
          <w:szCs w:val="20"/>
          <w:lang w:val="en-GB"/>
        </w:rPr>
        <w:t xml:space="preserve">access to </w:t>
      </w:r>
      <w:r w:rsidRPr="00970B85">
        <w:rPr>
          <w:b/>
          <w:sz w:val="20"/>
          <w:szCs w:val="20"/>
          <w:lang w:val="en-GB"/>
        </w:rPr>
        <w:t>catalogues of paid programmes</w:t>
      </w:r>
      <w:r w:rsidRPr="00970B85">
        <w:rPr>
          <w:sz w:val="20"/>
          <w:szCs w:val="20"/>
          <w:lang w:val="en-GB"/>
        </w:rPr>
        <w:t xml:space="preserve">, e.g. </w:t>
      </w:r>
      <w:r w:rsidRPr="00054F4D">
        <w:rPr>
          <w:i/>
          <w:sz w:val="20"/>
          <w:szCs w:val="20"/>
          <w:lang w:val="en-GB"/>
        </w:rPr>
        <w:t>Netflix</w:t>
      </w:r>
      <w:r w:rsidRPr="00970B85">
        <w:rPr>
          <w:sz w:val="20"/>
          <w:szCs w:val="20"/>
          <w:lang w:val="en-GB"/>
        </w:rPr>
        <w:t xml:space="preserve">, </w:t>
      </w:r>
      <w:r w:rsidRPr="00054F4D">
        <w:rPr>
          <w:i/>
          <w:sz w:val="20"/>
          <w:szCs w:val="20"/>
          <w:lang w:val="en-GB"/>
        </w:rPr>
        <w:t>Voyo</w:t>
      </w:r>
      <w:r w:rsidRPr="00970B85">
        <w:rPr>
          <w:sz w:val="20"/>
          <w:szCs w:val="20"/>
          <w:lang w:val="en-GB"/>
        </w:rPr>
        <w:t xml:space="preserve">, </w:t>
      </w:r>
      <w:r w:rsidRPr="00054F4D">
        <w:rPr>
          <w:i/>
          <w:sz w:val="20"/>
          <w:szCs w:val="20"/>
          <w:lang w:val="en-GB"/>
        </w:rPr>
        <w:t>DIGI2GO</w:t>
      </w:r>
      <w:r w:rsidRPr="00970B85">
        <w:rPr>
          <w:sz w:val="20"/>
          <w:szCs w:val="20"/>
          <w:lang w:val="en-GB"/>
        </w:rPr>
        <w:t xml:space="preserve"> or </w:t>
      </w:r>
      <w:r w:rsidRPr="00054F4D">
        <w:rPr>
          <w:i/>
          <w:sz w:val="20"/>
          <w:szCs w:val="20"/>
          <w:lang w:val="en-GB"/>
        </w:rPr>
        <w:t>HBO GO</w:t>
      </w:r>
      <w:r w:rsidRPr="00303EB3">
        <w:rPr>
          <w:sz w:val="20"/>
          <w:szCs w:val="20"/>
          <w:lang w:val="en-GB"/>
        </w:rPr>
        <w:t xml:space="preserve">, </w:t>
      </w:r>
      <w:r w:rsidRPr="00970B85">
        <w:rPr>
          <w:sz w:val="20"/>
          <w:szCs w:val="20"/>
          <w:lang w:val="en-GB"/>
        </w:rPr>
        <w:t xml:space="preserve">where they may select from a wide range of films. In the Czech Republic, this option is used only by a small group of inhabitants. In 2017, only 4% of inhabitants claimed to have used the programme range of </w:t>
      </w:r>
      <w:r w:rsidRPr="00970B85">
        <w:rPr>
          <w:b/>
          <w:sz w:val="20"/>
          <w:szCs w:val="20"/>
          <w:lang w:val="en-GB"/>
        </w:rPr>
        <w:t>catalogues of paid films</w:t>
      </w:r>
      <w:r w:rsidRPr="00303EB3">
        <w:rPr>
          <w:rStyle w:val="Znakapoznpodarou"/>
          <w:sz w:val="20"/>
          <w:szCs w:val="20"/>
          <w:lang w:val="en-GB"/>
        </w:rPr>
        <w:footnoteReference w:id="31"/>
      </w:r>
      <w:r w:rsidRPr="00970B85">
        <w:rPr>
          <w:sz w:val="20"/>
          <w:szCs w:val="20"/>
          <w:lang w:val="en-GB"/>
        </w:rPr>
        <w:t>, the majority</w:t>
      </w:r>
      <w:r w:rsidRPr="00970B85">
        <w:rPr>
          <w:b/>
          <w:sz w:val="20"/>
          <w:szCs w:val="20"/>
          <w:lang w:val="en-GB"/>
        </w:rPr>
        <w:t xml:space="preserve"> </w:t>
      </w:r>
      <w:r w:rsidRPr="00970B85">
        <w:rPr>
          <w:sz w:val="20"/>
          <w:szCs w:val="20"/>
          <w:lang w:val="en-GB"/>
        </w:rPr>
        <w:t xml:space="preserve">of which consists of younger age groups, university graduates, and students. </w:t>
      </w:r>
    </w:p>
    <w:p w:rsidR="008C4CA2" w:rsidRPr="00970B85" w:rsidRDefault="008C4CA2" w:rsidP="008C4CA2">
      <w:pPr>
        <w:pStyle w:val="Zkladntext"/>
        <w:spacing w:before="0" w:after="120" w:line="288" w:lineRule="auto"/>
        <w:rPr>
          <w:sz w:val="20"/>
          <w:szCs w:val="20"/>
          <w:lang w:val="en-GB"/>
        </w:rPr>
      </w:pPr>
      <w:r>
        <w:rPr>
          <w:noProof/>
        </w:rPr>
        <w:drawing>
          <wp:inline distT="0" distB="0" distL="0" distR="0" wp14:anchorId="314BE403" wp14:editId="47770D39">
            <wp:extent cx="6084000" cy="3600000"/>
            <wp:effectExtent l="0" t="0" r="0" b="0"/>
            <wp:docPr id="94" name="Graf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C4CA2" w:rsidRPr="00284620"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284620">
        <w:rPr>
          <w:sz w:val="20"/>
          <w:szCs w:val="20"/>
          <w:lang w:val="en-GB"/>
        </w:rPr>
        <w:t xml:space="preserve">The </w:t>
      </w:r>
      <w:r w:rsidRPr="00284620">
        <w:rPr>
          <w:b/>
          <w:sz w:val="20"/>
          <w:szCs w:val="20"/>
          <w:lang w:val="en-GB"/>
        </w:rPr>
        <w:t>international comparison</w:t>
      </w:r>
      <w:r w:rsidRPr="00284620">
        <w:rPr>
          <w:sz w:val="20"/>
          <w:szCs w:val="20"/>
          <w:lang w:val="en-GB"/>
        </w:rPr>
        <w:t xml:space="preserve"> shows that this activity is not too typical of Czech citizens. Within the European Union, in 2016, the percentage of individuals (16–74 of age) watching paid online programmes in the Czech Republic, along with Romania, was of the lowest value (3%), compared to 17% which represent the average use within the EU28. Across all EU countries, this option is mainly used by the young generation. For instance, in 2016, more than a half of individuals aged 16–29 claimed to have watched videos on the internet by means of paid film catalogues in the following EU countries – in Great Britain (53%), in Sweden (59%), in the Netherlands (60%), in Finland (66%), and in Denmark it was even 72%. </w:t>
      </w:r>
    </w:p>
    <w:p w:rsidR="008C4CA2" w:rsidRPr="00970B85" w:rsidRDefault="008C4CA2" w:rsidP="008C4CA2">
      <w:pPr>
        <w:pStyle w:val="Nadpis3"/>
      </w:pPr>
      <w:bookmarkStart w:id="95" w:name="_Toc533697515"/>
      <w:bookmarkStart w:id="96" w:name="_Toc534712014"/>
      <w:r w:rsidRPr="00970B85">
        <w:t>Internet us</w:t>
      </w:r>
      <w:r>
        <w:t xml:space="preserve">e for </w:t>
      </w:r>
      <w:r w:rsidRPr="00970B85">
        <w:t>travelling</w:t>
      </w:r>
      <w:r>
        <w:t xml:space="preserve"> and accommodation</w:t>
      </w:r>
      <w:bookmarkEnd w:id="95"/>
      <w:bookmarkEnd w:id="96"/>
    </w:p>
    <w:p w:rsidR="008C4CA2" w:rsidRPr="00970B85" w:rsidRDefault="008C4CA2" w:rsidP="008C4CA2">
      <w:pPr>
        <w:pStyle w:val="Zkladntext"/>
        <w:spacing w:before="0" w:after="80" w:line="264" w:lineRule="auto"/>
        <w:rPr>
          <w:i/>
          <w:sz w:val="20"/>
          <w:szCs w:val="20"/>
          <w:lang w:val="en-GB"/>
        </w:rPr>
      </w:pPr>
      <w:r w:rsidRPr="00970B85">
        <w:rPr>
          <w:i/>
          <w:sz w:val="20"/>
          <w:szCs w:val="20"/>
          <w:lang w:val="en-GB"/>
        </w:rPr>
        <w:t>Persons planning trips, whether of a domestic or international nature, find the internet as a priceless means of assistance. Besides searching for information, it is also possible to purchase flight tickets or other transport tickets</w:t>
      </w:r>
      <w:r w:rsidRPr="009A556A">
        <w:rPr>
          <w:i/>
          <w:sz w:val="20"/>
          <w:szCs w:val="20"/>
          <w:lang w:val="en-GB"/>
        </w:rPr>
        <w:t>, as well as to book accommodations</w:t>
      </w:r>
      <w:r w:rsidRPr="00970B85">
        <w:rPr>
          <w:i/>
          <w:sz w:val="20"/>
          <w:szCs w:val="20"/>
          <w:lang w:val="en-GB"/>
        </w:rPr>
        <w:t>. The trend of recent years is travelling by private cars within the car-sharing option and booking accommodation with private providers – all arranged via the internet.</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2017, 44% of inhabitants over the age of 16 in the Czech Republic claimed to have searched for </w:t>
      </w:r>
      <w:r w:rsidRPr="00970B85">
        <w:rPr>
          <w:b/>
          <w:sz w:val="20"/>
          <w:szCs w:val="20"/>
          <w:lang w:val="en-GB"/>
        </w:rPr>
        <w:t>information related to travelling and accommodation</w:t>
      </w:r>
      <w:r w:rsidRPr="00970B85">
        <w:rPr>
          <w:sz w:val="20"/>
          <w:szCs w:val="20"/>
          <w:lang w:val="en-GB"/>
        </w:rPr>
        <w:t xml:space="preserve"> on the internet</w:t>
      </w:r>
      <w:r w:rsidRPr="009A556A">
        <w:rPr>
          <w:rStyle w:val="Znakapoznpodarou"/>
          <w:sz w:val="20"/>
          <w:szCs w:val="20"/>
          <w:lang w:val="en-GB"/>
        </w:rPr>
        <w:footnoteReference w:id="32"/>
      </w:r>
      <w:r w:rsidRPr="00970B85">
        <w:rPr>
          <w:sz w:val="20"/>
          <w:szCs w:val="20"/>
          <w:lang w:val="en-GB"/>
        </w:rPr>
        <w:t>. This activity was more frequently performed by women</w:t>
      </w:r>
      <w:r w:rsidRPr="005860C6">
        <w:rPr>
          <w:sz w:val="20"/>
          <w:szCs w:val="20"/>
          <w:lang w:val="en-GB"/>
        </w:rPr>
        <w:t>,</w:t>
      </w:r>
      <w:r w:rsidRPr="00970B85">
        <w:rPr>
          <w:sz w:val="20"/>
          <w:szCs w:val="20"/>
          <w:lang w:val="en-GB"/>
        </w:rPr>
        <w:t xml:space="preserve"> and, with respect to age, younger persons (aged 25–34). </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lastRenderedPageBreak/>
        <w:t xml:space="preserve">Merely a fifth of inhabitants of the Czech Republic </w:t>
      </w:r>
      <w:r w:rsidRPr="00970B85">
        <w:rPr>
          <w:b/>
          <w:sz w:val="20"/>
          <w:szCs w:val="20"/>
          <w:lang w:val="en-GB"/>
        </w:rPr>
        <w:t xml:space="preserve">paid for their accommodation via the internet </w:t>
      </w:r>
      <w:r w:rsidRPr="00970B85">
        <w:rPr>
          <w:sz w:val="20"/>
          <w:szCs w:val="20"/>
          <w:lang w:val="en-GB"/>
        </w:rPr>
        <w:t xml:space="preserve">in 2017; those were mainly individuals aged 25–44. Accommodation over the internet is also more frequently arranged by university graduates. In the same year, 9% of persons over the age of 16 bought a </w:t>
      </w:r>
      <w:r w:rsidRPr="00970B85">
        <w:rPr>
          <w:b/>
          <w:sz w:val="20"/>
          <w:szCs w:val="20"/>
          <w:lang w:val="en-GB"/>
        </w:rPr>
        <w:t>flight ticket or travel ticket</w:t>
      </w:r>
      <w:r w:rsidRPr="00970B85">
        <w:rPr>
          <w:sz w:val="20"/>
          <w:szCs w:val="20"/>
          <w:lang w:val="en-GB"/>
        </w:rPr>
        <w:t xml:space="preserve"> over the internet. </w:t>
      </w:r>
      <w:r w:rsidRPr="009A556A">
        <w:rPr>
          <w:sz w:val="20"/>
          <w:szCs w:val="20"/>
          <w:lang w:val="en-GB"/>
        </w:rPr>
        <w:t>They</w:t>
      </w:r>
      <w:r w:rsidRPr="00970B85">
        <w:rPr>
          <w:sz w:val="20"/>
          <w:szCs w:val="20"/>
          <w:lang w:val="en-GB"/>
        </w:rPr>
        <w:t xml:space="preserve"> were mainly students or university graduates.</w:t>
      </w:r>
    </w:p>
    <w:p w:rsidR="008C4CA2" w:rsidRPr="00970B85" w:rsidRDefault="008C4CA2" w:rsidP="008C4CA2">
      <w:pPr>
        <w:pStyle w:val="Zkladntext"/>
        <w:spacing w:before="0" w:after="120" w:line="288" w:lineRule="auto"/>
        <w:rPr>
          <w:lang w:val="en-GB"/>
        </w:rPr>
      </w:pPr>
      <w:r w:rsidRPr="00970B85">
        <w:rPr>
          <w:noProof/>
        </w:rPr>
        <w:drawing>
          <wp:inline distT="0" distB="0" distL="0" distR="0" wp14:anchorId="3D431E25" wp14:editId="52E8547F">
            <wp:extent cx="2988000" cy="3240000"/>
            <wp:effectExtent l="0" t="0" r="3175" b="0"/>
            <wp:docPr id="132" name="Graf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970B85">
        <w:rPr>
          <w:noProof/>
          <w:sz w:val="20"/>
          <w:szCs w:val="20"/>
          <w:lang w:val="en-GB"/>
        </w:rPr>
        <w:t xml:space="preserve"> </w:t>
      </w:r>
      <w:r w:rsidRPr="00970B85">
        <w:rPr>
          <w:noProof/>
        </w:rPr>
        <w:drawing>
          <wp:inline distT="0" distB="0" distL="0" distR="0" wp14:anchorId="35FE6AEC" wp14:editId="7C58B0F4">
            <wp:extent cx="3060000" cy="3240000"/>
            <wp:effectExtent l="0" t="0" r="7620" b="0"/>
            <wp:docPr id="133" name="Graf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Czech people are very active with respect to seeking information on travelling and accommodation. In </w:t>
      </w:r>
      <w:r w:rsidRPr="00970B85">
        <w:rPr>
          <w:b/>
          <w:sz w:val="20"/>
          <w:szCs w:val="20"/>
          <w:lang w:val="en-GB"/>
        </w:rPr>
        <w:t>European comparison</w:t>
      </w:r>
      <w:r w:rsidRPr="009A556A">
        <w:rPr>
          <w:sz w:val="20"/>
          <w:szCs w:val="20"/>
          <w:lang w:val="en-GB"/>
        </w:rPr>
        <w:t>,</w:t>
      </w:r>
      <w:r w:rsidRPr="00970B85">
        <w:rPr>
          <w:sz w:val="20"/>
          <w:szCs w:val="20"/>
          <w:lang w:val="en-GB"/>
        </w:rPr>
        <w:t xml:space="preserve"> for 2017, the Czech Republic found itself on the </w:t>
      </w:r>
      <w:r w:rsidRPr="00970B85">
        <w:rPr>
          <w:b/>
          <w:sz w:val="20"/>
          <w:szCs w:val="20"/>
          <w:lang w:val="en-GB"/>
        </w:rPr>
        <w:t>eighth highest ranking</w:t>
      </w:r>
      <w:r w:rsidRPr="00970B85">
        <w:rPr>
          <w:sz w:val="20"/>
          <w:szCs w:val="20"/>
          <w:lang w:val="en-GB"/>
        </w:rPr>
        <w:t xml:space="preserve">. Citizens of Luxembourg, Germany, and Scandinavia have been most active in this area. Should we compare the results for the years 2007 and 2017, in this decade </w:t>
      </w:r>
      <w:r w:rsidRPr="00970B85">
        <w:rPr>
          <w:b/>
          <w:sz w:val="20"/>
          <w:szCs w:val="20"/>
          <w:lang w:val="en-GB"/>
        </w:rPr>
        <w:t>the Czech Republic has recorded the highest increase</w:t>
      </w:r>
      <w:r w:rsidRPr="00970B85">
        <w:rPr>
          <w:sz w:val="20"/>
          <w:szCs w:val="20"/>
          <w:lang w:val="en-GB"/>
        </w:rPr>
        <w:t xml:space="preserve"> in individuals</w:t>
      </w:r>
      <w:r w:rsidRPr="009A556A">
        <w:rPr>
          <w:sz w:val="20"/>
          <w:szCs w:val="20"/>
          <w:lang w:val="en-GB"/>
        </w:rPr>
        <w:t>,</w:t>
      </w:r>
      <w:r w:rsidRPr="00970B85">
        <w:rPr>
          <w:sz w:val="20"/>
          <w:szCs w:val="20"/>
          <w:lang w:val="en-GB"/>
        </w:rPr>
        <w:t xml:space="preserve"> who use the internet for information seeking on travelling and accommodation.</w:t>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In the Czech Republic, in 2017</w:t>
      </w:r>
      <w:r w:rsidRPr="009A556A">
        <w:rPr>
          <w:sz w:val="20"/>
          <w:szCs w:val="20"/>
          <w:lang w:val="en-GB"/>
        </w:rPr>
        <w:t>,</w:t>
      </w:r>
      <w:r w:rsidRPr="00970B85">
        <w:rPr>
          <w:sz w:val="20"/>
          <w:szCs w:val="20"/>
          <w:lang w:val="en-GB"/>
        </w:rPr>
        <w:t xml:space="preserve"> </w:t>
      </w:r>
      <w:r w:rsidRPr="00970B85">
        <w:rPr>
          <w:b/>
          <w:sz w:val="20"/>
          <w:szCs w:val="20"/>
          <w:lang w:val="en-GB"/>
        </w:rPr>
        <w:t>accommodation</w:t>
      </w:r>
      <w:r w:rsidRPr="00970B85">
        <w:rPr>
          <w:sz w:val="20"/>
          <w:szCs w:val="20"/>
          <w:lang w:val="en-GB"/>
        </w:rPr>
        <w:t xml:space="preserve"> was arranged via the internet </w:t>
      </w:r>
      <w:r w:rsidRPr="00970B85">
        <w:rPr>
          <w:b/>
          <w:sz w:val="20"/>
          <w:szCs w:val="20"/>
          <w:lang w:val="en-GB"/>
        </w:rPr>
        <w:t>from private providers</w:t>
      </w:r>
      <w:r w:rsidRPr="00970B85">
        <w:rPr>
          <w:sz w:val="20"/>
          <w:szCs w:val="20"/>
          <w:lang w:val="en-GB"/>
        </w:rPr>
        <w:t xml:space="preserve"> by 4.4% of individuals. Approximately a half of </w:t>
      </w:r>
      <w:r w:rsidRPr="009A556A">
        <w:rPr>
          <w:sz w:val="20"/>
          <w:szCs w:val="20"/>
          <w:lang w:val="en-GB"/>
        </w:rPr>
        <w:t>them</w:t>
      </w:r>
      <w:r w:rsidRPr="00777F18">
        <w:rPr>
          <w:color w:val="FF0000"/>
          <w:sz w:val="20"/>
          <w:szCs w:val="20"/>
          <w:lang w:val="en-GB"/>
        </w:rPr>
        <w:t xml:space="preserve"> </w:t>
      </w:r>
      <w:r w:rsidRPr="00970B85">
        <w:rPr>
          <w:sz w:val="20"/>
          <w:szCs w:val="20"/>
          <w:lang w:val="en-GB"/>
        </w:rPr>
        <w:t>used specialised platforms to do this (e.g. Airbnb, Couchsurfing), the other half used other websites (e.g. groups within social networks). This indicator represents the number of persons</w:t>
      </w:r>
      <w:r w:rsidRPr="009A556A">
        <w:rPr>
          <w:sz w:val="20"/>
          <w:szCs w:val="20"/>
          <w:lang w:val="en-GB"/>
        </w:rPr>
        <w:t>,</w:t>
      </w:r>
      <w:r w:rsidRPr="00970B85">
        <w:rPr>
          <w:sz w:val="20"/>
          <w:szCs w:val="20"/>
          <w:lang w:val="en-GB"/>
        </w:rPr>
        <w:t xml:space="preserve"> who arrange this type of accommodation via the internet. These persons then went on holiday by themselves or with their families or friends. The indicator will provide even more evidence if concerning the total percentage of persons</w:t>
      </w:r>
      <w:r w:rsidRPr="00B73F5A">
        <w:rPr>
          <w:sz w:val="20"/>
          <w:szCs w:val="20"/>
          <w:lang w:val="en-GB"/>
        </w:rPr>
        <w:t xml:space="preserve">, </w:t>
      </w:r>
      <w:r w:rsidRPr="00970B85">
        <w:rPr>
          <w:sz w:val="20"/>
          <w:szCs w:val="20"/>
          <w:lang w:val="en-GB"/>
        </w:rPr>
        <w:t>who arranged some type of accommodation via the internet (therefore, including the accommodation from legal entities). With respect to this, the percentage of persons arranging accommodation from private providers amounted to 21%.</w:t>
      </w:r>
    </w:p>
    <w:p w:rsidR="008C4CA2" w:rsidRPr="00970B85" w:rsidRDefault="008C4CA2" w:rsidP="008C4CA2">
      <w:pPr>
        <w:pStyle w:val="Zkladntext"/>
        <w:spacing w:before="0" w:after="120" w:line="288" w:lineRule="auto"/>
        <w:rPr>
          <w:sz w:val="20"/>
          <w:szCs w:val="20"/>
          <w:lang w:val="en-GB"/>
        </w:rPr>
      </w:pPr>
      <w:r w:rsidRPr="00970B85">
        <w:rPr>
          <w:noProof/>
        </w:rPr>
        <w:lastRenderedPageBreak/>
        <w:drawing>
          <wp:inline distT="0" distB="0" distL="0" distR="0" wp14:anchorId="71897CF2" wp14:editId="428B36F1">
            <wp:extent cx="5972175" cy="3960000"/>
            <wp:effectExtent l="0" t="0" r="0" b="0"/>
            <wp:docPr id="134" name="Graf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b/>
          <w:lang w:val="en-GB"/>
        </w:rPr>
      </w:pPr>
      <w:r w:rsidRPr="00970B85">
        <w:rPr>
          <w:sz w:val="20"/>
          <w:szCs w:val="20"/>
          <w:lang w:val="en-GB"/>
        </w:rPr>
        <w:t xml:space="preserve">Apart from shared accommodation, there are also websites providing </w:t>
      </w:r>
      <w:r w:rsidRPr="00970B85">
        <w:rPr>
          <w:b/>
          <w:sz w:val="20"/>
          <w:szCs w:val="20"/>
          <w:lang w:val="en-GB"/>
        </w:rPr>
        <w:t>car-sharing</w:t>
      </w:r>
      <w:r w:rsidRPr="00E90798">
        <w:rPr>
          <w:sz w:val="20"/>
          <w:szCs w:val="20"/>
          <w:lang w:val="en-GB"/>
        </w:rPr>
        <w:t>.</w:t>
      </w:r>
      <w:r w:rsidRPr="00970B85">
        <w:rPr>
          <w:sz w:val="20"/>
          <w:szCs w:val="20"/>
          <w:lang w:val="en-GB"/>
        </w:rPr>
        <w:t xml:space="preserve"> Car-sharing commenced among </w:t>
      </w:r>
      <w:r w:rsidRPr="00E90798">
        <w:rPr>
          <w:sz w:val="20"/>
          <w:szCs w:val="20"/>
          <w:lang w:val="en-GB"/>
        </w:rPr>
        <w:t xml:space="preserve">students in 2010, </w:t>
      </w:r>
      <w:r w:rsidRPr="00970B85">
        <w:rPr>
          <w:sz w:val="20"/>
          <w:szCs w:val="20"/>
          <w:lang w:val="en-GB"/>
        </w:rPr>
        <w:t>and it pioneered car-sharing in the Czech Republic. Similarly, to accommodation, even here the interested persons may use specialised websites and applications (e.g.</w:t>
      </w:r>
      <w:r>
        <w:rPr>
          <w:sz w:val="20"/>
          <w:szCs w:val="20"/>
          <w:lang w:val="en-GB"/>
        </w:rPr>
        <w:t> </w:t>
      </w:r>
      <w:r w:rsidRPr="00970B85">
        <w:rPr>
          <w:sz w:val="20"/>
          <w:szCs w:val="20"/>
          <w:lang w:val="en-GB"/>
        </w:rPr>
        <w:t>Uber, BlablaCar.cz)</w:t>
      </w:r>
      <w:r w:rsidRPr="00E90798">
        <w:rPr>
          <w:sz w:val="20"/>
          <w:szCs w:val="20"/>
          <w:lang w:val="en-GB"/>
        </w:rPr>
        <w:t xml:space="preserve">, </w:t>
      </w:r>
      <w:r w:rsidRPr="00970B85">
        <w:rPr>
          <w:sz w:val="20"/>
          <w:szCs w:val="20"/>
          <w:lang w:val="en-GB"/>
        </w:rPr>
        <w:t>and other websites and applications (e.g. groups within social networks). In 2017 this service (via any kind of website or application) was used by 1.6% of individuals, i.e. 16% of users</w:t>
      </w:r>
      <w:r w:rsidRPr="002C01B0">
        <w:rPr>
          <w:sz w:val="20"/>
          <w:szCs w:val="20"/>
          <w:lang w:val="en-GB"/>
        </w:rPr>
        <w:t>,</w:t>
      </w:r>
      <w:r w:rsidRPr="00970B85">
        <w:rPr>
          <w:sz w:val="20"/>
          <w:szCs w:val="20"/>
          <w:lang w:val="en-GB"/>
        </w:rPr>
        <w:t xml:space="preserve"> who arranged transportation via th</w:t>
      </w:r>
      <w:r>
        <w:rPr>
          <w:sz w:val="20"/>
          <w:szCs w:val="20"/>
          <w:lang w:val="en-GB"/>
        </w:rPr>
        <w:t xml:space="preserve">e internet. With respect to </w:t>
      </w:r>
      <w:r w:rsidRPr="00E90798">
        <w:rPr>
          <w:sz w:val="20"/>
          <w:szCs w:val="20"/>
          <w:lang w:val="en-GB"/>
        </w:rPr>
        <w:t xml:space="preserve">car-sharing, </w:t>
      </w:r>
      <w:r w:rsidRPr="00970B85">
        <w:rPr>
          <w:sz w:val="20"/>
          <w:szCs w:val="20"/>
          <w:lang w:val="en-GB"/>
        </w:rPr>
        <w:t xml:space="preserve">the most involved group is </w:t>
      </w:r>
      <w:r w:rsidRPr="00E90798">
        <w:rPr>
          <w:sz w:val="20"/>
          <w:szCs w:val="20"/>
          <w:lang w:val="en-GB"/>
        </w:rPr>
        <w:t>the 16–24 age group (6</w:t>
      </w:r>
      <w:r w:rsidRPr="00970B85">
        <w:rPr>
          <w:sz w:val="20"/>
          <w:szCs w:val="20"/>
          <w:lang w:val="en-GB"/>
        </w:rPr>
        <w:t>%), or students (8%).</w:t>
      </w:r>
    </w:p>
    <w:p w:rsidR="008C4CA2" w:rsidRPr="00970B85" w:rsidRDefault="008C4CA2" w:rsidP="008C4CA2">
      <w:pPr>
        <w:pStyle w:val="Nadpis3"/>
        <w:rPr>
          <w:color w:val="FFFFFF" w:themeColor="background1"/>
          <w:sz w:val="4"/>
          <w:szCs w:val="4"/>
        </w:rPr>
      </w:pPr>
      <w:bookmarkStart w:id="97" w:name="_Toc533697516"/>
      <w:bookmarkStart w:id="98" w:name="_Toc534712015"/>
      <w:r w:rsidRPr="00970B85">
        <w:t>Us</w:t>
      </w:r>
      <w:r>
        <w:t>e of cloud computing and internet banking by individuals</w:t>
      </w:r>
      <w:bookmarkEnd w:id="97"/>
      <w:bookmarkEnd w:id="98"/>
    </w:p>
    <w:p w:rsidR="008E55E4" w:rsidRDefault="008C4CA2" w:rsidP="008E55E4">
      <w:pPr>
        <w:pStyle w:val="Zkladntext"/>
        <w:widowControl w:val="0"/>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With respect to the interconnection of various types of electronic devices used for internet access, the usage of </w:t>
      </w:r>
      <w:r w:rsidRPr="00970B85">
        <w:rPr>
          <w:b/>
          <w:sz w:val="20"/>
          <w:szCs w:val="20"/>
          <w:lang w:val="en-GB"/>
        </w:rPr>
        <w:t>internet storage space</w:t>
      </w:r>
      <w:r w:rsidRPr="00970B85">
        <w:rPr>
          <w:rStyle w:val="Znakapoznpodarou"/>
          <w:rFonts w:cs="Arial"/>
          <w:sz w:val="20"/>
          <w:szCs w:val="20"/>
          <w:lang w:val="en-GB"/>
        </w:rPr>
        <w:footnoteReference w:id="33"/>
      </w:r>
      <w:r w:rsidRPr="00970B85">
        <w:rPr>
          <w:sz w:val="20"/>
          <w:szCs w:val="20"/>
          <w:lang w:val="en-GB"/>
        </w:rPr>
        <w:t xml:space="preserve"> has become increasingly significant. In 2017, internet storage space in the Czech Republic was used by 22% of individuals. Compared to the year 2014, this number </w:t>
      </w:r>
      <w:r w:rsidRPr="00BC5E5C">
        <w:rPr>
          <w:sz w:val="20"/>
          <w:szCs w:val="20"/>
          <w:lang w:val="en-GB"/>
        </w:rPr>
        <w:t>has</w:t>
      </w:r>
      <w:r w:rsidRPr="00970B85">
        <w:rPr>
          <w:sz w:val="20"/>
          <w:szCs w:val="20"/>
          <w:lang w:val="en-GB"/>
        </w:rPr>
        <w:t xml:space="preserve"> increased by 7%. There is a higher number of male users than female (25% and 19%, respectively). The highest number (48%) is recorded within the age group 16–24. These services are frequently used by students</w:t>
      </w:r>
      <w:r>
        <w:rPr>
          <w:sz w:val="20"/>
          <w:szCs w:val="20"/>
          <w:lang w:val="en-GB"/>
        </w:rPr>
        <w:t xml:space="preserve"> </w:t>
      </w:r>
      <w:r w:rsidRPr="00970B85">
        <w:rPr>
          <w:sz w:val="20"/>
          <w:szCs w:val="20"/>
          <w:lang w:val="en-GB"/>
        </w:rPr>
        <w:t>(54%)</w:t>
      </w:r>
      <w:r w:rsidRPr="00BC5E5C">
        <w:rPr>
          <w:sz w:val="20"/>
          <w:szCs w:val="20"/>
          <w:lang w:val="en-GB"/>
        </w:rPr>
        <w:t>,</w:t>
      </w:r>
      <w:r w:rsidRPr="00970B85">
        <w:rPr>
          <w:sz w:val="20"/>
          <w:szCs w:val="20"/>
          <w:lang w:val="en-GB"/>
        </w:rPr>
        <w:t xml:space="preserve"> who use devices with access to the internet more often, therefore they appreciate the possibility of access to documents from various places.</w:t>
      </w:r>
    </w:p>
    <w:p w:rsidR="008E55E4" w:rsidRDefault="008E55E4">
      <w:pPr>
        <w:spacing w:after="0" w:line="240" w:lineRule="auto"/>
        <w:rPr>
          <w:szCs w:val="20"/>
        </w:rPr>
      </w:pPr>
      <w:r>
        <w:rPr>
          <w:szCs w:val="20"/>
        </w:rPr>
        <w:br w:type="page"/>
      </w:r>
    </w:p>
    <w:p w:rsidR="008C4CA2" w:rsidRPr="008E55E4" w:rsidRDefault="008E55E4" w:rsidP="008E55E4">
      <w:pPr>
        <w:pStyle w:val="Zkladntext"/>
        <w:numPr>
          <w:ilvl w:val="0"/>
          <w:numId w:val="19"/>
        </w:numPr>
        <w:spacing w:before="0" w:after="80" w:line="264" w:lineRule="auto"/>
        <w:ind w:left="284" w:hanging="284"/>
        <w:rPr>
          <w:b/>
          <w:bCs/>
          <w:i/>
          <w:sz w:val="20"/>
          <w:szCs w:val="20"/>
          <w:lang w:val="en-GB"/>
        </w:rPr>
      </w:pPr>
      <w:r>
        <w:rPr>
          <w:noProof/>
        </w:rPr>
        <w:lastRenderedPageBreak/>
        <w:drawing>
          <wp:anchor distT="0" distB="0" distL="114300" distR="114300" simplePos="0" relativeHeight="251601408" behindDoc="0" locked="0" layoutInCell="1" allowOverlap="1" wp14:anchorId="0454621A" wp14:editId="34442D27">
            <wp:simplePos x="0" y="0"/>
            <wp:positionH relativeFrom="column">
              <wp:posOffset>3232785</wp:posOffset>
            </wp:positionH>
            <wp:positionV relativeFrom="paragraph">
              <wp:posOffset>15875</wp:posOffset>
            </wp:positionV>
            <wp:extent cx="3023870" cy="2700000"/>
            <wp:effectExtent l="0" t="0" r="5080" b="5715"/>
            <wp:wrapSquare wrapText="bothSides"/>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008C4CA2" w:rsidRPr="00970B85">
        <w:rPr>
          <w:noProof/>
        </w:rPr>
        <w:drawing>
          <wp:anchor distT="0" distB="0" distL="114300" distR="114300" simplePos="0" relativeHeight="251591168" behindDoc="1" locked="0" layoutInCell="1" allowOverlap="1" wp14:anchorId="71C78C19" wp14:editId="0F567F0A">
            <wp:simplePos x="0" y="0"/>
            <wp:positionH relativeFrom="column">
              <wp:posOffset>146685</wp:posOffset>
            </wp:positionH>
            <wp:positionV relativeFrom="paragraph">
              <wp:posOffset>12065</wp:posOffset>
            </wp:positionV>
            <wp:extent cx="2987675" cy="2700000"/>
            <wp:effectExtent l="0" t="0" r="3175" b="5715"/>
            <wp:wrapTight wrapText="bothSides">
              <wp:wrapPolygon edited="0">
                <wp:start x="0" y="0"/>
                <wp:lineTo x="0" y="21493"/>
                <wp:lineTo x="21485" y="21493"/>
                <wp:lineTo x="21485" y="0"/>
                <wp:lineTo x="0" y="0"/>
              </wp:wrapPolygon>
            </wp:wrapTight>
            <wp:docPr id="135" name="Graf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r w:rsidR="008C4CA2" w:rsidRPr="00970B85">
        <w:rPr>
          <w:noProof/>
        </w:rPr>
        <mc:AlternateContent>
          <mc:Choice Requires="wps">
            <w:drawing>
              <wp:anchor distT="0" distB="0" distL="114300" distR="114300" simplePos="0" relativeHeight="251596288" behindDoc="0" locked="0" layoutInCell="1" allowOverlap="1" wp14:anchorId="3685035D" wp14:editId="27DEEA97">
                <wp:simplePos x="0" y="0"/>
                <wp:positionH relativeFrom="column">
                  <wp:posOffset>3166110</wp:posOffset>
                </wp:positionH>
                <wp:positionV relativeFrom="paragraph">
                  <wp:posOffset>1010285</wp:posOffset>
                </wp:positionV>
                <wp:extent cx="3023870" cy="142875"/>
                <wp:effectExtent l="0" t="0" r="5080" b="9525"/>
                <wp:wrapSquare wrapText="bothSides"/>
                <wp:docPr id="107" name="Textové pole 107"/>
                <wp:cNvGraphicFramePr/>
                <a:graphic xmlns:a="http://schemas.openxmlformats.org/drawingml/2006/main">
                  <a:graphicData uri="http://schemas.microsoft.com/office/word/2010/wordprocessingShape">
                    <wps:wsp>
                      <wps:cNvSpPr txBox="1"/>
                      <wps:spPr>
                        <a:xfrm>
                          <a:off x="0" y="0"/>
                          <a:ext cx="3023870" cy="142875"/>
                        </a:xfrm>
                        <a:prstGeom prst="rect">
                          <a:avLst/>
                        </a:prstGeom>
                        <a:solidFill>
                          <a:prstClr val="white"/>
                        </a:solidFill>
                        <a:ln>
                          <a:noFill/>
                        </a:ln>
                        <a:effectLst/>
                      </wps:spPr>
                      <wps:txbx>
                        <w:txbxContent>
                          <w:p w:rsidR="003945DB" w:rsidRPr="000D55B2" w:rsidRDefault="003945DB" w:rsidP="008C4CA2">
                            <w:pPr>
                              <w:pStyle w:val="Titulek"/>
                              <w:rPr>
                                <w:noProof/>
                                <w:color w:val="FFFFFF" w:themeColor="background1"/>
                                <w:sz w:val="4"/>
                                <w:szCs w:val="4"/>
                                <w:lang w:val="en-GB"/>
                              </w:rPr>
                            </w:pPr>
                            <w:bookmarkStart w:id="99" w:name="_Toc533151851"/>
                            <w:r w:rsidRPr="000D55B2">
                              <w:rPr>
                                <w:color w:val="FFFFFF" w:themeColor="background1"/>
                                <w:sz w:val="4"/>
                                <w:szCs w:val="4"/>
                                <w:lang w:val="en-GB"/>
                              </w:rPr>
                              <w:t>Figure C</w:t>
                            </w:r>
                            <w:r w:rsidRPr="000D55B2">
                              <w:rPr>
                                <w:color w:val="FFFFFF" w:themeColor="background1"/>
                                <w:sz w:val="4"/>
                                <w:szCs w:val="4"/>
                                <w:lang w:val="en-GB"/>
                              </w:rPr>
                              <w:fldChar w:fldCharType="begin"/>
                            </w:r>
                            <w:r w:rsidRPr="000D55B2">
                              <w:rPr>
                                <w:color w:val="FFFFFF" w:themeColor="background1"/>
                                <w:sz w:val="4"/>
                                <w:szCs w:val="4"/>
                                <w:lang w:val="en-GB"/>
                              </w:rPr>
                              <w:instrText xml:space="preserve"> SEQ Figure_C \* ARABIC </w:instrText>
                            </w:r>
                            <w:r w:rsidRPr="000D55B2">
                              <w:rPr>
                                <w:color w:val="FFFFFF" w:themeColor="background1"/>
                                <w:sz w:val="4"/>
                                <w:szCs w:val="4"/>
                                <w:lang w:val="en-GB"/>
                              </w:rPr>
                              <w:fldChar w:fldCharType="separate"/>
                            </w:r>
                            <w:r>
                              <w:rPr>
                                <w:noProof/>
                                <w:color w:val="FFFFFF" w:themeColor="background1"/>
                                <w:sz w:val="4"/>
                                <w:szCs w:val="4"/>
                                <w:lang w:val="en-GB"/>
                              </w:rPr>
                              <w:t>3</w:t>
                            </w:r>
                            <w:r w:rsidRPr="000D55B2">
                              <w:rPr>
                                <w:color w:val="FFFFFF" w:themeColor="background1"/>
                                <w:sz w:val="4"/>
                                <w:szCs w:val="4"/>
                                <w:lang w:val="en-GB"/>
                              </w:rPr>
                              <w:fldChar w:fldCharType="end"/>
                            </w:r>
                            <w:r w:rsidRPr="000D55B2">
                              <w:rPr>
                                <w:color w:val="FFFFFF" w:themeColor="background1"/>
                                <w:sz w:val="4"/>
                                <w:szCs w:val="4"/>
                                <w:lang w:val="en-GB"/>
                              </w:rPr>
                              <w:t xml:space="preserve"> Individuals in the Czech Republic using storage space on the internet</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5035D" id="Textové pole 107" o:spid="_x0000_s1033" type="#_x0000_t202" style="position:absolute;left:0;text-align:left;margin-left:249.3pt;margin-top:79.55pt;width:238.1pt;height:11.2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" stroked="f">
                <v:textbox inset="0,0,0,0">
                  <w:txbxContent>
                    <w:p w:rsidR="003945DB" w:rsidRPr="000D55B2" w:rsidRDefault="003945DB" w:rsidP="008C4CA2">
                      <w:pPr>
                        <w:pStyle w:val="Titulek"/>
                        <w:rPr>
                          <w:noProof/>
                          <w:color w:val="FFFFFF" w:themeColor="background1"/>
                          <w:sz w:val="4"/>
                          <w:szCs w:val="4"/>
                          <w:lang w:val="en-GB"/>
                        </w:rPr>
                      </w:pPr>
                      <w:bookmarkStart w:id="100" w:name="_Toc533151851"/>
                      <w:r w:rsidRPr="000D55B2">
                        <w:rPr>
                          <w:color w:val="FFFFFF" w:themeColor="background1"/>
                          <w:sz w:val="4"/>
                          <w:szCs w:val="4"/>
                          <w:lang w:val="en-GB"/>
                        </w:rPr>
                        <w:t>Figure C</w:t>
                      </w:r>
                      <w:r w:rsidRPr="000D55B2">
                        <w:rPr>
                          <w:color w:val="FFFFFF" w:themeColor="background1"/>
                          <w:sz w:val="4"/>
                          <w:szCs w:val="4"/>
                          <w:lang w:val="en-GB"/>
                        </w:rPr>
                        <w:fldChar w:fldCharType="begin"/>
                      </w:r>
                      <w:r w:rsidRPr="000D55B2">
                        <w:rPr>
                          <w:color w:val="FFFFFF" w:themeColor="background1"/>
                          <w:sz w:val="4"/>
                          <w:szCs w:val="4"/>
                          <w:lang w:val="en-GB"/>
                        </w:rPr>
                        <w:instrText xml:space="preserve"> SEQ Figure_C \* ARABIC </w:instrText>
                      </w:r>
                      <w:r w:rsidRPr="000D55B2">
                        <w:rPr>
                          <w:color w:val="FFFFFF" w:themeColor="background1"/>
                          <w:sz w:val="4"/>
                          <w:szCs w:val="4"/>
                          <w:lang w:val="en-GB"/>
                        </w:rPr>
                        <w:fldChar w:fldCharType="separate"/>
                      </w:r>
                      <w:r>
                        <w:rPr>
                          <w:noProof/>
                          <w:color w:val="FFFFFF" w:themeColor="background1"/>
                          <w:sz w:val="4"/>
                          <w:szCs w:val="4"/>
                          <w:lang w:val="en-GB"/>
                        </w:rPr>
                        <w:t>3</w:t>
                      </w:r>
                      <w:r w:rsidRPr="000D55B2">
                        <w:rPr>
                          <w:color w:val="FFFFFF" w:themeColor="background1"/>
                          <w:sz w:val="4"/>
                          <w:szCs w:val="4"/>
                          <w:lang w:val="en-GB"/>
                        </w:rPr>
                        <w:fldChar w:fldCharType="end"/>
                      </w:r>
                      <w:r w:rsidRPr="000D55B2">
                        <w:rPr>
                          <w:color w:val="FFFFFF" w:themeColor="background1"/>
                          <w:sz w:val="4"/>
                          <w:szCs w:val="4"/>
                          <w:lang w:val="en-GB"/>
                        </w:rPr>
                        <w:t xml:space="preserve"> Individuals in the Czech Republic using storage space on the internet</w:t>
                      </w:r>
                      <w:bookmarkEnd w:id="100"/>
                    </w:p>
                  </w:txbxContent>
                </v:textbox>
                <w10:wrap type="square"/>
              </v:shape>
            </w:pict>
          </mc:Fallback>
        </mc:AlternateContent>
      </w:r>
      <w:r w:rsidR="008C4CA2" w:rsidRPr="00970B85">
        <w:rPr>
          <w:b/>
          <w:sz w:val="20"/>
          <w:szCs w:val="20"/>
          <w:lang w:val="en-GB"/>
        </w:rPr>
        <w:t>Internet banking</w:t>
      </w:r>
      <w:r w:rsidR="008C4CA2" w:rsidRPr="00970B85">
        <w:rPr>
          <w:sz w:val="20"/>
          <w:szCs w:val="20"/>
          <w:lang w:val="en-GB"/>
        </w:rPr>
        <w:t xml:space="preserve"> is one of the fundamental financial online services designed primarily to provide remote control</w:t>
      </w:r>
      <w:r w:rsidR="008C4CA2" w:rsidRPr="00384D6F">
        <w:rPr>
          <w:sz w:val="20"/>
          <w:szCs w:val="20"/>
          <w:lang w:val="en-GB"/>
        </w:rPr>
        <w:t>,</w:t>
      </w:r>
      <w:r w:rsidR="008C4CA2" w:rsidRPr="00970B85">
        <w:rPr>
          <w:sz w:val="20"/>
          <w:szCs w:val="20"/>
          <w:lang w:val="en-GB"/>
        </w:rPr>
        <w:t xml:space="preserve"> and administration of a bank account. The portal offers the possibility to verify a bank account balance, to place payment orders, standing orders, set payment and withdrawal limits, etc. In Q2 of 2017</w:t>
      </w:r>
      <w:r w:rsidR="008C4CA2" w:rsidRPr="00384D6F">
        <w:rPr>
          <w:sz w:val="20"/>
          <w:szCs w:val="20"/>
          <w:lang w:val="en-GB"/>
        </w:rPr>
        <w:t>,</w:t>
      </w:r>
      <w:r w:rsidR="008C4CA2" w:rsidRPr="00970B85">
        <w:rPr>
          <w:sz w:val="20"/>
          <w:szCs w:val="20"/>
          <w:lang w:val="en-GB"/>
        </w:rPr>
        <w:t xml:space="preserve"> internet banking was </w:t>
      </w:r>
      <w:r w:rsidR="008C4CA2">
        <w:rPr>
          <w:sz w:val="20"/>
          <w:szCs w:val="20"/>
          <w:lang w:val="en-GB"/>
        </w:rPr>
        <w:t xml:space="preserve">in the Czech Republic </w:t>
      </w:r>
      <w:r w:rsidR="008C4CA2" w:rsidRPr="00970B85">
        <w:rPr>
          <w:sz w:val="20"/>
          <w:szCs w:val="20"/>
          <w:lang w:val="en-GB"/>
        </w:rPr>
        <w:t xml:space="preserve">used by 4.5 million individuals (52% of adult population and 66% of internet users) – ten years ago it was 0.9 million individuals (11% of adult population). </w:t>
      </w:r>
    </w:p>
    <w:p w:rsidR="008C4CA2" w:rsidRPr="00970B85" w:rsidRDefault="008C4CA2" w:rsidP="008C4CA2">
      <w:pPr>
        <w:pStyle w:val="Zkladntext"/>
        <w:spacing w:before="0" w:after="120" w:line="288" w:lineRule="auto"/>
        <w:rPr>
          <w:sz w:val="20"/>
          <w:szCs w:val="20"/>
          <w:lang w:val="en-GB"/>
        </w:rPr>
      </w:pPr>
      <w:r w:rsidRPr="00970B85">
        <w:rPr>
          <w:noProof/>
        </w:rPr>
        <w:drawing>
          <wp:inline distT="0" distB="0" distL="0" distR="0" wp14:anchorId="2DDA7A99" wp14:editId="319E0DF5">
            <wp:extent cx="5972810" cy="3041015"/>
            <wp:effectExtent l="0" t="0" r="0" b="0"/>
            <wp:docPr id="137" name="Graf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C4CA2" w:rsidRPr="00970B85"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8C6C73">
        <w:rPr>
          <w:sz w:val="20"/>
          <w:szCs w:val="20"/>
          <w:lang w:val="en-GB"/>
        </w:rPr>
        <w:t xml:space="preserve">Online banking services are now widely available in </w:t>
      </w:r>
      <w:r>
        <w:rPr>
          <w:sz w:val="20"/>
          <w:szCs w:val="20"/>
          <w:lang w:val="en-GB"/>
        </w:rPr>
        <w:t>EU</w:t>
      </w:r>
      <w:r w:rsidRPr="008C6C73">
        <w:rPr>
          <w:sz w:val="20"/>
          <w:szCs w:val="20"/>
          <w:lang w:val="en-GB"/>
        </w:rPr>
        <w:t xml:space="preserve"> countries </w:t>
      </w:r>
      <w:r w:rsidR="008F3BC4">
        <w:rPr>
          <w:sz w:val="20"/>
          <w:szCs w:val="20"/>
          <w:lang w:val="en-GB"/>
        </w:rPr>
        <w:t>–</w:t>
      </w:r>
      <w:r w:rsidRPr="008C6C73">
        <w:rPr>
          <w:sz w:val="20"/>
          <w:szCs w:val="20"/>
          <w:lang w:val="en-GB"/>
        </w:rPr>
        <w:t xml:space="preserve"> often via apps as well as websites</w:t>
      </w:r>
      <w:r>
        <w:rPr>
          <w:sz w:val="20"/>
          <w:szCs w:val="20"/>
          <w:lang w:val="en-GB"/>
        </w:rPr>
        <w:t>.</w:t>
      </w:r>
      <w:r w:rsidRPr="008C6C73">
        <w:rPr>
          <w:sz w:val="20"/>
          <w:szCs w:val="20"/>
          <w:lang w:val="en-GB"/>
        </w:rPr>
        <w:t xml:space="preserve"> </w:t>
      </w:r>
      <w:r w:rsidRPr="001C0869">
        <w:rPr>
          <w:sz w:val="20"/>
          <w:szCs w:val="20"/>
          <w:lang w:val="en-GB"/>
        </w:rPr>
        <w:t>In</w:t>
      </w:r>
      <w:r w:rsidRPr="00970B85">
        <w:rPr>
          <w:b/>
          <w:sz w:val="20"/>
          <w:szCs w:val="20"/>
          <w:lang w:val="en-GB"/>
        </w:rPr>
        <w:t xml:space="preserve"> </w:t>
      </w:r>
      <w:r w:rsidRPr="00970B85">
        <w:rPr>
          <w:sz w:val="20"/>
          <w:szCs w:val="20"/>
          <w:lang w:val="en-GB"/>
        </w:rPr>
        <w:t>2017</w:t>
      </w:r>
      <w:r w:rsidRPr="004362B2">
        <w:rPr>
          <w:sz w:val="20"/>
          <w:szCs w:val="20"/>
          <w:lang w:val="en-GB"/>
        </w:rPr>
        <w:t>,</w:t>
      </w:r>
      <w:r w:rsidRPr="00970B85">
        <w:rPr>
          <w:sz w:val="20"/>
          <w:szCs w:val="20"/>
          <w:lang w:val="en-GB"/>
        </w:rPr>
        <w:t xml:space="preserve"> internet banking </w:t>
      </w:r>
      <w:r w:rsidRPr="004362B2">
        <w:rPr>
          <w:sz w:val="20"/>
          <w:szCs w:val="20"/>
          <w:lang w:val="en-GB"/>
        </w:rPr>
        <w:t>usage</w:t>
      </w:r>
      <w:r w:rsidRPr="00DB1E52">
        <w:rPr>
          <w:color w:val="FF0000"/>
          <w:sz w:val="20"/>
          <w:szCs w:val="20"/>
          <w:lang w:val="en-GB"/>
        </w:rPr>
        <w:t xml:space="preserve"> </w:t>
      </w:r>
      <w:r w:rsidRPr="00970B85">
        <w:rPr>
          <w:sz w:val="20"/>
          <w:szCs w:val="20"/>
          <w:lang w:val="en-GB"/>
        </w:rPr>
        <w:t xml:space="preserve">in our country was slightly above </w:t>
      </w:r>
      <w:r w:rsidRPr="004362B2">
        <w:rPr>
          <w:sz w:val="20"/>
          <w:szCs w:val="20"/>
          <w:lang w:val="en-GB"/>
        </w:rPr>
        <w:t>the</w:t>
      </w:r>
      <w:r w:rsidRPr="00DB1E52">
        <w:rPr>
          <w:color w:val="FF0000"/>
          <w:sz w:val="20"/>
          <w:szCs w:val="20"/>
          <w:lang w:val="en-GB"/>
        </w:rPr>
        <w:t xml:space="preserve"> </w:t>
      </w:r>
      <w:r w:rsidRPr="008C6C73">
        <w:rPr>
          <w:b/>
          <w:sz w:val="20"/>
          <w:szCs w:val="20"/>
          <w:lang w:val="en-GB"/>
        </w:rPr>
        <w:t>EU28 average</w:t>
      </w:r>
      <w:r w:rsidRPr="00970B85">
        <w:rPr>
          <w:sz w:val="20"/>
          <w:szCs w:val="20"/>
          <w:lang w:val="en-GB"/>
        </w:rPr>
        <w:t>. The most active users of internet banking are the citizens of northern countries</w:t>
      </w:r>
      <w:r w:rsidRPr="004362B2">
        <w:rPr>
          <w:sz w:val="20"/>
          <w:szCs w:val="20"/>
          <w:lang w:val="en-GB"/>
        </w:rPr>
        <w:t xml:space="preserve">, </w:t>
      </w:r>
      <w:r w:rsidRPr="00970B85">
        <w:rPr>
          <w:sz w:val="20"/>
          <w:szCs w:val="20"/>
          <w:lang w:val="en-GB"/>
        </w:rPr>
        <w:t xml:space="preserve">and of the Netherlands. In </w:t>
      </w:r>
      <w:r w:rsidRPr="004362B2">
        <w:rPr>
          <w:sz w:val="20"/>
          <w:szCs w:val="20"/>
          <w:lang w:val="en-GB"/>
        </w:rPr>
        <w:t>the</w:t>
      </w:r>
      <w:r w:rsidRPr="00DB1E52">
        <w:rPr>
          <w:color w:val="FF0000"/>
          <w:sz w:val="20"/>
          <w:szCs w:val="20"/>
          <w:lang w:val="en-GB"/>
        </w:rPr>
        <w:t xml:space="preserve"> </w:t>
      </w:r>
      <w:r w:rsidRPr="00970B85">
        <w:rPr>
          <w:sz w:val="20"/>
          <w:szCs w:val="20"/>
          <w:lang w:val="en-GB"/>
        </w:rPr>
        <w:t>comparison of years 2007 and 2017, we must mention that within this decade</w:t>
      </w:r>
      <w:r w:rsidRPr="004362B2">
        <w:rPr>
          <w:sz w:val="20"/>
          <w:szCs w:val="20"/>
          <w:lang w:val="en-GB"/>
        </w:rPr>
        <w:t>,</w:t>
      </w:r>
      <w:r w:rsidRPr="00970B85">
        <w:rPr>
          <w:sz w:val="20"/>
          <w:szCs w:val="20"/>
          <w:lang w:val="en-GB"/>
        </w:rPr>
        <w:t xml:space="preserve"> </w:t>
      </w:r>
      <w:r w:rsidRPr="008C6C73">
        <w:rPr>
          <w:sz w:val="20"/>
          <w:szCs w:val="20"/>
          <w:lang w:val="en-GB"/>
        </w:rPr>
        <w:t xml:space="preserve">the Czech Republic recorded the highest increase </w:t>
      </w:r>
      <w:r w:rsidRPr="00970B85">
        <w:rPr>
          <w:sz w:val="20"/>
          <w:szCs w:val="20"/>
          <w:lang w:val="en-GB"/>
        </w:rPr>
        <w:t xml:space="preserve">in individuals using internet banking. </w:t>
      </w:r>
    </w:p>
    <w:p w:rsidR="008C4CA2" w:rsidRDefault="008C4CA2" w:rsidP="008C4CA2">
      <w:pPr>
        <w:pStyle w:val="Zkladntext"/>
        <w:numPr>
          <w:ilvl w:val="0"/>
          <w:numId w:val="15"/>
        </w:numPr>
        <w:tabs>
          <w:tab w:val="clear" w:pos="360"/>
          <w:tab w:val="num" w:pos="284"/>
        </w:tabs>
        <w:spacing w:before="0" w:after="80" w:line="264" w:lineRule="auto"/>
        <w:ind w:left="284" w:hanging="284"/>
        <w:rPr>
          <w:sz w:val="20"/>
          <w:szCs w:val="20"/>
          <w:lang w:val="en-GB"/>
        </w:rPr>
      </w:pPr>
      <w:r w:rsidRPr="004362B2">
        <w:rPr>
          <w:sz w:val="20"/>
          <w:szCs w:val="20"/>
          <w:lang w:val="en-GB"/>
        </w:rPr>
        <w:t>Internet banking is the most frequently used online financial service in the Czech Republic.</w:t>
      </w:r>
      <w:r w:rsidRPr="00970B85">
        <w:rPr>
          <w:sz w:val="20"/>
          <w:szCs w:val="20"/>
          <w:lang w:val="en-GB"/>
        </w:rPr>
        <w:t xml:space="preserve"> Other monitored </w:t>
      </w:r>
      <w:r w:rsidRPr="00970B85">
        <w:rPr>
          <w:b/>
          <w:sz w:val="20"/>
          <w:szCs w:val="20"/>
          <w:lang w:val="en-GB"/>
        </w:rPr>
        <w:t>financial services</w:t>
      </w:r>
      <w:r w:rsidRPr="00970B85">
        <w:rPr>
          <w:sz w:val="20"/>
          <w:szCs w:val="20"/>
          <w:lang w:val="en-GB"/>
        </w:rPr>
        <w:t xml:space="preserve"> – online arrangement of insurance, loans, and securities trading – are used significantly less frequently. With respect to arranging insurance (e.g. travel insurance) online, the percentage is 10.2% (or 12.8% among the population using the internet). Only 0.7% of individuals (or 0.9% among the population using the internet) arrange loans and securities trading online.</w:t>
      </w:r>
    </w:p>
    <w:p w:rsidR="008C4CA2" w:rsidRPr="00970B85" w:rsidRDefault="008C4CA2" w:rsidP="00983696">
      <w:pPr>
        <w:pStyle w:val="Nadpis2"/>
        <w:spacing w:before="0"/>
      </w:pPr>
      <w:bookmarkStart w:id="101" w:name="_Toc533697517"/>
      <w:bookmarkStart w:id="102" w:name="_Toc534712016"/>
      <w:r w:rsidRPr="00970B85">
        <w:lastRenderedPageBreak/>
        <w:t>C.4 Purchasing over the internet</w:t>
      </w:r>
      <w:bookmarkEnd w:id="101"/>
      <w:bookmarkEnd w:id="102"/>
    </w:p>
    <w:p w:rsidR="008C4CA2" w:rsidRDefault="008C4CA2" w:rsidP="008C4CA2">
      <w:pPr>
        <w:pStyle w:val="Zkladntext"/>
        <w:spacing w:before="0" w:after="80" w:line="264" w:lineRule="auto"/>
        <w:rPr>
          <w:i/>
          <w:sz w:val="20"/>
          <w:lang w:val="en-GB"/>
        </w:rPr>
      </w:pPr>
      <w:r w:rsidRPr="006B5C7F">
        <w:rPr>
          <w:i/>
          <w:sz w:val="20"/>
          <w:lang w:val="en-GB"/>
        </w:rPr>
        <w:t xml:space="preserve">Online shopping is still increasing in popularity. </w:t>
      </w:r>
      <w:r w:rsidRPr="00970B85">
        <w:rPr>
          <w:i/>
          <w:sz w:val="20"/>
          <w:lang w:val="en-GB"/>
        </w:rPr>
        <w:t>Purchasing in e-shops has become a widespread purchasing variant among Czech consumers</w:t>
      </w:r>
      <w:r w:rsidRPr="0012384F">
        <w:rPr>
          <w:sz w:val="20"/>
          <w:szCs w:val="20"/>
          <w:lang w:val="en-GB"/>
        </w:rPr>
        <w:t>,</w:t>
      </w:r>
      <w:r w:rsidRPr="00970B85">
        <w:rPr>
          <w:i/>
          <w:sz w:val="20"/>
          <w:lang w:val="en-GB"/>
        </w:rPr>
        <w:t xml:space="preserve"> as well as among other EU countries. </w:t>
      </w:r>
      <w:r w:rsidRPr="0012384F">
        <w:rPr>
          <w:i/>
          <w:sz w:val="20"/>
          <w:lang w:val="en-GB"/>
        </w:rPr>
        <w:t xml:space="preserve">The main </w:t>
      </w:r>
      <w:r w:rsidRPr="00970B85">
        <w:rPr>
          <w:i/>
          <w:sz w:val="20"/>
          <w:lang w:val="en-GB"/>
        </w:rPr>
        <w:t xml:space="preserve">advantage of purchasing over the internet is the possibility to shop anytime and anywhere, access to a wider range of products, and the possibility of fast price comparison of various sellers. </w:t>
      </w:r>
      <w:r w:rsidRPr="006B5C7F">
        <w:rPr>
          <w:i/>
          <w:sz w:val="20"/>
          <w:lang w:val="en-GB"/>
        </w:rPr>
        <w:t>This section reviews various aspects of online shopping behaviour of individuals, for example the development of online shopping, types of goods and services purchased, frequency of online shopping and how much e-shoppers spend.</w:t>
      </w:r>
    </w:p>
    <w:p w:rsidR="008C4CA2" w:rsidRPr="00970B85" w:rsidRDefault="008C4CA2" w:rsidP="008C4CA2">
      <w:pPr>
        <w:pStyle w:val="Zkladntext"/>
        <w:spacing w:before="120" w:after="120" w:line="288" w:lineRule="auto"/>
        <w:rPr>
          <w:lang w:val="en-GB"/>
        </w:rPr>
      </w:pPr>
      <w:r w:rsidRPr="00970B85">
        <w:rPr>
          <w:noProof/>
        </w:rPr>
        <w:drawing>
          <wp:inline distT="0" distB="0" distL="0" distR="0" wp14:anchorId="178A49B2" wp14:editId="2F39F567">
            <wp:extent cx="2988000" cy="2700000"/>
            <wp:effectExtent l="0" t="0" r="3175" b="5715"/>
            <wp:docPr id="138" name="Graf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970B85">
        <w:rPr>
          <w:noProof/>
        </w:rPr>
        <w:drawing>
          <wp:inline distT="0" distB="0" distL="0" distR="0" wp14:anchorId="5D882BAF" wp14:editId="4C00CC6A">
            <wp:extent cx="3024000" cy="2700000"/>
            <wp:effectExtent l="0" t="0" r="5080" b="5715"/>
            <wp:docPr id="139" name="Graf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C4CA2" w:rsidRPr="008E55E4" w:rsidRDefault="008C4CA2" w:rsidP="008E55E4">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The number of people using the internet for </w:t>
      </w:r>
      <w:r w:rsidRPr="006B5C7F">
        <w:rPr>
          <w:b/>
          <w:sz w:val="20"/>
          <w:szCs w:val="20"/>
          <w:lang w:val="en-GB"/>
        </w:rPr>
        <w:t>online purchases</w:t>
      </w:r>
      <w:r w:rsidRPr="009A66B7">
        <w:rPr>
          <w:sz w:val="20"/>
          <w:szCs w:val="20"/>
          <w:vertAlign w:val="superscript"/>
        </w:rPr>
        <w:footnoteReference w:id="34"/>
      </w:r>
      <w:r w:rsidRPr="00970B85">
        <w:rPr>
          <w:sz w:val="20"/>
          <w:szCs w:val="20"/>
          <w:lang w:val="en-GB"/>
        </w:rPr>
        <w:t xml:space="preserve"> in the Czech Republic is increasing year by year. In Q2 of 2017</w:t>
      </w:r>
      <w:r w:rsidRPr="0012384F">
        <w:rPr>
          <w:sz w:val="20"/>
          <w:szCs w:val="20"/>
          <w:lang w:val="en-GB"/>
        </w:rPr>
        <w:t>,</w:t>
      </w:r>
      <w:r w:rsidRPr="00970B85">
        <w:rPr>
          <w:sz w:val="20"/>
          <w:szCs w:val="20"/>
          <w:lang w:val="en-GB"/>
        </w:rPr>
        <w:t xml:space="preserve"> a total of 51% (4.5 million) of Czech inhabitants over the age of 16 stated to have purchased goods on the internet in the past 12 months. Only ten years ago, online purchasing was not a very sought service</w:t>
      </w:r>
      <w:r w:rsidRPr="0012384F">
        <w:rPr>
          <w:sz w:val="20"/>
          <w:szCs w:val="20"/>
          <w:lang w:val="en-GB"/>
        </w:rPr>
        <w:t>,</w:t>
      </w:r>
      <w:r w:rsidRPr="00970B85">
        <w:rPr>
          <w:sz w:val="20"/>
          <w:szCs w:val="20"/>
          <w:lang w:val="en-GB"/>
        </w:rPr>
        <w:t xml:space="preserve"> used only by 15% (1.3 million) of </w:t>
      </w:r>
      <w:r w:rsidRPr="0012384F">
        <w:rPr>
          <w:sz w:val="20"/>
          <w:szCs w:val="20"/>
          <w:lang w:val="en-GB"/>
        </w:rPr>
        <w:t xml:space="preserve">the </w:t>
      </w:r>
      <w:r w:rsidRPr="00970B85">
        <w:rPr>
          <w:sz w:val="20"/>
          <w:szCs w:val="20"/>
          <w:lang w:val="en-GB"/>
        </w:rPr>
        <w:t xml:space="preserve">Czech adult population. </w:t>
      </w:r>
    </w:p>
    <w:p w:rsidR="008C4CA2" w:rsidRPr="00970B85" w:rsidRDefault="008C4CA2" w:rsidP="008C4CA2">
      <w:pPr>
        <w:pStyle w:val="Zkladntext"/>
        <w:spacing w:before="0" w:after="120" w:line="288" w:lineRule="auto"/>
        <w:rPr>
          <w:b/>
          <w:bCs/>
          <w:i/>
          <w:color w:val="009BB4"/>
          <w:sz w:val="20"/>
          <w:szCs w:val="20"/>
          <w:lang w:val="en-GB"/>
        </w:rPr>
      </w:pPr>
      <w:r w:rsidRPr="00970B85">
        <w:rPr>
          <w:noProof/>
        </w:rPr>
        <w:drawing>
          <wp:inline distT="0" distB="0" distL="0" distR="0" wp14:anchorId="55AED14D" wp14:editId="2EA06C29">
            <wp:extent cx="5972810" cy="2844000"/>
            <wp:effectExtent l="0" t="0" r="8890" b="0"/>
            <wp:docPr id="140" name="Graf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C4CA2" w:rsidRPr="008E55E4" w:rsidRDefault="008C4CA2" w:rsidP="008C4CA2">
      <w:pPr>
        <w:pStyle w:val="Zkladntext"/>
        <w:numPr>
          <w:ilvl w:val="0"/>
          <w:numId w:val="15"/>
        </w:numPr>
        <w:tabs>
          <w:tab w:val="clear" w:pos="360"/>
        </w:tabs>
        <w:spacing w:before="0" w:after="80" w:line="264" w:lineRule="auto"/>
        <w:ind w:left="284" w:hanging="284"/>
        <w:rPr>
          <w:b/>
          <w:bCs/>
          <w:i/>
          <w:sz w:val="20"/>
          <w:szCs w:val="20"/>
          <w:lang w:val="en-GB"/>
        </w:rPr>
      </w:pPr>
      <w:r w:rsidRPr="00970B85">
        <w:rPr>
          <w:sz w:val="20"/>
          <w:szCs w:val="20"/>
          <w:lang w:val="en-GB"/>
        </w:rPr>
        <w:lastRenderedPageBreak/>
        <w:t xml:space="preserve">Despite the fact that online purchasing </w:t>
      </w:r>
      <w:r w:rsidRPr="00970B85">
        <w:rPr>
          <w:b/>
          <w:sz w:val="20"/>
          <w:szCs w:val="20"/>
          <w:lang w:val="en-GB"/>
        </w:rPr>
        <w:t>has been gaining in popularity</w:t>
      </w:r>
      <w:r w:rsidRPr="00970B85">
        <w:rPr>
          <w:sz w:val="20"/>
          <w:szCs w:val="20"/>
          <w:lang w:val="en-GB"/>
        </w:rPr>
        <w:t xml:space="preserve"> in the Czech Republic, in international comparison we still stand </w:t>
      </w:r>
      <w:r w:rsidRPr="00970B85">
        <w:rPr>
          <w:b/>
          <w:sz w:val="20"/>
          <w:szCs w:val="20"/>
          <w:lang w:val="en-GB"/>
        </w:rPr>
        <w:t>just below the EU28 average</w:t>
      </w:r>
      <w:r w:rsidRPr="00970B85">
        <w:rPr>
          <w:sz w:val="20"/>
          <w:szCs w:val="20"/>
          <w:lang w:val="en-GB"/>
        </w:rPr>
        <w:t xml:space="preserve">. Out of all EU countries, online purchasing has been </w:t>
      </w:r>
      <w:r w:rsidRPr="00970B85">
        <w:rPr>
          <w:b/>
          <w:sz w:val="20"/>
          <w:szCs w:val="20"/>
          <w:lang w:val="en-GB"/>
        </w:rPr>
        <w:t>most commonly used in Great Britain</w:t>
      </w:r>
      <w:r w:rsidRPr="00970B85">
        <w:rPr>
          <w:sz w:val="20"/>
          <w:szCs w:val="20"/>
          <w:lang w:val="en-GB"/>
        </w:rPr>
        <w:t xml:space="preserve"> (in 2017 this was performed by 82% of individuals aged 16–74). Online purchasing is also very well-liked by the citizens of Denmark, Luxembourg, Sweden, Germany, and the Netherlands. </w:t>
      </w:r>
    </w:p>
    <w:p w:rsidR="008C4CA2" w:rsidRPr="00970B85" w:rsidRDefault="008C4CA2" w:rsidP="008C4CA2">
      <w:pPr>
        <w:pStyle w:val="Zkladntext"/>
        <w:spacing w:before="0" w:after="120" w:line="288" w:lineRule="auto"/>
        <w:rPr>
          <w:lang w:val="en-GB"/>
        </w:rPr>
      </w:pPr>
      <w:r w:rsidRPr="00970B85">
        <w:rPr>
          <w:noProof/>
        </w:rPr>
        <w:drawing>
          <wp:inline distT="0" distB="0" distL="0" distR="0" wp14:anchorId="5B623E07" wp14:editId="62F28A47">
            <wp:extent cx="3024000" cy="3238500"/>
            <wp:effectExtent l="0" t="0" r="5080" b="0"/>
            <wp:docPr id="141" name="Graf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970B85">
        <w:rPr>
          <w:lang w:val="en-GB"/>
        </w:rPr>
        <w:t xml:space="preserve"> </w:t>
      </w:r>
      <w:r>
        <w:rPr>
          <w:noProof/>
        </w:rPr>
        <w:drawing>
          <wp:inline distT="0" distB="0" distL="0" distR="0" wp14:anchorId="0DAFA9AD" wp14:editId="270D0A32">
            <wp:extent cx="3024000" cy="3238500"/>
            <wp:effectExtent l="0" t="0" r="508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C4CA2" w:rsidRPr="00970B85"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The main advantage of purchasing over the internet is the </w:t>
      </w:r>
      <w:r w:rsidRPr="00DC20F2">
        <w:rPr>
          <w:sz w:val="20"/>
          <w:szCs w:val="20"/>
          <w:lang w:val="en-GB"/>
        </w:rPr>
        <w:t xml:space="preserve">ability to </w:t>
      </w:r>
      <w:r w:rsidRPr="00970B85">
        <w:rPr>
          <w:sz w:val="20"/>
          <w:szCs w:val="20"/>
          <w:lang w:val="en-GB"/>
        </w:rPr>
        <w:t>purchase from the comfort of home</w:t>
      </w:r>
      <w:r w:rsidRPr="00DC20F2">
        <w:rPr>
          <w:sz w:val="20"/>
          <w:szCs w:val="20"/>
          <w:lang w:val="en-GB"/>
        </w:rPr>
        <w:t xml:space="preserve">, and the possibility for </w:t>
      </w:r>
      <w:r w:rsidRPr="00970B85">
        <w:rPr>
          <w:sz w:val="20"/>
          <w:szCs w:val="20"/>
          <w:lang w:val="en-GB"/>
        </w:rPr>
        <w:t xml:space="preserve">fast comparison of prices </w:t>
      </w:r>
      <w:r w:rsidRPr="00DC20F2">
        <w:rPr>
          <w:sz w:val="20"/>
          <w:szCs w:val="20"/>
          <w:lang w:val="en-GB"/>
        </w:rPr>
        <w:t>from</w:t>
      </w:r>
      <w:r w:rsidRPr="00C337EC">
        <w:rPr>
          <w:color w:val="FF0000"/>
          <w:sz w:val="20"/>
          <w:szCs w:val="20"/>
          <w:lang w:val="en-GB"/>
        </w:rPr>
        <w:t xml:space="preserve"> </w:t>
      </w:r>
      <w:r w:rsidRPr="00970B85">
        <w:rPr>
          <w:sz w:val="20"/>
          <w:szCs w:val="20"/>
          <w:lang w:val="en-GB"/>
        </w:rPr>
        <w:t xml:space="preserve">various sellers. This is also priceless when purchasing goods or services from </w:t>
      </w:r>
      <w:r w:rsidRPr="00970B85">
        <w:rPr>
          <w:b/>
          <w:sz w:val="20"/>
          <w:szCs w:val="20"/>
          <w:lang w:val="en-GB"/>
        </w:rPr>
        <w:t>foreign sellers</w:t>
      </w:r>
      <w:r w:rsidRPr="00DC20F2">
        <w:rPr>
          <w:sz w:val="20"/>
          <w:szCs w:val="20"/>
          <w:lang w:val="en-GB"/>
        </w:rPr>
        <w:t>.</w:t>
      </w:r>
      <w:r w:rsidRPr="00970B85">
        <w:rPr>
          <w:sz w:val="20"/>
          <w:szCs w:val="20"/>
          <w:lang w:val="en-GB"/>
        </w:rPr>
        <w:t xml:space="preserve"> In 2017, the accommodation in hotels abroad</w:t>
      </w:r>
      <w:r w:rsidRPr="00DC20F2">
        <w:rPr>
          <w:sz w:val="20"/>
          <w:szCs w:val="20"/>
          <w:lang w:val="en-GB"/>
        </w:rPr>
        <w:t xml:space="preserve">, </w:t>
      </w:r>
      <w:r w:rsidRPr="00970B85">
        <w:rPr>
          <w:sz w:val="20"/>
          <w:szCs w:val="20"/>
          <w:lang w:val="en-GB"/>
        </w:rPr>
        <w:t>and goods via Amazon or eBay</w:t>
      </w:r>
      <w:r w:rsidRPr="00DC20F2">
        <w:rPr>
          <w:sz w:val="20"/>
          <w:szCs w:val="20"/>
          <w:lang w:val="en-GB"/>
        </w:rPr>
        <w:t xml:space="preserve">, </w:t>
      </w:r>
      <w:r w:rsidRPr="00970B85">
        <w:rPr>
          <w:sz w:val="20"/>
          <w:szCs w:val="20"/>
          <w:lang w:val="en-GB"/>
        </w:rPr>
        <w:t>were purchased by 10% of individuals in the Czech Republic; i.e. 19% of individuals purchasing online</w:t>
      </w:r>
      <w:r w:rsidRPr="00DC20F2">
        <w:rPr>
          <w:sz w:val="20"/>
          <w:szCs w:val="20"/>
          <w:lang w:val="en-GB"/>
        </w:rPr>
        <w:t>,</w:t>
      </w:r>
      <w:r w:rsidRPr="00970B85">
        <w:rPr>
          <w:sz w:val="20"/>
          <w:szCs w:val="20"/>
          <w:lang w:val="en-GB"/>
        </w:rPr>
        <w:t xml:space="preserve"> purchased goods from a foreign seller, whether from another EU country or elsewhere in the world.</w:t>
      </w:r>
    </w:p>
    <w:p w:rsidR="008C4CA2" w:rsidRPr="00970B85" w:rsidRDefault="008C4CA2" w:rsidP="008C4CA2">
      <w:pPr>
        <w:pStyle w:val="Zkladntext"/>
        <w:numPr>
          <w:ilvl w:val="0"/>
          <w:numId w:val="15"/>
        </w:numPr>
        <w:tabs>
          <w:tab w:val="clear" w:pos="360"/>
        </w:tabs>
        <w:spacing w:before="0" w:after="80" w:line="264" w:lineRule="auto"/>
        <w:ind w:left="284" w:hanging="284"/>
        <w:rPr>
          <w:sz w:val="20"/>
          <w:szCs w:val="20"/>
          <w:lang w:val="en-GB"/>
        </w:rPr>
      </w:pPr>
      <w:r w:rsidRPr="00970B85">
        <w:rPr>
          <w:sz w:val="20"/>
          <w:szCs w:val="20"/>
          <w:lang w:val="en-GB"/>
        </w:rPr>
        <w:t xml:space="preserve">Nevertheless, purchasing over the internet also has its downsides. One of them is the impossibility to view, test or try on the product. This is exactly the reason why a half of all persons who did not do any online purchasing in 2017 stated to prefer purchasing in bricks-and-mortar shops. Persons over the age of 65 do not prefer purchasing over the internet due </w:t>
      </w:r>
      <w:r w:rsidRPr="00DC20F2">
        <w:rPr>
          <w:sz w:val="20"/>
          <w:szCs w:val="20"/>
          <w:lang w:val="en-GB"/>
        </w:rPr>
        <w:t xml:space="preserve">to their </w:t>
      </w:r>
      <w:r w:rsidRPr="00970B85">
        <w:rPr>
          <w:sz w:val="20"/>
          <w:szCs w:val="20"/>
          <w:lang w:val="en-GB"/>
        </w:rPr>
        <w:t xml:space="preserve">lack of skills (77% of persons among this age group). They either do not use the internet at all (67%) or they use it only for basic activities, such as </w:t>
      </w:r>
      <w:r w:rsidRPr="00DC20F2">
        <w:rPr>
          <w:sz w:val="20"/>
          <w:szCs w:val="20"/>
          <w:lang w:val="en-GB"/>
        </w:rPr>
        <w:t>sending emails or viewing websites</w:t>
      </w:r>
      <w:r w:rsidRPr="00970B85">
        <w:rPr>
          <w:sz w:val="20"/>
          <w:szCs w:val="20"/>
          <w:lang w:val="en-GB"/>
        </w:rPr>
        <w:t>.</w:t>
      </w:r>
    </w:p>
    <w:p w:rsidR="008C4CA2" w:rsidRPr="008E55E4" w:rsidRDefault="008C4CA2" w:rsidP="008C4CA2">
      <w:pPr>
        <w:pStyle w:val="Zkladntext"/>
        <w:numPr>
          <w:ilvl w:val="0"/>
          <w:numId w:val="15"/>
        </w:numPr>
        <w:tabs>
          <w:tab w:val="clear" w:pos="360"/>
        </w:tabs>
        <w:spacing w:before="0" w:after="80" w:line="264" w:lineRule="auto"/>
        <w:ind w:left="284" w:hanging="284"/>
        <w:rPr>
          <w:b/>
          <w:bCs/>
          <w:i/>
          <w:sz w:val="20"/>
          <w:szCs w:val="20"/>
          <w:lang w:val="en-GB"/>
        </w:rPr>
      </w:pPr>
      <w:r w:rsidRPr="00970B85">
        <w:rPr>
          <w:sz w:val="20"/>
          <w:szCs w:val="20"/>
          <w:lang w:val="en-GB"/>
        </w:rPr>
        <w:t xml:space="preserve">Czech people </w:t>
      </w:r>
      <w:r w:rsidRPr="00DC20F2">
        <w:rPr>
          <w:sz w:val="20"/>
          <w:szCs w:val="20"/>
          <w:lang w:val="en-GB"/>
        </w:rPr>
        <w:t xml:space="preserve">mostly prefer to purchase </w:t>
      </w:r>
      <w:r w:rsidRPr="00970B85">
        <w:rPr>
          <w:sz w:val="20"/>
          <w:szCs w:val="20"/>
          <w:lang w:val="en-GB"/>
        </w:rPr>
        <w:t xml:space="preserve">clothes, shoes or fashion accessories </w:t>
      </w:r>
      <w:r>
        <w:rPr>
          <w:sz w:val="20"/>
          <w:szCs w:val="20"/>
          <w:lang w:val="en-GB"/>
        </w:rPr>
        <w:t xml:space="preserve">online </w:t>
      </w:r>
      <w:r w:rsidRPr="00970B85">
        <w:rPr>
          <w:sz w:val="20"/>
          <w:szCs w:val="20"/>
          <w:lang w:val="en-GB"/>
        </w:rPr>
        <w:t>(28% of adult population and 54% o</w:t>
      </w:r>
      <w:r>
        <w:rPr>
          <w:sz w:val="20"/>
          <w:szCs w:val="20"/>
          <w:lang w:val="en-GB"/>
        </w:rPr>
        <w:t>f individuals purchasing online)</w:t>
      </w:r>
      <w:r w:rsidRPr="00970B85">
        <w:rPr>
          <w:sz w:val="20"/>
          <w:szCs w:val="20"/>
          <w:lang w:val="en-GB"/>
        </w:rPr>
        <w:t xml:space="preserve">. </w:t>
      </w:r>
      <w:r w:rsidRPr="00970B85">
        <w:rPr>
          <w:b/>
          <w:sz w:val="20"/>
          <w:szCs w:val="20"/>
          <w:lang w:val="en-GB"/>
        </w:rPr>
        <w:t>Online purchasing of groceries</w:t>
      </w:r>
      <w:r w:rsidRPr="00970B85">
        <w:rPr>
          <w:sz w:val="20"/>
          <w:szCs w:val="20"/>
          <w:lang w:val="en-GB"/>
        </w:rPr>
        <w:t xml:space="preserve"> and of cosmetic products has also been gaining in popularity in recent years. In 2017, </w:t>
      </w:r>
      <w:r w:rsidRPr="00DC20F2">
        <w:rPr>
          <w:sz w:val="20"/>
          <w:szCs w:val="20"/>
          <w:lang w:val="en-GB"/>
        </w:rPr>
        <w:t xml:space="preserve">these types of goods were </w:t>
      </w:r>
      <w:r w:rsidRPr="00970B85">
        <w:rPr>
          <w:sz w:val="20"/>
          <w:szCs w:val="20"/>
          <w:lang w:val="en-GB"/>
        </w:rPr>
        <w:t xml:space="preserve">purchased by 11% of inhabitants. </w:t>
      </w:r>
    </w:p>
    <w:p w:rsidR="008C4CA2" w:rsidRPr="008E55E4" w:rsidRDefault="008C4CA2" w:rsidP="008C4CA2">
      <w:pPr>
        <w:pStyle w:val="Zkladntext"/>
        <w:numPr>
          <w:ilvl w:val="0"/>
          <w:numId w:val="15"/>
        </w:numPr>
        <w:tabs>
          <w:tab w:val="clear" w:pos="360"/>
        </w:tabs>
        <w:spacing w:before="0" w:after="80" w:line="264" w:lineRule="auto"/>
        <w:ind w:left="284" w:hanging="284"/>
        <w:rPr>
          <w:b/>
          <w:bCs/>
          <w:i/>
          <w:sz w:val="20"/>
          <w:szCs w:val="20"/>
          <w:lang w:val="en-GB"/>
        </w:rPr>
      </w:pPr>
      <w:r w:rsidRPr="00970B85">
        <w:rPr>
          <w:sz w:val="20"/>
          <w:szCs w:val="20"/>
          <w:lang w:val="en-GB"/>
        </w:rPr>
        <w:t>The percentage of Czech citizens</w:t>
      </w:r>
      <w:r w:rsidRPr="00DC20F2">
        <w:rPr>
          <w:sz w:val="20"/>
          <w:szCs w:val="20"/>
          <w:lang w:val="en-GB"/>
        </w:rPr>
        <w:t xml:space="preserve">, </w:t>
      </w:r>
      <w:r w:rsidRPr="00970B85">
        <w:rPr>
          <w:sz w:val="20"/>
          <w:szCs w:val="20"/>
          <w:lang w:val="en-GB"/>
        </w:rPr>
        <w:t xml:space="preserve">who purchase groceries, beverages, and cosmetic products over the </w:t>
      </w:r>
      <w:r w:rsidRPr="00DC20F2">
        <w:rPr>
          <w:sz w:val="20"/>
          <w:szCs w:val="20"/>
          <w:lang w:val="en-GB"/>
        </w:rPr>
        <w:t>internet,</w:t>
      </w:r>
      <w:r w:rsidRPr="00970B85">
        <w:rPr>
          <w:sz w:val="20"/>
          <w:szCs w:val="20"/>
          <w:lang w:val="en-GB"/>
        </w:rPr>
        <w:t xml:space="preserve"> was below the EU average in 2017, meaning 14% of individuals or 24% of individuals purchasing online. </w:t>
      </w:r>
      <w:r w:rsidRPr="00DC20F2">
        <w:rPr>
          <w:sz w:val="20"/>
          <w:szCs w:val="20"/>
          <w:lang w:val="en-GB"/>
        </w:rPr>
        <w:t xml:space="preserve">These types </w:t>
      </w:r>
      <w:r w:rsidRPr="00970B85">
        <w:rPr>
          <w:sz w:val="20"/>
          <w:szCs w:val="20"/>
          <w:lang w:val="en-GB"/>
        </w:rPr>
        <w:t xml:space="preserve">of goods </w:t>
      </w:r>
      <w:r w:rsidRPr="00DC20F2">
        <w:rPr>
          <w:sz w:val="20"/>
          <w:szCs w:val="20"/>
          <w:lang w:val="en-GB"/>
        </w:rPr>
        <w:t xml:space="preserve">are most frequently </w:t>
      </w:r>
      <w:r w:rsidRPr="00970B85">
        <w:rPr>
          <w:sz w:val="20"/>
          <w:szCs w:val="20"/>
          <w:lang w:val="en-GB"/>
        </w:rPr>
        <w:t xml:space="preserve">purchased over the internet by the inhabitants of the Netherlands, Estonia, and Great Britain. </w:t>
      </w:r>
    </w:p>
    <w:p w:rsidR="009B63B1" w:rsidRDefault="008C4CA2" w:rsidP="008E55E4">
      <w:pPr>
        <w:pStyle w:val="Zkladntext"/>
        <w:numPr>
          <w:ilvl w:val="0"/>
          <w:numId w:val="15"/>
        </w:numPr>
        <w:tabs>
          <w:tab w:val="clear" w:pos="360"/>
          <w:tab w:val="num" w:pos="284"/>
        </w:tabs>
        <w:spacing w:before="0" w:after="80" w:line="264" w:lineRule="auto"/>
        <w:ind w:left="284" w:hanging="284"/>
        <w:rPr>
          <w:sz w:val="20"/>
          <w:szCs w:val="20"/>
          <w:lang w:val="en-GB"/>
        </w:rPr>
      </w:pPr>
      <w:r w:rsidRPr="00970B85">
        <w:rPr>
          <w:sz w:val="20"/>
          <w:szCs w:val="20"/>
          <w:lang w:val="en-GB"/>
        </w:rPr>
        <w:t xml:space="preserve">In addition to purchasing goods, </w:t>
      </w:r>
      <w:r w:rsidRPr="00970B85">
        <w:rPr>
          <w:b/>
          <w:sz w:val="20"/>
          <w:szCs w:val="20"/>
          <w:lang w:val="en-GB"/>
        </w:rPr>
        <w:t>services</w:t>
      </w:r>
      <w:r w:rsidRPr="00970B85">
        <w:rPr>
          <w:sz w:val="20"/>
          <w:szCs w:val="20"/>
          <w:lang w:val="en-GB"/>
        </w:rPr>
        <w:t xml:space="preserve"> may also be purchased over the internet. In 2017, Czech citizens were mainly interested in purchasing </w:t>
      </w:r>
      <w:r w:rsidRPr="00970B85">
        <w:rPr>
          <w:b/>
          <w:sz w:val="20"/>
          <w:szCs w:val="20"/>
          <w:lang w:val="en-GB"/>
        </w:rPr>
        <w:t>accommodation</w:t>
      </w:r>
      <w:r w:rsidRPr="00970B85">
        <w:rPr>
          <w:sz w:val="20"/>
          <w:szCs w:val="20"/>
          <w:lang w:val="en-GB"/>
        </w:rPr>
        <w:t xml:space="preserve"> (19% of individuals; 24% of individuals purchasing online) and </w:t>
      </w:r>
      <w:r w:rsidRPr="00970B85">
        <w:rPr>
          <w:b/>
          <w:sz w:val="20"/>
          <w:szCs w:val="20"/>
          <w:lang w:val="en-GB"/>
        </w:rPr>
        <w:t>tickets</w:t>
      </w:r>
      <w:r w:rsidRPr="00970B85">
        <w:rPr>
          <w:sz w:val="20"/>
          <w:szCs w:val="20"/>
          <w:lang w:val="en-GB"/>
        </w:rPr>
        <w:t xml:space="preserve"> to cultural or sports events (17% of individuals; 33% of individuals purchasing online).</w:t>
      </w:r>
    </w:p>
    <w:p w:rsidR="009B63B1" w:rsidRDefault="009B63B1">
      <w:pPr>
        <w:spacing w:after="0" w:line="240" w:lineRule="auto"/>
        <w:rPr>
          <w:szCs w:val="20"/>
        </w:rPr>
      </w:pPr>
      <w:r>
        <w:rPr>
          <w:szCs w:val="20"/>
        </w:rPr>
        <w:br w:type="page"/>
      </w:r>
    </w:p>
    <w:p w:rsidR="009B63B1" w:rsidRPr="00354A2B" w:rsidRDefault="009B63B1" w:rsidP="009B63B1">
      <w:pPr>
        <w:pStyle w:val="Nadpis1"/>
      </w:pPr>
      <w:bookmarkStart w:id="103" w:name="_Toc533697518"/>
      <w:bookmarkStart w:id="104" w:name="_Toc534712017"/>
      <w:r w:rsidRPr="00354A2B">
        <w:lastRenderedPageBreak/>
        <w:t>Chapter D Enterprises and ICT</w:t>
      </w:r>
      <w:bookmarkEnd w:id="103"/>
      <w:bookmarkEnd w:id="104"/>
    </w:p>
    <w:p w:rsidR="009B63B1" w:rsidRDefault="009B63B1" w:rsidP="009B63B1">
      <w:pPr>
        <w:pStyle w:val="Zkladntext"/>
        <w:spacing w:before="0" w:after="80" w:line="264" w:lineRule="auto"/>
        <w:rPr>
          <w:i/>
          <w:sz w:val="20"/>
          <w:lang w:val="en-GB"/>
        </w:rPr>
      </w:pPr>
      <w:r w:rsidRPr="00B7386E">
        <w:rPr>
          <w:i/>
          <w:sz w:val="20"/>
          <w:lang w:val="en-GB"/>
        </w:rPr>
        <w:t>Progress in the development of digital economy is considered crucial for the improvement of competitiveness of any country’s economy. Information and communication technologies (ICT) have rapidly become an integral part of enterprise</w:t>
      </w:r>
      <w:r w:rsidRPr="00CD39A5">
        <w:rPr>
          <w:i/>
          <w:sz w:val="20"/>
          <w:lang w:val="en-GB"/>
        </w:rPr>
        <w:t>s</w:t>
      </w:r>
      <w:r w:rsidRPr="007D47C7">
        <w:rPr>
          <w:i/>
          <w:sz w:val="20"/>
          <w:szCs w:val="20"/>
          <w:lang w:val="en-GB"/>
        </w:rPr>
        <w:t>,</w:t>
      </w:r>
      <w:r w:rsidRPr="00B7386E">
        <w:rPr>
          <w:i/>
          <w:sz w:val="20"/>
          <w:lang w:val="en-GB"/>
        </w:rPr>
        <w:t xml:space="preserve"> and their usage has </w:t>
      </w:r>
      <w:r w:rsidRPr="007D47C7">
        <w:rPr>
          <w:i/>
          <w:sz w:val="20"/>
          <w:lang w:val="en-GB"/>
        </w:rPr>
        <w:t>significantly</w:t>
      </w:r>
      <w:r>
        <w:rPr>
          <w:i/>
          <w:color w:val="FF0000"/>
          <w:sz w:val="20"/>
          <w:lang w:val="en-GB"/>
        </w:rPr>
        <w:t xml:space="preserve"> </w:t>
      </w:r>
      <w:r w:rsidRPr="00B7386E">
        <w:rPr>
          <w:i/>
          <w:sz w:val="20"/>
          <w:lang w:val="en-GB"/>
        </w:rPr>
        <w:t xml:space="preserve">influenced their functioning. </w:t>
      </w:r>
      <w:r w:rsidRPr="007D47C7">
        <w:rPr>
          <w:i/>
          <w:sz w:val="20"/>
          <w:lang w:val="en-GB"/>
        </w:rPr>
        <w:t>The ICT has not only</w:t>
      </w:r>
      <w:r w:rsidRPr="00B7386E">
        <w:rPr>
          <w:i/>
          <w:sz w:val="20"/>
          <w:lang w:val="en-GB"/>
        </w:rPr>
        <w:t xml:space="preserve"> been involved in inter-company communication, information sharing with business partners or </w:t>
      </w:r>
      <w:r w:rsidRPr="007D47C7">
        <w:rPr>
          <w:i/>
          <w:sz w:val="20"/>
          <w:lang w:val="en-GB"/>
        </w:rPr>
        <w:t>as a</w:t>
      </w:r>
      <w:r>
        <w:rPr>
          <w:i/>
          <w:color w:val="FF0000"/>
          <w:sz w:val="20"/>
          <w:lang w:val="en-GB"/>
        </w:rPr>
        <w:t xml:space="preserve"> </w:t>
      </w:r>
      <w:r w:rsidRPr="00B7386E">
        <w:rPr>
          <w:i/>
          <w:sz w:val="20"/>
          <w:lang w:val="en-GB"/>
        </w:rPr>
        <w:t xml:space="preserve">means of communication with their customers, but digitalisation </w:t>
      </w:r>
      <w:r w:rsidRPr="007D47C7">
        <w:rPr>
          <w:i/>
          <w:sz w:val="20"/>
          <w:lang w:val="en-GB"/>
        </w:rPr>
        <w:t xml:space="preserve">has gradually become </w:t>
      </w:r>
      <w:r w:rsidRPr="00B7386E">
        <w:rPr>
          <w:i/>
          <w:sz w:val="20"/>
          <w:lang w:val="en-GB"/>
        </w:rPr>
        <w:t xml:space="preserve">an increasingly common part </w:t>
      </w:r>
      <w:r w:rsidRPr="007D47C7">
        <w:rPr>
          <w:i/>
          <w:sz w:val="20"/>
          <w:lang w:val="en-GB"/>
        </w:rPr>
        <w:t xml:space="preserve">of nearly all </w:t>
      </w:r>
      <w:r w:rsidRPr="00B7386E">
        <w:rPr>
          <w:i/>
          <w:sz w:val="20"/>
          <w:lang w:val="en-GB"/>
        </w:rPr>
        <w:t xml:space="preserve">business processes. </w:t>
      </w:r>
    </w:p>
    <w:p w:rsidR="009B63B1" w:rsidRDefault="009B63B1" w:rsidP="009B63B1">
      <w:pPr>
        <w:pStyle w:val="Zkladntext"/>
        <w:spacing w:before="0" w:after="80" w:line="264" w:lineRule="auto"/>
        <w:rPr>
          <w:i/>
          <w:sz w:val="20"/>
          <w:lang w:val="en-GB"/>
        </w:rPr>
      </w:pPr>
      <w:r w:rsidRPr="00B7386E">
        <w:rPr>
          <w:i/>
          <w:sz w:val="20"/>
          <w:lang w:val="en-GB"/>
        </w:rPr>
        <w:t xml:space="preserve">This </w:t>
      </w:r>
      <w:r w:rsidRPr="002A0488">
        <w:rPr>
          <w:i/>
          <w:sz w:val="20"/>
          <w:lang w:val="en-GB"/>
        </w:rPr>
        <w:t>chapter, devoted to enterprises, provides the monitored development of spreading</w:t>
      </w:r>
      <w:r w:rsidRPr="007D47C7">
        <w:rPr>
          <w:i/>
          <w:sz w:val="20"/>
          <w:szCs w:val="20"/>
          <w:lang w:val="en-GB"/>
        </w:rPr>
        <w:t>,</w:t>
      </w:r>
      <w:r w:rsidRPr="002A0488">
        <w:rPr>
          <w:i/>
          <w:sz w:val="20"/>
          <w:lang w:val="en-GB"/>
        </w:rPr>
        <w:t xml:space="preserve"> and using the modern ICT</w:t>
      </w:r>
      <w:r w:rsidRPr="007D47C7">
        <w:rPr>
          <w:i/>
          <w:sz w:val="20"/>
          <w:szCs w:val="20"/>
          <w:lang w:val="en-GB"/>
        </w:rPr>
        <w:t>,</w:t>
      </w:r>
      <w:r w:rsidRPr="00B7386E">
        <w:rPr>
          <w:i/>
          <w:sz w:val="20"/>
          <w:lang w:val="en-GB"/>
        </w:rPr>
        <w:t xml:space="preserve"> as well as applications relevant thereto among business entities since 200</w:t>
      </w:r>
      <w:r w:rsidRPr="002A0488">
        <w:rPr>
          <w:i/>
          <w:sz w:val="20"/>
          <w:lang w:val="en-GB"/>
        </w:rPr>
        <w:t>2</w:t>
      </w:r>
      <w:r w:rsidRPr="007D47C7">
        <w:rPr>
          <w:i/>
          <w:sz w:val="20"/>
          <w:szCs w:val="20"/>
          <w:lang w:val="en-GB"/>
        </w:rPr>
        <w:t>,</w:t>
      </w:r>
      <w:r w:rsidRPr="00B7386E">
        <w:rPr>
          <w:i/>
          <w:sz w:val="20"/>
          <w:lang w:val="en-GB"/>
        </w:rPr>
        <w:t xml:space="preserve"> when the CZSO first realised its own survey on the usage of information technologies among enterprises</w:t>
      </w:r>
      <w:r w:rsidRPr="00B7386E">
        <w:rPr>
          <w:rStyle w:val="Znakapoznpodarou"/>
          <w:i/>
          <w:sz w:val="20"/>
          <w:lang w:val="en-GB"/>
        </w:rPr>
        <w:footnoteReference w:id="35"/>
      </w:r>
      <w:r w:rsidRPr="00B7386E">
        <w:rPr>
          <w:i/>
          <w:sz w:val="20"/>
          <w:lang w:val="en-GB"/>
        </w:rPr>
        <w:t xml:space="preserve">. The source of international comparison of key indicators is </w:t>
      </w:r>
      <w:r w:rsidRPr="007D47C7">
        <w:rPr>
          <w:i/>
          <w:sz w:val="20"/>
          <w:lang w:val="en-GB"/>
        </w:rPr>
        <w:t>the</w:t>
      </w:r>
      <w:r>
        <w:rPr>
          <w:i/>
          <w:color w:val="FF0000"/>
          <w:sz w:val="20"/>
          <w:lang w:val="en-GB"/>
        </w:rPr>
        <w:t xml:space="preserve"> </w:t>
      </w:r>
      <w:r w:rsidRPr="00B7386E">
        <w:rPr>
          <w:i/>
          <w:sz w:val="20"/>
          <w:lang w:val="en-GB"/>
        </w:rPr>
        <w:t>Eurostat database</w:t>
      </w:r>
      <w:r w:rsidRPr="00B7386E">
        <w:rPr>
          <w:rStyle w:val="Znakapoznpodarou"/>
          <w:i/>
          <w:sz w:val="20"/>
          <w:lang w:val="en-GB"/>
        </w:rPr>
        <w:footnoteReference w:id="36"/>
      </w:r>
      <w:r w:rsidRPr="00B7386E">
        <w:rPr>
          <w:i/>
          <w:sz w:val="20"/>
          <w:lang w:val="en-GB"/>
        </w:rPr>
        <w:t>, which was last updated in mid-December 2017.</w:t>
      </w:r>
    </w:p>
    <w:p w:rsidR="009B63B1" w:rsidRPr="00354A2B" w:rsidRDefault="009B63B1" w:rsidP="009B63B1">
      <w:pPr>
        <w:pStyle w:val="Nadpis2"/>
      </w:pPr>
      <w:bookmarkStart w:id="105" w:name="_Toc533697519"/>
      <w:bookmarkStart w:id="106" w:name="_Toc534712018"/>
      <w:r w:rsidRPr="00354A2B">
        <w:t xml:space="preserve">D.1 Enterprises </w:t>
      </w:r>
      <w:r>
        <w:t xml:space="preserve">and </w:t>
      </w:r>
      <w:r w:rsidRPr="00354A2B">
        <w:t>computer networks</w:t>
      </w:r>
      <w:bookmarkEnd w:id="105"/>
      <w:bookmarkEnd w:id="106"/>
    </w:p>
    <w:p w:rsidR="009B63B1" w:rsidRDefault="009B63B1" w:rsidP="009B63B1">
      <w:pPr>
        <w:pStyle w:val="Zkladntext"/>
        <w:spacing w:before="0" w:after="80" w:line="264" w:lineRule="auto"/>
        <w:rPr>
          <w:i/>
          <w:sz w:val="20"/>
          <w:lang w:val="en-GB"/>
        </w:rPr>
      </w:pPr>
      <w:r w:rsidRPr="002A0488">
        <w:rPr>
          <w:i/>
          <w:sz w:val="20"/>
          <w:lang w:val="en-GB"/>
        </w:rPr>
        <w:t xml:space="preserve">The interconnection of </w:t>
      </w:r>
      <w:r w:rsidRPr="00C65174">
        <w:rPr>
          <w:i/>
          <w:sz w:val="20"/>
          <w:lang w:val="en-GB"/>
        </w:rPr>
        <w:t>computers</w:t>
      </w:r>
      <w:r w:rsidRPr="00C65174">
        <w:rPr>
          <w:i/>
          <w:sz w:val="20"/>
          <w:szCs w:val="20"/>
          <w:lang w:val="en-GB"/>
        </w:rPr>
        <w:t>,</w:t>
      </w:r>
      <w:r w:rsidRPr="00C65174">
        <w:rPr>
          <w:i/>
          <w:sz w:val="20"/>
          <w:lang w:val="en-GB"/>
        </w:rPr>
        <w:t xml:space="preserve"> </w:t>
      </w:r>
      <w:r w:rsidRPr="002A0488">
        <w:rPr>
          <w:i/>
          <w:sz w:val="20"/>
          <w:lang w:val="en-GB"/>
        </w:rPr>
        <w:t xml:space="preserve">or other ICT devices in company </w:t>
      </w:r>
      <w:r w:rsidRPr="00AF7BCA">
        <w:rPr>
          <w:i/>
          <w:sz w:val="20"/>
          <w:lang w:val="en-GB"/>
        </w:rPr>
        <w:t>networks</w:t>
      </w:r>
      <w:r w:rsidRPr="00AF7BCA">
        <w:rPr>
          <w:i/>
          <w:sz w:val="20"/>
          <w:szCs w:val="20"/>
          <w:lang w:val="en-GB"/>
        </w:rPr>
        <w:t>,</w:t>
      </w:r>
      <w:r w:rsidRPr="002A0488">
        <w:rPr>
          <w:i/>
          <w:sz w:val="20"/>
          <w:lang w:val="en-GB"/>
        </w:rPr>
        <w:t xml:space="preserve"> has been bringing many benefits to companies</w:t>
      </w:r>
      <w:r w:rsidRPr="00E60829">
        <w:rPr>
          <w:i/>
          <w:sz w:val="20"/>
          <w:szCs w:val="20"/>
          <w:lang w:val="en-GB"/>
        </w:rPr>
        <w:t>,</w:t>
      </w:r>
      <w:r w:rsidRPr="002A0488">
        <w:rPr>
          <w:i/>
          <w:sz w:val="20"/>
          <w:lang w:val="en-GB"/>
        </w:rPr>
        <w:t xml:space="preserve"> as opposed to a situatio</w:t>
      </w:r>
      <w:r w:rsidRPr="00E60829">
        <w:rPr>
          <w:i/>
          <w:sz w:val="20"/>
          <w:lang w:val="en-GB"/>
        </w:rPr>
        <w:t>n</w:t>
      </w:r>
      <w:r w:rsidRPr="00E60829">
        <w:rPr>
          <w:i/>
          <w:sz w:val="20"/>
          <w:szCs w:val="20"/>
          <w:lang w:val="en-GB"/>
        </w:rPr>
        <w:t>,</w:t>
      </w:r>
      <w:r w:rsidRPr="00E60829">
        <w:rPr>
          <w:i/>
          <w:sz w:val="20"/>
          <w:lang w:val="en-GB"/>
        </w:rPr>
        <w:t xml:space="preserve"> </w:t>
      </w:r>
      <w:r w:rsidRPr="002A0488">
        <w:rPr>
          <w:i/>
          <w:sz w:val="20"/>
          <w:lang w:val="en-GB"/>
        </w:rPr>
        <w:t>where these devices would exist independently</w:t>
      </w:r>
      <w:r w:rsidRPr="00B7386E">
        <w:rPr>
          <w:i/>
          <w:sz w:val="20"/>
          <w:lang w:val="en-GB"/>
        </w:rPr>
        <w:t xml:space="preserve">. These benefits include, for instance, the possibility of data transfer or sharing, communication between employees, shared internet connection, and, above all, the integration and automation of individual activities performed within a company. </w:t>
      </w:r>
    </w:p>
    <w:p w:rsidR="009B63B1" w:rsidRPr="00BA689E" w:rsidRDefault="009B63B1" w:rsidP="009B63B1">
      <w:pPr>
        <w:pStyle w:val="Nadpis3"/>
      </w:pPr>
      <w:bookmarkStart w:id="107" w:name="_Toc533697520"/>
      <w:bookmarkStart w:id="108" w:name="_Toc534712019"/>
      <w:r w:rsidRPr="00970B85">
        <w:t>Us</w:t>
      </w:r>
      <w:r>
        <w:t xml:space="preserve">e of </w:t>
      </w:r>
      <w:r w:rsidRPr="00970B85">
        <w:t>intern</w:t>
      </w:r>
      <w:r>
        <w:t>al computer network</w:t>
      </w:r>
      <w:bookmarkEnd w:id="107"/>
      <w:bookmarkEnd w:id="108"/>
    </w:p>
    <w:p w:rsidR="009B63B1" w:rsidRPr="00B7386E" w:rsidRDefault="009B63B1" w:rsidP="009B63B1">
      <w:pPr>
        <w:pStyle w:val="Zkladntext"/>
        <w:numPr>
          <w:ilvl w:val="0"/>
          <w:numId w:val="15"/>
        </w:numPr>
        <w:tabs>
          <w:tab w:val="clear" w:pos="360"/>
        </w:tabs>
        <w:spacing w:before="0" w:after="80" w:line="264" w:lineRule="auto"/>
        <w:ind w:left="284" w:hanging="284"/>
        <w:rPr>
          <w:iCs/>
          <w:sz w:val="20"/>
          <w:lang w:val="en-GB"/>
        </w:rPr>
      </w:pPr>
      <w:r w:rsidRPr="00B7386E">
        <w:rPr>
          <w:sz w:val="20"/>
          <w:lang w:val="en-GB"/>
        </w:rPr>
        <w:t xml:space="preserve">In January 2017, </w:t>
      </w:r>
      <w:r w:rsidRPr="00B7386E">
        <w:rPr>
          <w:b/>
          <w:sz w:val="20"/>
          <w:lang w:val="en-GB"/>
        </w:rPr>
        <w:t>internal computer network</w:t>
      </w:r>
      <w:r w:rsidRPr="00C50C63">
        <w:rPr>
          <w:rStyle w:val="Znakapoznpodarou"/>
          <w:b/>
          <w:sz w:val="20"/>
          <w:lang w:val="en-GB"/>
        </w:rPr>
        <w:footnoteReference w:id="37"/>
      </w:r>
      <w:r w:rsidRPr="00B7386E">
        <w:rPr>
          <w:b/>
          <w:sz w:val="20"/>
          <w:lang w:val="en-GB"/>
        </w:rPr>
        <w:t xml:space="preserve"> </w:t>
      </w:r>
      <w:r w:rsidRPr="00B7386E">
        <w:rPr>
          <w:sz w:val="20"/>
          <w:lang w:val="en-GB"/>
        </w:rPr>
        <w:t xml:space="preserve">could be found in more than three quarters of Czech enterprises with 10+ employees. </w:t>
      </w:r>
      <w:r w:rsidRPr="00B7386E">
        <w:rPr>
          <w:iCs/>
          <w:sz w:val="20"/>
          <w:lang w:val="en-GB"/>
        </w:rPr>
        <w:t>During the previous decade</w:t>
      </w:r>
      <w:r w:rsidRPr="00E60829">
        <w:rPr>
          <w:sz w:val="20"/>
          <w:szCs w:val="20"/>
          <w:lang w:val="en-GB"/>
        </w:rPr>
        <w:t>,</w:t>
      </w:r>
      <w:r w:rsidRPr="00B7386E">
        <w:rPr>
          <w:iCs/>
          <w:sz w:val="20"/>
          <w:lang w:val="en-GB"/>
        </w:rPr>
        <w:t xml:space="preserve"> the number of enterprises using </w:t>
      </w:r>
      <w:r w:rsidRPr="00B7386E">
        <w:rPr>
          <w:b/>
          <w:iCs/>
          <w:sz w:val="20"/>
          <w:lang w:val="en-GB"/>
        </w:rPr>
        <w:t>wireless technologies</w:t>
      </w:r>
      <w:r w:rsidRPr="00B7386E">
        <w:rPr>
          <w:iCs/>
          <w:sz w:val="20"/>
          <w:lang w:val="en-GB"/>
        </w:rPr>
        <w:t xml:space="preserve"> within their internal computer network</w:t>
      </w:r>
      <w:r w:rsidRPr="00AF7BCA">
        <w:rPr>
          <w:sz w:val="20"/>
          <w:szCs w:val="20"/>
          <w:lang w:val="en-GB"/>
        </w:rPr>
        <w:t>,</w:t>
      </w:r>
      <w:r w:rsidRPr="00B7386E">
        <w:rPr>
          <w:iCs/>
          <w:sz w:val="20"/>
          <w:lang w:val="en-GB"/>
        </w:rPr>
        <w:t xml:space="preserve"> has increased significantly. Ten years ago, in January 2007, wireless connection to </w:t>
      </w:r>
      <w:r w:rsidRPr="00E60829">
        <w:rPr>
          <w:iCs/>
          <w:sz w:val="20"/>
          <w:lang w:val="en-GB"/>
        </w:rPr>
        <w:t>the</w:t>
      </w:r>
      <w:r>
        <w:rPr>
          <w:iCs/>
          <w:color w:val="FF0000"/>
          <w:sz w:val="20"/>
          <w:lang w:val="en-GB"/>
        </w:rPr>
        <w:t xml:space="preserve"> </w:t>
      </w:r>
      <w:r w:rsidRPr="00B7386E">
        <w:rPr>
          <w:iCs/>
          <w:sz w:val="20"/>
          <w:lang w:val="en-GB"/>
        </w:rPr>
        <w:t>internal computer network was used by approximately a fifth of monitored enterprises. In January 2017</w:t>
      </w:r>
      <w:r w:rsidRPr="00E60829">
        <w:rPr>
          <w:sz w:val="20"/>
          <w:szCs w:val="20"/>
          <w:lang w:val="en-GB"/>
        </w:rPr>
        <w:t>,</w:t>
      </w:r>
      <w:r w:rsidRPr="00E60829">
        <w:rPr>
          <w:iCs/>
          <w:sz w:val="20"/>
          <w:lang w:val="en-GB"/>
        </w:rPr>
        <w:t xml:space="preserve"> </w:t>
      </w:r>
      <w:r w:rsidRPr="00B7386E">
        <w:rPr>
          <w:iCs/>
          <w:sz w:val="20"/>
          <w:lang w:val="en-GB"/>
        </w:rPr>
        <w:t xml:space="preserve">there were nearly two thirds of them (64%). This </w:t>
      </w:r>
      <w:r w:rsidRPr="00E60829">
        <w:rPr>
          <w:iCs/>
          <w:sz w:val="20"/>
          <w:lang w:val="en-GB"/>
        </w:rPr>
        <w:t>means</w:t>
      </w:r>
      <w:r w:rsidRPr="00E60829">
        <w:rPr>
          <w:sz w:val="20"/>
          <w:szCs w:val="20"/>
          <w:lang w:val="en-GB"/>
        </w:rPr>
        <w:t>,</w:t>
      </w:r>
      <w:r w:rsidRPr="00E60829">
        <w:rPr>
          <w:iCs/>
          <w:sz w:val="20"/>
          <w:lang w:val="en-GB"/>
        </w:rPr>
        <w:t xml:space="preserve"> </w:t>
      </w:r>
      <w:r w:rsidRPr="00B7386E">
        <w:rPr>
          <w:iCs/>
          <w:sz w:val="20"/>
          <w:lang w:val="en-GB"/>
        </w:rPr>
        <w:t>that the share of such enterprises tripled in the past decade.</w:t>
      </w:r>
    </w:p>
    <w:p w:rsidR="009B63B1"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The equipment of enterprises</w:t>
      </w:r>
      <w:r w:rsidRPr="00E60829">
        <w:rPr>
          <w:sz w:val="20"/>
          <w:szCs w:val="20"/>
          <w:lang w:val="en-GB"/>
        </w:rPr>
        <w:t>,</w:t>
      </w:r>
      <w:r w:rsidRPr="00B7386E">
        <w:rPr>
          <w:sz w:val="20"/>
          <w:lang w:val="en-GB"/>
        </w:rPr>
        <w:t xml:space="preserve"> with an internal computer network</w:t>
      </w:r>
      <w:r w:rsidRPr="00E60829">
        <w:rPr>
          <w:sz w:val="20"/>
          <w:szCs w:val="20"/>
          <w:lang w:val="en-GB"/>
        </w:rPr>
        <w:t>,</w:t>
      </w:r>
      <w:r w:rsidRPr="00B7386E">
        <w:rPr>
          <w:sz w:val="20"/>
          <w:lang w:val="en-GB"/>
        </w:rPr>
        <w:t xml:space="preserve"> varies with respect to their </w:t>
      </w:r>
      <w:r w:rsidRPr="00B7386E">
        <w:rPr>
          <w:b/>
          <w:sz w:val="20"/>
          <w:lang w:val="en-GB"/>
        </w:rPr>
        <w:t>prevailing/main economic activity (NACE categories)</w:t>
      </w:r>
      <w:r w:rsidRPr="00B7386E">
        <w:rPr>
          <w:sz w:val="20"/>
          <w:lang w:val="en-GB"/>
        </w:rPr>
        <w:t xml:space="preserve">. </w:t>
      </w:r>
      <w:r w:rsidRPr="00E60829">
        <w:rPr>
          <w:sz w:val="20"/>
          <w:lang w:val="en-GB"/>
        </w:rPr>
        <w:t>The l</w:t>
      </w:r>
      <w:r w:rsidRPr="00B7386E">
        <w:rPr>
          <w:sz w:val="20"/>
          <w:lang w:val="en-GB"/>
        </w:rPr>
        <w:t>ocal computer network is most frequently used by enterprises from the “</w:t>
      </w:r>
      <w:r w:rsidRPr="00B7386E">
        <w:rPr>
          <w:i/>
          <w:sz w:val="20"/>
          <w:lang w:val="en-GB"/>
        </w:rPr>
        <w:t>Information and communication activities</w:t>
      </w:r>
      <w:r w:rsidRPr="00B7386E">
        <w:rPr>
          <w:sz w:val="20"/>
          <w:lang w:val="en-GB"/>
        </w:rPr>
        <w:t>” (NACE J) (97%) or “</w:t>
      </w:r>
      <w:r w:rsidRPr="00B7386E">
        <w:rPr>
          <w:i/>
          <w:sz w:val="20"/>
          <w:lang w:val="en-GB"/>
        </w:rPr>
        <w:t>Professional, scientific and technical activities</w:t>
      </w:r>
      <w:r w:rsidRPr="00B7386E">
        <w:rPr>
          <w:sz w:val="20"/>
          <w:lang w:val="en-GB"/>
        </w:rPr>
        <w:t>”</w:t>
      </w:r>
      <w:r w:rsidRPr="00B7386E">
        <w:rPr>
          <w:i/>
          <w:sz w:val="20"/>
          <w:lang w:val="en-GB"/>
        </w:rPr>
        <w:t xml:space="preserve"> </w:t>
      </w:r>
      <w:r w:rsidRPr="00B7386E">
        <w:rPr>
          <w:sz w:val="20"/>
          <w:lang w:val="en-GB"/>
        </w:rPr>
        <w:t>(NACE M) (85%)</w:t>
      </w:r>
      <w:r>
        <w:rPr>
          <w:sz w:val="20"/>
          <w:lang w:val="en-GB"/>
        </w:rPr>
        <w:t xml:space="preserve"> </w:t>
      </w:r>
      <w:r w:rsidRPr="00E60829">
        <w:rPr>
          <w:sz w:val="20"/>
          <w:lang w:val="en-GB"/>
        </w:rPr>
        <w:t>sectors</w:t>
      </w:r>
      <w:r w:rsidRPr="0011033A">
        <w:rPr>
          <w:color w:val="FF0000"/>
          <w:sz w:val="20"/>
          <w:lang w:val="en-GB"/>
        </w:rPr>
        <w:t xml:space="preserve"> </w:t>
      </w:r>
      <w:r w:rsidRPr="00B7386E">
        <w:rPr>
          <w:sz w:val="20"/>
          <w:lang w:val="en-GB"/>
        </w:rPr>
        <w:t>where you can find firms with main economic activity, for instance, the provision of l</w:t>
      </w:r>
      <w:r w:rsidR="00FD4377">
        <w:rPr>
          <w:sz w:val="20"/>
          <w:lang w:val="en-GB"/>
        </w:rPr>
        <w:t>awyer</w:t>
      </w:r>
      <w:r w:rsidRPr="00B7386E">
        <w:rPr>
          <w:sz w:val="20"/>
          <w:lang w:val="en-GB"/>
        </w:rPr>
        <w:t xml:space="preserve"> services, accounting services, research and development, market research, </w:t>
      </w:r>
      <w:r w:rsidRPr="00E60829">
        <w:rPr>
          <w:sz w:val="20"/>
          <w:lang w:val="en-GB"/>
        </w:rPr>
        <w:t xml:space="preserve">etc. The internal </w:t>
      </w:r>
      <w:r w:rsidRPr="00B7386E">
        <w:rPr>
          <w:sz w:val="20"/>
          <w:lang w:val="en-GB"/>
        </w:rPr>
        <w:t xml:space="preserve">computer </w:t>
      </w:r>
      <w:r w:rsidRPr="00E60829">
        <w:rPr>
          <w:sz w:val="20"/>
          <w:lang w:val="en-GB"/>
        </w:rPr>
        <w:t>network</w:t>
      </w:r>
      <w:r w:rsidRPr="00E60829">
        <w:rPr>
          <w:sz w:val="20"/>
          <w:szCs w:val="20"/>
          <w:lang w:val="en-GB"/>
        </w:rPr>
        <w:t>,</w:t>
      </w:r>
      <w:r w:rsidRPr="00E60829">
        <w:rPr>
          <w:sz w:val="20"/>
          <w:lang w:val="en-GB"/>
        </w:rPr>
        <w:t xml:space="preserve"> </w:t>
      </w:r>
      <w:r w:rsidRPr="00B7386E">
        <w:rPr>
          <w:sz w:val="20"/>
          <w:lang w:val="en-GB"/>
        </w:rPr>
        <w:t>as well as other ICT</w:t>
      </w:r>
      <w:r w:rsidRPr="00E60829">
        <w:rPr>
          <w:sz w:val="20"/>
          <w:szCs w:val="20"/>
          <w:lang w:val="en-GB"/>
        </w:rPr>
        <w:t>,</w:t>
      </w:r>
      <w:r w:rsidRPr="00E60829">
        <w:rPr>
          <w:sz w:val="20"/>
          <w:lang w:val="en-GB"/>
        </w:rPr>
        <w:t xml:space="preserve"> </w:t>
      </w:r>
      <w:r w:rsidRPr="00B7386E">
        <w:rPr>
          <w:sz w:val="20"/>
          <w:lang w:val="en-GB"/>
        </w:rPr>
        <w:t xml:space="preserve">are least frequently used by enterprises belonging to the “Food and beverage services” </w:t>
      </w:r>
      <w:r w:rsidRPr="00E60829">
        <w:rPr>
          <w:sz w:val="20"/>
          <w:lang w:val="en-GB"/>
        </w:rPr>
        <w:t>sector</w:t>
      </w:r>
      <w:r>
        <w:rPr>
          <w:color w:val="FF0000"/>
          <w:sz w:val="20"/>
          <w:lang w:val="en-GB"/>
        </w:rPr>
        <w:t xml:space="preserve"> </w:t>
      </w:r>
      <w:r w:rsidRPr="00B7386E">
        <w:rPr>
          <w:sz w:val="20"/>
          <w:lang w:val="en-GB"/>
        </w:rPr>
        <w:t>(NACE I</w:t>
      </w:r>
      <w:r w:rsidRPr="00E60829">
        <w:rPr>
          <w:sz w:val="20"/>
          <w:lang w:val="en-GB"/>
        </w:rPr>
        <w:t>)</w:t>
      </w:r>
      <w:r w:rsidRPr="00E60829">
        <w:rPr>
          <w:sz w:val="20"/>
          <w:szCs w:val="20"/>
          <w:lang w:val="en-GB"/>
        </w:rPr>
        <w:t>,</w:t>
      </w:r>
      <w:r w:rsidRPr="00E60829">
        <w:rPr>
          <w:sz w:val="20"/>
          <w:lang w:val="en-GB"/>
        </w:rPr>
        <w:t xml:space="preserve"> where in January 2017</w:t>
      </w:r>
      <w:r w:rsidRPr="00E60829">
        <w:rPr>
          <w:sz w:val="20"/>
          <w:szCs w:val="20"/>
          <w:lang w:val="en-GB"/>
        </w:rPr>
        <w:t>,</w:t>
      </w:r>
      <w:r w:rsidRPr="00E60829">
        <w:rPr>
          <w:sz w:val="20"/>
          <w:lang w:val="en-GB"/>
        </w:rPr>
        <w:t xml:space="preserve"> they </w:t>
      </w:r>
      <w:r w:rsidRPr="00B7386E">
        <w:rPr>
          <w:sz w:val="20"/>
          <w:lang w:val="en-GB"/>
        </w:rPr>
        <w:t xml:space="preserve">were used by less than a half (44%) of all enterprises with 10+ employees in this NACE category. This is mainly due to the fact that, as opposed to other industries, this sector is highly represented by small enterprises. </w:t>
      </w:r>
    </w:p>
    <w:p w:rsidR="009B63B1" w:rsidRPr="00BA689E" w:rsidRDefault="009B63B1" w:rsidP="009B63B1">
      <w:pPr>
        <w:pStyle w:val="Nadpis3"/>
      </w:pPr>
      <w:bookmarkStart w:id="109" w:name="_Toc533697521"/>
      <w:bookmarkStart w:id="110" w:name="_Toc534712020"/>
      <w:r>
        <w:t xml:space="preserve">Enterprises with </w:t>
      </w:r>
      <w:r w:rsidRPr="00970B85">
        <w:t>intr</w:t>
      </w:r>
      <w:r>
        <w:t>anet and extranet</w:t>
      </w:r>
      <w:bookmarkEnd w:id="109"/>
      <w:bookmarkEnd w:id="110"/>
    </w:p>
    <w:p w:rsidR="009B63B1" w:rsidRPr="00B7386E" w:rsidRDefault="009B63B1" w:rsidP="009B63B1">
      <w:pPr>
        <w:pStyle w:val="Zkladntext"/>
        <w:numPr>
          <w:ilvl w:val="0"/>
          <w:numId w:val="15"/>
        </w:numPr>
        <w:tabs>
          <w:tab w:val="clear" w:pos="360"/>
        </w:tabs>
        <w:spacing w:before="0" w:after="80" w:line="264" w:lineRule="auto"/>
        <w:ind w:left="284" w:hanging="284"/>
      </w:pPr>
      <w:r w:rsidRPr="00B7386E">
        <w:rPr>
          <w:sz w:val="20"/>
          <w:lang w:val="en-GB"/>
        </w:rPr>
        <w:t xml:space="preserve">In the same month, </w:t>
      </w:r>
      <w:r w:rsidRPr="00E60829">
        <w:rPr>
          <w:b/>
          <w:sz w:val="20"/>
          <w:lang w:val="en-GB"/>
        </w:rPr>
        <w:t>intranet</w:t>
      </w:r>
      <w:r w:rsidRPr="00B7386E">
        <w:rPr>
          <w:sz w:val="20"/>
          <w:lang w:val="en-GB"/>
        </w:rPr>
        <w:t xml:space="preserve"> (internal website) was operated by less than a third of enterprises in the Czech Republic. This share has been relatively stable in the past few years. According to the outputs of </w:t>
      </w:r>
      <w:r w:rsidRPr="00B7386E">
        <w:rPr>
          <w:sz w:val="20"/>
          <w:lang w:val="en-GB"/>
        </w:rPr>
        <w:lastRenderedPageBreak/>
        <w:t>the last survey, in January 2017</w:t>
      </w:r>
      <w:r w:rsidRPr="00E60829">
        <w:rPr>
          <w:sz w:val="20"/>
          <w:szCs w:val="20"/>
          <w:lang w:val="en-GB"/>
        </w:rPr>
        <w:t>,</w:t>
      </w:r>
      <w:r w:rsidRPr="00B7386E">
        <w:rPr>
          <w:sz w:val="20"/>
          <w:lang w:val="en-GB"/>
        </w:rPr>
        <w:t xml:space="preserve"> intranet was operated by 80% of large enterprises, by less than a half of medium-sized ones, and by a quarter of small enterprises.</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b/>
          <w:sz w:val="20"/>
          <w:lang w:val="en-GB"/>
        </w:rPr>
        <w:t>Extranet</w:t>
      </w:r>
      <w:r w:rsidRPr="00E60829">
        <w:rPr>
          <w:rStyle w:val="Znakapoznpodarou"/>
          <w:sz w:val="20"/>
          <w:lang w:val="en-GB"/>
        </w:rPr>
        <w:footnoteReference w:id="38"/>
      </w:r>
      <w:r w:rsidRPr="00B7386E">
        <w:rPr>
          <w:sz w:val="20"/>
          <w:lang w:val="en-GB"/>
        </w:rPr>
        <w:t>, i.e. special extension used for communication with entities having their organisation, location or business outside the enterprise’s headquarters, was used by less than a fifth of enterprises in 2017. Even in this case, the equipment of enterprises</w:t>
      </w:r>
      <w:r w:rsidRPr="00634DC4">
        <w:rPr>
          <w:sz w:val="20"/>
          <w:szCs w:val="20"/>
          <w:lang w:val="en-GB"/>
        </w:rPr>
        <w:t>,</w:t>
      </w:r>
      <w:r w:rsidRPr="00634DC4">
        <w:rPr>
          <w:sz w:val="20"/>
          <w:lang w:val="en-GB"/>
        </w:rPr>
        <w:t xml:space="preserve"> </w:t>
      </w:r>
      <w:r w:rsidRPr="00B7386E">
        <w:rPr>
          <w:sz w:val="20"/>
          <w:lang w:val="en-GB"/>
        </w:rPr>
        <w:t xml:space="preserve">with this type of </w:t>
      </w:r>
      <w:r w:rsidRPr="00634DC4">
        <w:rPr>
          <w:sz w:val="20"/>
          <w:lang w:val="en-GB"/>
        </w:rPr>
        <w:t>website</w:t>
      </w:r>
      <w:r w:rsidRPr="00634DC4">
        <w:rPr>
          <w:sz w:val="20"/>
          <w:szCs w:val="20"/>
          <w:lang w:val="en-GB"/>
        </w:rPr>
        <w:t>,</w:t>
      </w:r>
      <w:r w:rsidRPr="00B7386E">
        <w:rPr>
          <w:sz w:val="20"/>
          <w:lang w:val="en-GB"/>
        </w:rPr>
        <w:t xml:space="preserve"> has not changed significantly in recent years. Extranet was used by</w:t>
      </w:r>
      <w:r>
        <w:rPr>
          <w:sz w:val="20"/>
          <w:lang w:val="en-GB"/>
        </w:rPr>
        <w:t xml:space="preserve"> large firms more often than by</w:t>
      </w:r>
      <w:r w:rsidRPr="0011033A">
        <w:rPr>
          <w:color w:val="FF0000"/>
          <w:sz w:val="20"/>
          <w:lang w:val="en-GB"/>
        </w:rPr>
        <w:t xml:space="preserve"> </w:t>
      </w:r>
      <w:r w:rsidRPr="00B7386E">
        <w:rPr>
          <w:sz w:val="20"/>
          <w:lang w:val="en-GB"/>
        </w:rPr>
        <w:t>small ones (44% and 13%, respectively).</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pPr>
      <w:r w:rsidRPr="00634DC4">
        <w:t xml:space="preserve">When it comes to the </w:t>
      </w:r>
      <w:r w:rsidRPr="00B7386E">
        <w:t xml:space="preserve">equipment of enterprises with an internal computer network, it also applies </w:t>
      </w:r>
      <w:r w:rsidRPr="00634DC4">
        <w:t>to intranet and extranet, since</w:t>
      </w:r>
      <w:r w:rsidRPr="00B7386E">
        <w:t xml:space="preserve"> these are more commonly used in industries specialised </w:t>
      </w:r>
      <w:r w:rsidRPr="00634DC4">
        <w:t>with</w:t>
      </w:r>
      <w:r w:rsidRPr="0011033A">
        <w:rPr>
          <w:color w:val="FF0000"/>
        </w:rPr>
        <w:t xml:space="preserve"> </w:t>
      </w:r>
      <w:r w:rsidRPr="00B7386E">
        <w:t>information and communication activities. The smallest usage is in the food and beverage services sector, where lots of smaller enterprises operate.</w:t>
      </w:r>
    </w:p>
    <w:p w:rsidR="009B63B1" w:rsidRDefault="009B63B1" w:rsidP="009B63B1">
      <w:pPr>
        <w:autoSpaceDE w:val="0"/>
        <w:autoSpaceDN w:val="0"/>
        <w:adjustRightInd w:val="0"/>
        <w:spacing w:after="100" w:line="264" w:lineRule="auto"/>
        <w:jc w:val="both"/>
      </w:pPr>
      <w:r w:rsidRPr="00B7386E">
        <w:rPr>
          <w:noProof/>
          <w:lang w:val="cs-CZ"/>
        </w:rPr>
        <w:drawing>
          <wp:inline distT="0" distB="0" distL="0" distR="0" wp14:anchorId="34133E26" wp14:editId="6143F432">
            <wp:extent cx="3024000" cy="2340000"/>
            <wp:effectExtent l="0" t="0" r="5080" b="3175"/>
            <wp:docPr id="145" name="Graf 14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B7386E">
        <w:rPr>
          <w:noProof/>
          <w:lang w:val="cs-CZ"/>
        </w:rPr>
        <w:drawing>
          <wp:inline distT="0" distB="0" distL="0" distR="0" wp14:anchorId="06FC0B71" wp14:editId="0E4FA966">
            <wp:extent cx="3024000" cy="2340000"/>
            <wp:effectExtent l="0" t="0" r="5080" b="3175"/>
            <wp:docPr id="146" name="Graf 146">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w:t>
      </w:r>
    </w:p>
    <w:p w:rsidR="009B63B1" w:rsidRPr="009B63B1" w:rsidRDefault="009B63B1" w:rsidP="007B46EA">
      <w:pPr>
        <w:pStyle w:val="Zkladntext"/>
        <w:numPr>
          <w:ilvl w:val="0"/>
          <w:numId w:val="15"/>
        </w:numPr>
        <w:tabs>
          <w:tab w:val="clear" w:pos="360"/>
        </w:tabs>
        <w:spacing w:before="0" w:after="80" w:line="264" w:lineRule="auto"/>
        <w:ind w:left="284" w:hanging="284"/>
        <w:rPr>
          <w:iCs/>
          <w:sz w:val="20"/>
          <w:lang w:val="en-GB"/>
        </w:rPr>
      </w:pPr>
      <w:r w:rsidRPr="009B63B1">
        <w:rPr>
          <w:iCs/>
          <w:sz w:val="20"/>
          <w:lang w:val="en-GB"/>
        </w:rPr>
        <w:t xml:space="preserve">Increasingly more often, enterprises in the Czech Republic enable their employees to use </w:t>
      </w:r>
      <w:r w:rsidRPr="009B63B1">
        <w:rPr>
          <w:b/>
          <w:iCs/>
          <w:sz w:val="20"/>
          <w:lang w:val="en-GB"/>
        </w:rPr>
        <w:t>remote access</w:t>
      </w:r>
      <w:r w:rsidRPr="009B63B1">
        <w:rPr>
          <w:iCs/>
          <w:sz w:val="20"/>
          <w:lang w:val="en-GB"/>
        </w:rPr>
        <w:t xml:space="preserve"> to internal documents, files or applications</w:t>
      </w:r>
      <w:r w:rsidRPr="009B63B1">
        <w:rPr>
          <w:sz w:val="20"/>
          <w:szCs w:val="20"/>
          <w:lang w:val="en-GB"/>
        </w:rPr>
        <w:t>,</w:t>
      </w:r>
      <w:r w:rsidRPr="009B63B1">
        <w:rPr>
          <w:iCs/>
          <w:sz w:val="20"/>
          <w:lang w:val="en-GB"/>
        </w:rPr>
        <w:t xml:space="preserve"> available on their computer network. This is typically done by means of a secured internet connection. Whereas in 2010 this option was offered by a third of enterprises, in 2017</w:t>
      </w:r>
      <w:r w:rsidRPr="009B63B1">
        <w:rPr>
          <w:sz w:val="20"/>
          <w:szCs w:val="20"/>
          <w:lang w:val="en-GB"/>
        </w:rPr>
        <w:t>,</w:t>
      </w:r>
      <w:r w:rsidRPr="009B63B1">
        <w:rPr>
          <w:iCs/>
          <w:sz w:val="20"/>
          <w:lang w:val="en-GB"/>
        </w:rPr>
        <w:t xml:space="preserve"> it was more than a half (56%). Even among large enterprises, this option is offered to employees more frequently than in small ones (95% and 48%, respectively); there are also significant differences in the prevailing economic activities of the monitored entities.</w:t>
      </w:r>
    </w:p>
    <w:p w:rsidR="009B63B1" w:rsidRPr="00354A2B" w:rsidRDefault="009B63B1" w:rsidP="009B63B1">
      <w:pPr>
        <w:pStyle w:val="Nadpis2"/>
      </w:pPr>
      <w:bookmarkStart w:id="111" w:name="_Toc533697522"/>
      <w:bookmarkStart w:id="112" w:name="_Toc534712021"/>
      <w:r w:rsidRPr="00354A2B">
        <w:t xml:space="preserve">D.2 </w:t>
      </w:r>
      <w:r>
        <w:t>Enterprises with access to the i</w:t>
      </w:r>
      <w:r w:rsidRPr="00354A2B">
        <w:t>nternet</w:t>
      </w:r>
      <w:bookmarkEnd w:id="111"/>
      <w:bookmarkEnd w:id="112"/>
    </w:p>
    <w:p w:rsidR="009B63B1" w:rsidRDefault="009B63B1" w:rsidP="009B63B1">
      <w:pPr>
        <w:pStyle w:val="Zkladntext"/>
        <w:spacing w:before="0" w:after="80" w:line="264" w:lineRule="auto"/>
        <w:rPr>
          <w:i/>
          <w:sz w:val="20"/>
          <w:lang w:val="en-GB"/>
        </w:rPr>
      </w:pPr>
      <w:r w:rsidRPr="0011033A">
        <w:rPr>
          <w:i/>
          <w:sz w:val="20"/>
          <w:lang w:val="en-GB"/>
        </w:rPr>
        <w:t>Since the beginning of internet development in the Czech Republic, it was evident that enterprises are to find this technology a very usefu</w:t>
      </w:r>
      <w:r w:rsidRPr="00774FE8">
        <w:rPr>
          <w:i/>
          <w:sz w:val="20"/>
          <w:lang w:val="en-GB"/>
        </w:rPr>
        <w:t>l</w:t>
      </w:r>
      <w:r w:rsidRPr="00774FE8">
        <w:rPr>
          <w:i/>
          <w:sz w:val="20"/>
          <w:szCs w:val="20"/>
          <w:lang w:val="en-GB"/>
        </w:rPr>
        <w:t>,</w:t>
      </w:r>
      <w:r w:rsidRPr="00774FE8">
        <w:rPr>
          <w:i/>
          <w:sz w:val="20"/>
          <w:lang w:val="en-GB"/>
        </w:rPr>
        <w:t xml:space="preserve"> </w:t>
      </w:r>
      <w:r w:rsidRPr="0011033A">
        <w:rPr>
          <w:i/>
          <w:sz w:val="20"/>
          <w:lang w:val="en-GB"/>
        </w:rPr>
        <w:t>and, with time</w:t>
      </w:r>
      <w:r w:rsidRPr="00634DC4">
        <w:rPr>
          <w:i/>
          <w:sz w:val="20"/>
          <w:lang w:val="en-GB"/>
        </w:rPr>
        <w:t>, a</w:t>
      </w:r>
      <w:r w:rsidRPr="0011033A">
        <w:rPr>
          <w:i/>
          <w:color w:val="FF0000"/>
          <w:sz w:val="20"/>
          <w:lang w:val="en-GB"/>
        </w:rPr>
        <w:t xml:space="preserve"> </w:t>
      </w:r>
      <w:r w:rsidRPr="0011033A">
        <w:rPr>
          <w:i/>
          <w:color w:val="000000" w:themeColor="text1"/>
          <w:sz w:val="20"/>
          <w:lang w:val="en-GB"/>
        </w:rPr>
        <w:t xml:space="preserve">practically </w:t>
      </w:r>
      <w:r w:rsidRPr="0011033A">
        <w:rPr>
          <w:i/>
          <w:sz w:val="20"/>
          <w:lang w:val="en-GB"/>
        </w:rPr>
        <w:t xml:space="preserve">indispensable one. Internet usage in Czech enterprises has been increasing much faster than </w:t>
      </w:r>
      <w:r w:rsidRPr="00634DC4">
        <w:rPr>
          <w:i/>
          <w:sz w:val="20"/>
          <w:lang w:val="en-GB"/>
        </w:rPr>
        <w:t>in</w:t>
      </w:r>
      <w:r w:rsidRPr="0011033A">
        <w:rPr>
          <w:i/>
          <w:color w:val="FF0000"/>
          <w:sz w:val="20"/>
          <w:lang w:val="en-GB"/>
        </w:rPr>
        <w:t xml:space="preserve"> </w:t>
      </w:r>
      <w:r w:rsidRPr="0011033A">
        <w:rPr>
          <w:i/>
          <w:sz w:val="20"/>
          <w:lang w:val="en-GB"/>
        </w:rPr>
        <w:t>households. At the beginning of 2017, only 2</w:t>
      </w:r>
      <w:r>
        <w:rPr>
          <w:i/>
          <w:sz w:val="20"/>
          <w:lang w:val="en-GB"/>
        </w:rPr>
        <w:t> </w:t>
      </w:r>
      <w:r w:rsidRPr="0011033A">
        <w:rPr>
          <w:i/>
          <w:sz w:val="20"/>
          <w:lang w:val="en-GB"/>
        </w:rPr>
        <w:t xml:space="preserve">enterprises out of 100 were not connected to the internet. </w:t>
      </w:r>
      <w:r w:rsidRPr="00634DC4">
        <w:rPr>
          <w:i/>
          <w:sz w:val="20"/>
          <w:lang w:val="en-GB"/>
        </w:rPr>
        <w:t xml:space="preserve">It comes as no surprise that </w:t>
      </w:r>
      <w:r w:rsidRPr="0011033A">
        <w:rPr>
          <w:i/>
          <w:sz w:val="20"/>
          <w:lang w:val="en-GB"/>
        </w:rPr>
        <w:t>in 2000</w:t>
      </w:r>
      <w:r w:rsidRPr="00634DC4">
        <w:rPr>
          <w:i/>
          <w:sz w:val="20"/>
          <w:szCs w:val="20"/>
          <w:lang w:val="en-GB"/>
        </w:rPr>
        <w:t>,</w:t>
      </w:r>
      <w:r w:rsidRPr="0011033A">
        <w:rPr>
          <w:i/>
          <w:sz w:val="20"/>
          <w:lang w:val="en-GB"/>
        </w:rPr>
        <w:t xml:space="preserve"> there were 75% of enterprises with 10+ employees online in the Czech Republic. The situation is very similar in the majority of EU countries. In January 2017, on average, only 3% of enterprises were not connected to the internet. The highest number of </w:t>
      </w:r>
      <w:r w:rsidRPr="00634DC4">
        <w:rPr>
          <w:i/>
          <w:sz w:val="20"/>
          <w:lang w:val="en-GB"/>
        </w:rPr>
        <w:t>enterprises</w:t>
      </w:r>
      <w:r w:rsidRPr="00634DC4">
        <w:rPr>
          <w:i/>
          <w:sz w:val="20"/>
          <w:szCs w:val="20"/>
          <w:lang w:val="en-GB"/>
        </w:rPr>
        <w:t>,</w:t>
      </w:r>
      <w:r w:rsidRPr="0011033A">
        <w:rPr>
          <w:i/>
          <w:sz w:val="20"/>
          <w:lang w:val="en-GB"/>
        </w:rPr>
        <w:t xml:space="preserve"> with no internet </w:t>
      </w:r>
      <w:r w:rsidRPr="00634DC4">
        <w:rPr>
          <w:i/>
          <w:sz w:val="20"/>
          <w:lang w:val="en-GB"/>
        </w:rPr>
        <w:t>access</w:t>
      </w:r>
      <w:r w:rsidRPr="00634DC4">
        <w:rPr>
          <w:i/>
          <w:sz w:val="20"/>
          <w:szCs w:val="20"/>
          <w:lang w:val="en-GB"/>
        </w:rPr>
        <w:t>,</w:t>
      </w:r>
      <w:r w:rsidRPr="0011033A">
        <w:rPr>
          <w:i/>
          <w:sz w:val="20"/>
          <w:lang w:val="en-GB"/>
        </w:rPr>
        <w:t xml:space="preserve"> was recorded in Greece (13%) and in Romania (15%). Therefore, the crucial question is not whether or not an enterprise is connected to the internet, but how it is connected and what the internet is u</w:t>
      </w:r>
      <w:r>
        <w:rPr>
          <w:i/>
          <w:sz w:val="20"/>
          <w:lang w:val="en-GB"/>
        </w:rPr>
        <w:t>sed for.</w:t>
      </w:r>
    </w:p>
    <w:p w:rsidR="002875D6" w:rsidRDefault="002875D6">
      <w:pPr>
        <w:spacing w:after="0" w:line="240" w:lineRule="auto"/>
        <w:rPr>
          <w:rFonts w:eastAsia="MS Gothic"/>
          <w:b/>
          <w:bCs/>
          <w:color w:val="009BB4"/>
          <w:sz w:val="24"/>
        </w:rPr>
      </w:pPr>
      <w:bookmarkStart w:id="113" w:name="_Toc533697523"/>
      <w:r>
        <w:br w:type="page"/>
      </w:r>
    </w:p>
    <w:p w:rsidR="009B63B1" w:rsidRPr="00BA689E" w:rsidRDefault="009B63B1" w:rsidP="00983696">
      <w:pPr>
        <w:pStyle w:val="Nadpis3"/>
        <w:spacing w:before="0"/>
      </w:pPr>
      <w:bookmarkStart w:id="114" w:name="_Toc534712022"/>
      <w:r>
        <w:lastRenderedPageBreak/>
        <w:t>Type of internet connection used by enterprises</w:t>
      </w:r>
      <w:bookmarkEnd w:id="113"/>
      <w:bookmarkEnd w:id="114"/>
    </w:p>
    <w:p w:rsidR="009B63B1" w:rsidRPr="00B7386E" w:rsidRDefault="009B63B1" w:rsidP="009B63B1">
      <w:pPr>
        <w:pStyle w:val="Zkladntext"/>
        <w:numPr>
          <w:ilvl w:val="0"/>
          <w:numId w:val="31"/>
        </w:numPr>
        <w:spacing w:before="0" w:after="80" w:line="264" w:lineRule="auto"/>
        <w:ind w:left="284" w:hanging="284"/>
        <w:rPr>
          <w:sz w:val="20"/>
          <w:szCs w:val="20"/>
          <w:lang w:val="en-GB"/>
        </w:rPr>
      </w:pPr>
      <w:r w:rsidRPr="00B7386E">
        <w:rPr>
          <w:sz w:val="20"/>
          <w:szCs w:val="20"/>
          <w:lang w:val="en-GB"/>
        </w:rPr>
        <w:t xml:space="preserve">Over the past few years, there has been a significant change with respect to </w:t>
      </w:r>
      <w:r w:rsidRPr="00B7386E">
        <w:rPr>
          <w:b/>
          <w:sz w:val="20"/>
          <w:szCs w:val="20"/>
          <w:lang w:val="en-GB"/>
        </w:rPr>
        <w:t>technologies</w:t>
      </w:r>
      <w:r w:rsidRPr="00B7386E">
        <w:rPr>
          <w:sz w:val="20"/>
          <w:szCs w:val="20"/>
          <w:lang w:val="en-GB"/>
        </w:rPr>
        <w:t xml:space="preserve"> used by enterprises in order to </w:t>
      </w:r>
      <w:r w:rsidRPr="0030693E">
        <w:rPr>
          <w:sz w:val="20"/>
          <w:szCs w:val="20"/>
          <w:lang w:val="en-GB"/>
        </w:rPr>
        <w:t xml:space="preserve">gain </w:t>
      </w:r>
      <w:r w:rsidRPr="00B7386E">
        <w:rPr>
          <w:sz w:val="20"/>
          <w:szCs w:val="20"/>
          <w:lang w:val="en-GB"/>
        </w:rPr>
        <w:t xml:space="preserve">internet access. In 2017, nearly a half of enterprises (48%) in the Czech Republic </w:t>
      </w:r>
      <w:r w:rsidRPr="0030693E">
        <w:rPr>
          <w:sz w:val="20"/>
          <w:szCs w:val="20"/>
          <w:lang w:val="en-GB"/>
        </w:rPr>
        <w:t>had</w:t>
      </w:r>
      <w:r w:rsidRPr="0011033A">
        <w:rPr>
          <w:color w:val="FF0000"/>
          <w:sz w:val="20"/>
          <w:szCs w:val="20"/>
          <w:lang w:val="en-GB"/>
        </w:rPr>
        <w:t xml:space="preserve"> </w:t>
      </w:r>
      <w:r w:rsidRPr="00B7386E">
        <w:rPr>
          <w:b/>
          <w:sz w:val="20"/>
          <w:szCs w:val="20"/>
          <w:lang w:val="en-GB"/>
        </w:rPr>
        <w:t>mobile internet</w:t>
      </w:r>
      <w:r w:rsidRPr="00B7386E">
        <w:rPr>
          <w:sz w:val="20"/>
          <w:szCs w:val="20"/>
          <w:lang w:val="en-GB"/>
        </w:rPr>
        <w:t xml:space="preserve"> access. In 2015, this means of connection was used by less than a third of enterprises (31%). In 2017, mobile internet </w:t>
      </w:r>
      <w:r w:rsidRPr="0030693E">
        <w:rPr>
          <w:sz w:val="20"/>
          <w:szCs w:val="20"/>
          <w:lang w:val="en-GB"/>
        </w:rPr>
        <w:t xml:space="preserve">connection, exclusively, </w:t>
      </w:r>
      <w:r w:rsidRPr="00B7386E">
        <w:rPr>
          <w:sz w:val="20"/>
          <w:szCs w:val="20"/>
          <w:lang w:val="en-GB"/>
        </w:rPr>
        <w:t xml:space="preserve">was solely used by less than 1% of enterprises, which means that enterprises using a mobile connection also </w:t>
      </w:r>
      <w:r w:rsidRPr="0030693E">
        <w:rPr>
          <w:sz w:val="20"/>
          <w:szCs w:val="20"/>
          <w:lang w:val="en-GB"/>
        </w:rPr>
        <w:t>used</w:t>
      </w:r>
      <w:r w:rsidRPr="0011033A">
        <w:rPr>
          <w:color w:val="FF0000"/>
          <w:sz w:val="20"/>
          <w:szCs w:val="20"/>
          <w:lang w:val="en-GB"/>
        </w:rPr>
        <w:t xml:space="preserve"> </w:t>
      </w:r>
      <w:r w:rsidRPr="00B7386E">
        <w:rPr>
          <w:sz w:val="20"/>
          <w:szCs w:val="20"/>
          <w:lang w:val="en-GB"/>
        </w:rPr>
        <w:t>another means of fixed internet connection.</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On a long-term basis, another type of </w:t>
      </w:r>
      <w:r w:rsidRPr="00B7386E">
        <w:rPr>
          <w:b/>
          <w:sz w:val="20"/>
          <w:lang w:val="en-GB"/>
        </w:rPr>
        <w:t>fixed (wired) connection</w:t>
      </w:r>
      <w:r w:rsidRPr="00B7386E">
        <w:rPr>
          <w:sz w:val="20"/>
          <w:lang w:val="en-GB"/>
        </w:rPr>
        <w:t xml:space="preserve"> to the internet in Czech </w:t>
      </w:r>
      <w:r w:rsidRPr="0030693E">
        <w:rPr>
          <w:sz w:val="20"/>
          <w:lang w:val="en-GB"/>
        </w:rPr>
        <w:t>enterprises</w:t>
      </w:r>
      <w:r w:rsidRPr="0030693E">
        <w:rPr>
          <w:sz w:val="20"/>
          <w:szCs w:val="20"/>
          <w:lang w:val="en-GB"/>
        </w:rPr>
        <w:t>,</w:t>
      </w:r>
      <w:r w:rsidRPr="0030693E">
        <w:rPr>
          <w:sz w:val="20"/>
          <w:lang w:val="en-GB"/>
        </w:rPr>
        <w:t xml:space="preserve"> has </w:t>
      </w:r>
      <w:r w:rsidRPr="00B7386E">
        <w:rPr>
          <w:sz w:val="20"/>
          <w:lang w:val="en-GB"/>
        </w:rPr>
        <w:t xml:space="preserve">been the connection via </w:t>
      </w:r>
      <w:r w:rsidRPr="00B7386E">
        <w:rPr>
          <w:b/>
          <w:sz w:val="20"/>
          <w:lang w:val="en-GB"/>
        </w:rPr>
        <w:t xml:space="preserve">DSL </w:t>
      </w:r>
      <w:r w:rsidRPr="0030693E">
        <w:rPr>
          <w:b/>
          <w:sz w:val="20"/>
          <w:lang w:val="en-GB"/>
        </w:rPr>
        <w:t>technology</w:t>
      </w:r>
      <w:r w:rsidRPr="0030693E">
        <w:rPr>
          <w:sz w:val="20"/>
          <w:lang w:val="en-GB"/>
        </w:rPr>
        <w:t xml:space="preserve">. In </w:t>
      </w:r>
      <w:r w:rsidRPr="00B7386E">
        <w:rPr>
          <w:sz w:val="20"/>
          <w:lang w:val="en-GB"/>
        </w:rPr>
        <w:t>January 2017</w:t>
      </w:r>
      <w:r w:rsidRPr="0030693E">
        <w:rPr>
          <w:sz w:val="20"/>
          <w:szCs w:val="20"/>
          <w:lang w:val="en-GB"/>
        </w:rPr>
        <w:t>,</w:t>
      </w:r>
      <w:r w:rsidRPr="0030693E">
        <w:rPr>
          <w:sz w:val="20"/>
          <w:lang w:val="en-GB"/>
        </w:rPr>
        <w:t xml:space="preserve"> t</w:t>
      </w:r>
      <w:r w:rsidRPr="00B7386E">
        <w:rPr>
          <w:sz w:val="20"/>
          <w:lang w:val="en-GB"/>
        </w:rPr>
        <w:t xml:space="preserve">his means of connection was used by just under 58% of enterprises. In recent years we have been monitoring a decrease in the usage of this technology </w:t>
      </w:r>
      <w:r>
        <w:rPr>
          <w:sz w:val="20"/>
          <w:lang w:val="en-GB"/>
        </w:rPr>
        <w:t>–</w:t>
      </w:r>
      <w:r w:rsidRPr="00B7386E">
        <w:rPr>
          <w:sz w:val="20"/>
          <w:lang w:val="en-GB"/>
        </w:rPr>
        <w:t xml:space="preserve"> in 2015, internet connection via ADSL or another xDSL technology was used by two thirds of enterprises. </w:t>
      </w:r>
    </w:p>
    <w:p w:rsidR="009B63B1" w:rsidRPr="00B7386E" w:rsidRDefault="009B63B1" w:rsidP="009B63B1">
      <w:pPr>
        <w:pStyle w:val="Zkladntext"/>
        <w:numPr>
          <w:ilvl w:val="0"/>
          <w:numId w:val="15"/>
        </w:numPr>
        <w:tabs>
          <w:tab w:val="clear" w:pos="360"/>
        </w:tabs>
        <w:spacing w:before="0" w:after="80" w:line="264" w:lineRule="auto"/>
        <w:ind w:left="284" w:hanging="284"/>
        <w:rPr>
          <w:i/>
          <w:sz w:val="20"/>
          <w:lang w:val="en-GB"/>
        </w:rPr>
      </w:pPr>
      <w:r w:rsidRPr="00B7386E">
        <w:rPr>
          <w:sz w:val="20"/>
          <w:lang w:val="en-GB"/>
        </w:rPr>
        <w:t xml:space="preserve">Among EU countries, fixed internet connection is the prevailing one; in January 2017, on average, it was used by 93% of enterprises with 10+ employees. Mobile internet connection (by means of data tariffs from mobile operators) is used by an increasing number of enterprises in the Czech Republic; this trend also applies within the EU28. In 2017, on average, this means was used by 69% of enterprises in </w:t>
      </w:r>
      <w:r w:rsidRPr="00B7386E">
        <w:rPr>
          <w:b/>
          <w:sz w:val="20"/>
          <w:lang w:val="en-GB"/>
        </w:rPr>
        <w:t xml:space="preserve">EU </w:t>
      </w:r>
      <w:r w:rsidRPr="0030693E">
        <w:rPr>
          <w:b/>
          <w:sz w:val="20"/>
          <w:lang w:val="en-GB"/>
        </w:rPr>
        <w:t>countries</w:t>
      </w:r>
      <w:r w:rsidRPr="0030693E">
        <w:rPr>
          <w:b/>
          <w:sz w:val="20"/>
          <w:szCs w:val="20"/>
          <w:lang w:val="en-GB"/>
        </w:rPr>
        <w:t>,</w:t>
      </w:r>
      <w:r w:rsidRPr="0011033A">
        <w:rPr>
          <w:b/>
          <w:sz w:val="20"/>
          <w:lang w:val="en-GB"/>
        </w:rPr>
        <w:t xml:space="preserve"> </w:t>
      </w:r>
      <w:r w:rsidRPr="00B7386E">
        <w:rPr>
          <w:sz w:val="20"/>
          <w:lang w:val="en-GB"/>
        </w:rPr>
        <w:t xml:space="preserve">as opposed to less than a third in 2010. Mobile connection to the internet is the most used type in Finnish </w:t>
      </w:r>
      <w:r w:rsidRPr="0030693E">
        <w:rPr>
          <w:sz w:val="20"/>
          <w:lang w:val="en-GB"/>
        </w:rPr>
        <w:t>enterprises; in 2017</w:t>
      </w:r>
      <w:r w:rsidRPr="00B7386E">
        <w:rPr>
          <w:sz w:val="20"/>
          <w:lang w:val="en-GB"/>
        </w:rPr>
        <w:t>, it was used by 94% of enterprises compared to 68% in 2010.</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On the other hand, two other types of connection to the internet have been gaining in popularity: </w:t>
      </w:r>
      <w:r w:rsidRPr="00B7386E">
        <w:rPr>
          <w:b/>
          <w:sz w:val="20"/>
          <w:lang w:val="en-GB"/>
        </w:rPr>
        <w:t xml:space="preserve">optical internet connection </w:t>
      </w:r>
      <w:r w:rsidRPr="00B7386E">
        <w:rPr>
          <w:sz w:val="20"/>
          <w:lang w:val="en-GB"/>
        </w:rPr>
        <w:t xml:space="preserve">and </w:t>
      </w:r>
      <w:r w:rsidRPr="00B7386E">
        <w:rPr>
          <w:b/>
          <w:sz w:val="20"/>
          <w:lang w:val="en-GB"/>
        </w:rPr>
        <w:t xml:space="preserve">leased </w:t>
      </w:r>
      <w:r w:rsidRPr="0030693E">
        <w:rPr>
          <w:b/>
          <w:sz w:val="20"/>
          <w:lang w:val="en-GB"/>
        </w:rPr>
        <w:t>line</w:t>
      </w:r>
      <w:r w:rsidRPr="0030693E">
        <w:rPr>
          <w:sz w:val="20"/>
          <w:szCs w:val="20"/>
          <w:lang w:val="en-GB"/>
        </w:rPr>
        <w:t>,</w:t>
      </w:r>
      <w:r w:rsidRPr="0030693E">
        <w:rPr>
          <w:b/>
          <w:sz w:val="20"/>
          <w:lang w:val="en-GB"/>
        </w:rPr>
        <w:t xml:space="preserve"> </w:t>
      </w:r>
      <w:r w:rsidRPr="00B7386E">
        <w:rPr>
          <w:sz w:val="20"/>
          <w:lang w:val="en-GB"/>
        </w:rPr>
        <w:t>provided by operators of telecommunication services. In January 2017, each of these two technologies was used in the Czech Republic by approximately fifth of enterprises with 10+ employees, which is approximately a two-fold share compared to the situation 5</w:t>
      </w:r>
      <w:r>
        <w:rPr>
          <w:sz w:val="20"/>
          <w:lang w:val="en-GB"/>
        </w:rPr>
        <w:t> </w:t>
      </w:r>
      <w:r w:rsidRPr="00B7386E">
        <w:rPr>
          <w:sz w:val="20"/>
          <w:lang w:val="en-GB"/>
        </w:rPr>
        <w:t xml:space="preserve">years </w:t>
      </w:r>
      <w:r w:rsidRPr="0030693E">
        <w:rPr>
          <w:sz w:val="20"/>
          <w:lang w:val="en-GB"/>
        </w:rPr>
        <w:t>ago</w:t>
      </w:r>
      <w:r w:rsidRPr="0030693E">
        <w:rPr>
          <w:sz w:val="20"/>
          <w:szCs w:val="20"/>
          <w:lang w:val="en-GB"/>
        </w:rPr>
        <w:t>,</w:t>
      </w:r>
      <w:r w:rsidRPr="0030693E">
        <w:rPr>
          <w:sz w:val="20"/>
          <w:lang w:val="en-GB"/>
        </w:rPr>
        <w:t xml:space="preserve"> </w:t>
      </w:r>
      <w:r w:rsidRPr="00B7386E">
        <w:rPr>
          <w:sz w:val="20"/>
          <w:lang w:val="en-GB"/>
        </w:rPr>
        <w:t xml:space="preserve">when they were used by every tenth company. </w:t>
      </w:r>
    </w:p>
    <w:p w:rsidR="009B63B1" w:rsidRDefault="009B63B1" w:rsidP="009B63B1">
      <w:pPr>
        <w:pStyle w:val="Zkladntext"/>
        <w:spacing w:before="0" w:after="100" w:line="264" w:lineRule="auto"/>
      </w:pPr>
      <w:r w:rsidRPr="00B7386E">
        <w:rPr>
          <w:noProof/>
        </w:rPr>
        <w:drawing>
          <wp:inline distT="0" distB="0" distL="0" distR="0" wp14:anchorId="21225C23" wp14:editId="3E357964">
            <wp:extent cx="3060000" cy="2340000"/>
            <wp:effectExtent l="0" t="0" r="7620" b="3175"/>
            <wp:docPr id="147" name="Graf 147">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B7386E">
        <w:rPr>
          <w:noProof/>
        </w:rPr>
        <w:drawing>
          <wp:inline distT="0" distB="0" distL="0" distR="0" wp14:anchorId="247EC088" wp14:editId="2DACD4A9">
            <wp:extent cx="3024000" cy="2340000"/>
            <wp:effectExtent l="0" t="0" r="5080" b="3175"/>
            <wp:docPr id="148" name="Graf 148">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B63B1" w:rsidRPr="00B7386E" w:rsidRDefault="009B63B1" w:rsidP="009B63B1">
      <w:pPr>
        <w:pStyle w:val="Zkladntext"/>
        <w:spacing w:before="0" w:after="100" w:line="264" w:lineRule="auto"/>
        <w:jc w:val="center"/>
        <w:rPr>
          <w:sz w:val="16"/>
          <w:lang w:val="en-GB"/>
        </w:rPr>
      </w:pPr>
      <w:r w:rsidRPr="00B7386E">
        <w:rPr>
          <w:sz w:val="16"/>
          <w:lang w:val="en-GB"/>
        </w:rPr>
        <w:t>* as a percentage of all enterprises with 10+ employees in a given size class</w:t>
      </w:r>
    </w:p>
    <w:p w:rsidR="009B63B1" w:rsidRPr="00B7386E" w:rsidRDefault="009B63B1" w:rsidP="009B63B1">
      <w:pPr>
        <w:pStyle w:val="Zkladntext"/>
        <w:spacing w:before="0" w:after="100" w:line="264" w:lineRule="auto"/>
        <w:jc w:val="center"/>
        <w:rPr>
          <w:sz w:val="16"/>
          <w:lang w:val="en-GB"/>
        </w:rPr>
      </w:pPr>
    </w:p>
    <w:p w:rsidR="009B63B1"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In January 2017, more than </w:t>
      </w:r>
      <w:r w:rsidRPr="00B7386E">
        <w:rPr>
          <w:b/>
          <w:sz w:val="20"/>
          <w:lang w:val="en-GB"/>
        </w:rPr>
        <w:t xml:space="preserve">two types </w:t>
      </w:r>
      <w:r w:rsidRPr="00B7386E">
        <w:rPr>
          <w:sz w:val="20"/>
          <w:lang w:val="en-GB"/>
        </w:rPr>
        <w:t xml:space="preserve">of fixed internet connection were used in the Czech Republic by seven enterprises out of ten; with respect to large firms it was nine out of ten. </w:t>
      </w:r>
    </w:p>
    <w:p w:rsidR="009B63B1" w:rsidRPr="00BA689E" w:rsidRDefault="009B63B1" w:rsidP="009B63B1">
      <w:pPr>
        <w:pStyle w:val="Nadpis3"/>
      </w:pPr>
      <w:bookmarkStart w:id="115" w:name="_Toc533697524"/>
      <w:bookmarkStart w:id="116" w:name="_Toc534712023"/>
      <w:r>
        <w:t>Speed of internet connection used by enterprises</w:t>
      </w:r>
      <w:bookmarkEnd w:id="115"/>
      <w:bookmarkEnd w:id="116"/>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30693E">
        <w:rPr>
          <w:sz w:val="20"/>
          <w:lang w:val="en-GB"/>
        </w:rPr>
        <w:t xml:space="preserve">With regards to </w:t>
      </w:r>
      <w:r w:rsidRPr="00B7386E">
        <w:rPr>
          <w:sz w:val="20"/>
          <w:lang w:val="en-GB"/>
        </w:rPr>
        <w:t xml:space="preserve">the spreading of new or improved existing technologies used for internet connection, the contractually-binding internet connection download speed of Mbit/s has been increasing year by </w:t>
      </w:r>
      <w:r w:rsidRPr="0030693E">
        <w:rPr>
          <w:sz w:val="20"/>
          <w:lang w:val="en-GB"/>
        </w:rPr>
        <w:t>year</w:t>
      </w:r>
      <w:r w:rsidRPr="0030693E">
        <w:rPr>
          <w:sz w:val="20"/>
          <w:szCs w:val="20"/>
          <w:lang w:val="en-GB"/>
        </w:rPr>
        <w:t>,</w:t>
      </w:r>
      <w:r w:rsidRPr="00B7386E">
        <w:rPr>
          <w:sz w:val="20"/>
          <w:lang w:val="en-GB"/>
        </w:rPr>
        <w:t xml:space="preserve"> with the fastest fixed internet connection in Mbit/s used in enterprises – further below, this term is simplified to </w:t>
      </w:r>
      <w:r w:rsidRPr="00B7386E">
        <w:rPr>
          <w:b/>
          <w:sz w:val="20"/>
          <w:lang w:val="en-GB"/>
        </w:rPr>
        <w:t>internet connection speed</w:t>
      </w:r>
      <w:r w:rsidRPr="0030693E">
        <w:rPr>
          <w:sz w:val="20"/>
          <w:lang w:val="en-GB"/>
        </w:rPr>
        <w:t>.</w:t>
      </w:r>
      <w:r w:rsidRPr="00B7386E">
        <w:rPr>
          <w:sz w:val="20"/>
          <w:lang w:val="en-GB"/>
        </w:rPr>
        <w:t xml:space="preserve"> In 2015, less than a fifth (19%) of enterprises with 10+ employees in the Czech </w:t>
      </w:r>
      <w:r w:rsidRPr="0030693E">
        <w:rPr>
          <w:sz w:val="20"/>
          <w:lang w:val="en-GB"/>
        </w:rPr>
        <w:t>Republic</w:t>
      </w:r>
      <w:r w:rsidRPr="0030693E">
        <w:rPr>
          <w:sz w:val="20"/>
          <w:szCs w:val="20"/>
          <w:lang w:val="en-GB"/>
        </w:rPr>
        <w:t>,</w:t>
      </w:r>
      <w:r w:rsidRPr="0030693E">
        <w:rPr>
          <w:sz w:val="20"/>
          <w:lang w:val="en-GB"/>
        </w:rPr>
        <w:t xml:space="preserve"> </w:t>
      </w:r>
      <w:r w:rsidRPr="00B7386E">
        <w:rPr>
          <w:sz w:val="20"/>
          <w:lang w:val="en-GB"/>
        </w:rPr>
        <w:t>claimed to have been using internet connection of 30Mb/s and higher; two years later it was already nearly a third</w:t>
      </w:r>
      <w:r>
        <w:rPr>
          <w:color w:val="FF0000"/>
          <w:sz w:val="20"/>
          <w:szCs w:val="20"/>
          <w:lang w:val="en-GB"/>
        </w:rPr>
        <w:t xml:space="preserve"> </w:t>
      </w:r>
      <w:r w:rsidRPr="00B7386E">
        <w:rPr>
          <w:sz w:val="20"/>
          <w:lang w:val="en-GB"/>
        </w:rPr>
        <w:t xml:space="preserve">and with respect to large enterprises the percentage was 60%.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In 2017, the number of enterprises using internet connection enabling downloading of </w:t>
      </w:r>
      <w:r w:rsidRPr="00B7386E">
        <w:rPr>
          <w:b/>
          <w:sz w:val="20"/>
          <w:lang w:val="en-GB"/>
        </w:rPr>
        <w:t>at least 100 Mb/s</w:t>
      </w:r>
      <w:r w:rsidRPr="00B7386E">
        <w:rPr>
          <w:sz w:val="20"/>
          <w:lang w:val="en-GB"/>
        </w:rPr>
        <w:t xml:space="preserve"> was, as expected, the highest in enterprises operating in the telecommunication industry (68%) or in IT </w:t>
      </w:r>
      <w:r w:rsidRPr="00B7386E">
        <w:rPr>
          <w:sz w:val="20"/>
          <w:lang w:val="en-GB"/>
        </w:rPr>
        <w:lastRenderedPageBreak/>
        <w:t xml:space="preserve">activities (39%). </w:t>
      </w:r>
      <w:r w:rsidRPr="0030693E">
        <w:rPr>
          <w:sz w:val="20"/>
          <w:lang w:val="en-GB"/>
        </w:rPr>
        <w:t xml:space="preserve">Opposed to this, the </w:t>
      </w:r>
      <w:r w:rsidRPr="00B7386E">
        <w:rPr>
          <w:sz w:val="20"/>
          <w:lang w:val="en-GB"/>
        </w:rPr>
        <w:t xml:space="preserve">lowest number was found in enterprises operating in the food and beverage services sector or in retail. In both of these industries, it was “only” 7.6% – this low number is again caused by the fact that these industries are highly represented by small enterprises, compared to other industries. </w:t>
      </w:r>
    </w:p>
    <w:p w:rsidR="009B63B1" w:rsidRPr="00B7386E" w:rsidRDefault="009B63B1" w:rsidP="009B63B1">
      <w:pPr>
        <w:pStyle w:val="Odstavecseseznamem"/>
        <w:numPr>
          <w:ilvl w:val="0"/>
          <w:numId w:val="15"/>
        </w:numPr>
        <w:tabs>
          <w:tab w:val="clear" w:pos="360"/>
          <w:tab w:val="num" w:pos="284"/>
        </w:tabs>
        <w:spacing w:after="80" w:line="264" w:lineRule="auto"/>
        <w:ind w:left="284" w:hanging="284"/>
        <w:jc w:val="both"/>
        <w:rPr>
          <w:rFonts w:ascii="Arial" w:hAnsi="Arial" w:cs="Arial"/>
          <w:sz w:val="20"/>
          <w:lang w:val="en-GB"/>
        </w:rPr>
      </w:pPr>
      <w:r w:rsidRPr="00B7386E">
        <w:rPr>
          <w:rFonts w:ascii="Arial" w:hAnsi="Arial" w:cs="Arial"/>
          <w:sz w:val="20"/>
          <w:lang w:val="en-GB"/>
        </w:rPr>
        <w:t>The prevailing internet connection speed in Czech enterprises</w:t>
      </w:r>
      <w:r w:rsidRPr="0030693E">
        <w:rPr>
          <w:sz w:val="20"/>
          <w:szCs w:val="20"/>
          <w:lang w:val="en-GB"/>
        </w:rPr>
        <w:t>,</w:t>
      </w:r>
      <w:r w:rsidRPr="00B7386E">
        <w:rPr>
          <w:rFonts w:ascii="Arial" w:hAnsi="Arial" w:cs="Arial"/>
          <w:sz w:val="20"/>
          <w:lang w:val="en-GB"/>
        </w:rPr>
        <w:t xml:space="preserve"> in January 2017</w:t>
      </w:r>
      <w:r w:rsidRPr="0030693E">
        <w:rPr>
          <w:sz w:val="20"/>
          <w:szCs w:val="20"/>
          <w:lang w:val="en-GB"/>
        </w:rPr>
        <w:t>,</w:t>
      </w:r>
      <w:r w:rsidRPr="00B7386E">
        <w:rPr>
          <w:rFonts w:ascii="Arial" w:hAnsi="Arial" w:cs="Arial"/>
          <w:sz w:val="20"/>
          <w:lang w:val="en-GB"/>
        </w:rPr>
        <w:t xml:space="preserve"> was between </w:t>
      </w:r>
      <w:r w:rsidRPr="00B7386E">
        <w:rPr>
          <w:rFonts w:ascii="Arial" w:hAnsi="Arial" w:cs="Arial"/>
          <w:sz w:val="20"/>
          <w:lang w:val="en-GB"/>
        </w:rPr>
        <w:br/>
        <w:t>10–29.9 Mb/s (40% of enterprises with internet access)</w:t>
      </w:r>
      <w:r w:rsidRPr="0030693E">
        <w:rPr>
          <w:rFonts w:ascii="Arial" w:hAnsi="Arial" w:cs="Arial"/>
          <w:sz w:val="20"/>
          <w:lang w:val="en-GB"/>
        </w:rPr>
        <w:t xml:space="preserve">. </w:t>
      </w:r>
      <w:r w:rsidRPr="00B7386E">
        <w:rPr>
          <w:rFonts w:ascii="Arial" w:hAnsi="Arial" w:cs="Arial"/>
          <w:sz w:val="20"/>
          <w:lang w:val="en-GB"/>
        </w:rPr>
        <w:t xml:space="preserve">19% of enterprises with internet access </w:t>
      </w:r>
      <w:r w:rsidRPr="0030693E">
        <w:rPr>
          <w:rFonts w:ascii="Arial" w:hAnsi="Arial" w:cs="Arial"/>
          <w:sz w:val="20"/>
          <w:lang w:val="en-GB"/>
        </w:rPr>
        <w:t xml:space="preserve">were </w:t>
      </w:r>
      <w:r w:rsidRPr="00B7386E">
        <w:rPr>
          <w:rFonts w:ascii="Arial" w:hAnsi="Arial" w:cs="Arial"/>
          <w:sz w:val="20"/>
          <w:lang w:val="en-GB"/>
        </w:rPr>
        <w:t xml:space="preserve">downloading data with </w:t>
      </w:r>
      <w:r w:rsidRPr="0030693E">
        <w:rPr>
          <w:rFonts w:ascii="Arial" w:hAnsi="Arial" w:cs="Arial"/>
          <w:sz w:val="20"/>
          <w:lang w:val="en-GB"/>
        </w:rPr>
        <w:t>a</w:t>
      </w:r>
      <w:r>
        <w:rPr>
          <w:rFonts w:ascii="Arial" w:hAnsi="Arial" w:cs="Arial"/>
          <w:color w:val="FF0000"/>
          <w:sz w:val="20"/>
          <w:lang w:val="en-GB"/>
        </w:rPr>
        <w:t xml:space="preserve"> </w:t>
      </w:r>
      <w:r w:rsidRPr="00B7386E">
        <w:rPr>
          <w:rFonts w:ascii="Arial" w:hAnsi="Arial" w:cs="Arial"/>
          <w:sz w:val="20"/>
          <w:lang w:val="en-GB"/>
        </w:rPr>
        <w:t xml:space="preserve">speed of 30–99.9 Mb/s, and </w:t>
      </w:r>
      <w:r w:rsidRPr="0030693E">
        <w:rPr>
          <w:rFonts w:ascii="Arial" w:hAnsi="Arial" w:cs="Arial"/>
          <w:sz w:val="20"/>
          <w:lang w:val="en-GB"/>
        </w:rPr>
        <w:t xml:space="preserve">a </w:t>
      </w:r>
      <w:r w:rsidRPr="00B7386E">
        <w:rPr>
          <w:rFonts w:ascii="Arial" w:hAnsi="Arial" w:cs="Arial"/>
          <w:sz w:val="20"/>
          <w:lang w:val="en-GB"/>
        </w:rPr>
        <w:t>further 12% of enterprises got connected with speed exceeding 100 Mb/s. In 2017</w:t>
      </w:r>
      <w:r w:rsidRPr="0030693E">
        <w:rPr>
          <w:rFonts w:ascii="Arial" w:hAnsi="Arial" w:cs="Arial"/>
          <w:sz w:val="20"/>
          <w:lang w:val="en-GB"/>
        </w:rPr>
        <w:t>, a</w:t>
      </w:r>
      <w:r>
        <w:rPr>
          <w:rFonts w:ascii="Arial" w:hAnsi="Arial" w:cs="Arial"/>
          <w:color w:val="FF0000"/>
          <w:sz w:val="20"/>
          <w:lang w:val="en-GB"/>
        </w:rPr>
        <w:t xml:space="preserve"> </w:t>
      </w:r>
      <w:r w:rsidRPr="00B7386E">
        <w:rPr>
          <w:rFonts w:ascii="Arial" w:hAnsi="Arial" w:cs="Arial"/>
          <w:sz w:val="20"/>
          <w:lang w:val="en-GB"/>
        </w:rPr>
        <w:t xml:space="preserve">download speed lower than 10 Mb/s was only used by less than a third of enterprises in the Czech Republic. Only in </w:t>
      </w:r>
      <w:r w:rsidRPr="0030693E">
        <w:rPr>
          <w:rFonts w:ascii="Arial" w:hAnsi="Arial" w:cs="Arial"/>
          <w:sz w:val="20"/>
          <w:lang w:val="en-GB"/>
        </w:rPr>
        <w:t xml:space="preserve">2011, was it </w:t>
      </w:r>
      <w:r w:rsidRPr="00B7386E">
        <w:rPr>
          <w:rFonts w:ascii="Arial" w:hAnsi="Arial" w:cs="Arial"/>
          <w:sz w:val="20"/>
          <w:lang w:val="en-GB"/>
        </w:rPr>
        <w:t>the most frequently used speed (61% of enterprises with internet access).</w:t>
      </w:r>
    </w:p>
    <w:p w:rsidR="009B63B1" w:rsidRDefault="009B63B1" w:rsidP="009B63B1">
      <w:pPr>
        <w:spacing w:before="60" w:after="60"/>
        <w:jc w:val="both"/>
      </w:pPr>
      <w:r w:rsidRPr="00B7386E">
        <w:rPr>
          <w:noProof/>
          <w:lang w:val="cs-CZ"/>
        </w:rPr>
        <w:drawing>
          <wp:inline distT="0" distB="0" distL="0" distR="0" wp14:anchorId="5A671429" wp14:editId="3F7D4EA6">
            <wp:extent cx="3124800" cy="2916000"/>
            <wp:effectExtent l="0" t="0" r="0" b="17780"/>
            <wp:docPr id="149" name="Graf 149">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B7386E">
        <w:rPr>
          <w:noProof/>
          <w:lang w:val="cs-CZ"/>
        </w:rPr>
        <w:drawing>
          <wp:inline distT="0" distB="0" distL="0" distR="0" wp14:anchorId="453F0368" wp14:editId="1D72831A">
            <wp:extent cx="2819400" cy="2847975"/>
            <wp:effectExtent l="0" t="0" r="0" b="9525"/>
            <wp:docPr id="150" name="Graf 150">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Note: maximum contracted download speed of the fastest fixed internet speed</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On the European scale of enterprise</w:t>
      </w:r>
      <w:r w:rsidRPr="0030693E">
        <w:rPr>
          <w:sz w:val="20"/>
          <w:lang w:val="en-GB"/>
        </w:rPr>
        <w:t>s</w:t>
      </w:r>
      <w:r w:rsidRPr="0030693E">
        <w:rPr>
          <w:sz w:val="20"/>
          <w:szCs w:val="20"/>
          <w:lang w:val="en-GB"/>
        </w:rPr>
        <w:t>,</w:t>
      </w:r>
      <w:r w:rsidRPr="0030693E">
        <w:rPr>
          <w:sz w:val="20"/>
          <w:lang w:val="en-GB"/>
        </w:rPr>
        <w:t xml:space="preserve"> </w:t>
      </w:r>
      <w:r w:rsidRPr="00B7386E">
        <w:rPr>
          <w:sz w:val="20"/>
          <w:lang w:val="en-GB"/>
        </w:rPr>
        <w:t xml:space="preserve">with internet connection speed of at least 30 Mb/s, Czech enterprises took </w:t>
      </w:r>
      <w:r w:rsidRPr="0030693E">
        <w:rPr>
          <w:sz w:val="20"/>
          <w:lang w:val="en-GB"/>
        </w:rPr>
        <w:t>the</w:t>
      </w:r>
      <w:r>
        <w:rPr>
          <w:color w:val="FF0000"/>
          <w:sz w:val="20"/>
          <w:lang w:val="en-GB"/>
        </w:rPr>
        <w:t xml:space="preserve"> </w:t>
      </w:r>
      <w:r w:rsidRPr="00B7386E">
        <w:rPr>
          <w:sz w:val="20"/>
          <w:lang w:val="en-GB"/>
        </w:rPr>
        <w:t xml:space="preserve">place below </w:t>
      </w:r>
      <w:r w:rsidRPr="00B7386E">
        <w:rPr>
          <w:b/>
          <w:sz w:val="20"/>
          <w:lang w:val="en-GB"/>
        </w:rPr>
        <w:t>the EU28 average</w:t>
      </w:r>
      <w:r w:rsidRPr="00B7386E">
        <w:rPr>
          <w:sz w:val="20"/>
          <w:lang w:val="en-GB"/>
        </w:rPr>
        <w:t xml:space="preserve"> in 2017, i.e. only on the 22nd place, along with enterprises from Slovakia</w:t>
      </w:r>
      <w:r>
        <w:rPr>
          <w:sz w:val="20"/>
          <w:lang w:val="en-GB"/>
        </w:rPr>
        <w:t xml:space="preserve"> </w:t>
      </w:r>
      <w:r w:rsidRPr="0030693E">
        <w:rPr>
          <w:sz w:val="20"/>
          <w:lang w:val="en-GB"/>
        </w:rPr>
        <w:t xml:space="preserve">and </w:t>
      </w:r>
      <w:r w:rsidRPr="00B7386E">
        <w:rPr>
          <w:sz w:val="20"/>
          <w:lang w:val="en-GB"/>
        </w:rPr>
        <w:t xml:space="preserve">Croatia.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During the last four years, the share of enterprises using a very fast internet connection (</w:t>
      </w:r>
      <w:r w:rsidRPr="00B7386E">
        <w:rPr>
          <w:b/>
          <w:sz w:val="20"/>
          <w:lang w:val="en-GB"/>
        </w:rPr>
        <w:t>at least 100</w:t>
      </w:r>
      <w:r>
        <w:rPr>
          <w:b/>
          <w:sz w:val="20"/>
          <w:lang w:val="en-GB"/>
        </w:rPr>
        <w:t> </w:t>
      </w:r>
      <w:r w:rsidRPr="00B7386E">
        <w:rPr>
          <w:b/>
          <w:sz w:val="20"/>
          <w:lang w:val="en-GB"/>
        </w:rPr>
        <w:t>Mb/s</w:t>
      </w:r>
      <w:r w:rsidRPr="00B7386E">
        <w:rPr>
          <w:sz w:val="20"/>
          <w:lang w:val="en-GB"/>
        </w:rPr>
        <w:t xml:space="preserve">) has doubled. In 2017, internet connection enabling the aforementioned speed of data download was used by </w:t>
      </w:r>
      <w:r w:rsidRPr="0030693E">
        <w:rPr>
          <w:sz w:val="20"/>
          <w:lang w:val="en-GB"/>
        </w:rPr>
        <w:t xml:space="preserve">an </w:t>
      </w:r>
      <w:r w:rsidRPr="00B7386E">
        <w:rPr>
          <w:sz w:val="20"/>
          <w:lang w:val="en-GB"/>
        </w:rPr>
        <w:t>average of 16% of enterprises within the EU28; in 2013 there were not even 8%.</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The fastest internet connection was available to enterprises in Nordic EU states</w:t>
      </w:r>
      <w:r>
        <w:rPr>
          <w:color w:val="FF0000"/>
          <w:sz w:val="20"/>
          <w:lang w:val="en-GB"/>
        </w:rPr>
        <w:t>:</w:t>
      </w:r>
      <w:r w:rsidRPr="00B7386E">
        <w:rPr>
          <w:sz w:val="20"/>
          <w:lang w:val="en-GB"/>
        </w:rPr>
        <w:t xml:space="preserve"> Denmark, Sweden, and </w:t>
      </w:r>
      <w:r w:rsidRPr="0030693E">
        <w:rPr>
          <w:sz w:val="20"/>
          <w:lang w:val="en-GB"/>
        </w:rPr>
        <w:t>Finland</w:t>
      </w:r>
      <w:r w:rsidRPr="0030693E">
        <w:rPr>
          <w:sz w:val="20"/>
          <w:szCs w:val="20"/>
          <w:lang w:val="en-GB"/>
        </w:rPr>
        <w:t>,</w:t>
      </w:r>
      <w:r w:rsidRPr="0030693E">
        <w:rPr>
          <w:sz w:val="20"/>
          <w:lang w:val="en-GB"/>
        </w:rPr>
        <w:t xml:space="preserve"> </w:t>
      </w:r>
      <w:r w:rsidRPr="00B7386E">
        <w:rPr>
          <w:sz w:val="20"/>
          <w:lang w:val="en-GB"/>
        </w:rPr>
        <w:t xml:space="preserve">where at the beginning of 2017 more than 30% of enterprises stated to be using the maximum download speed of even 100 Mb/s and higher. </w:t>
      </w:r>
      <w:r w:rsidRPr="0030693E">
        <w:rPr>
          <w:sz w:val="20"/>
          <w:lang w:val="en-GB"/>
        </w:rPr>
        <w:t xml:space="preserve">Opposed to this, </w:t>
      </w:r>
      <w:r w:rsidRPr="00B7386E">
        <w:rPr>
          <w:sz w:val="20"/>
          <w:lang w:val="en-GB"/>
        </w:rPr>
        <w:t>in Croatia, Italy, Cyprus, and Greece there were less than 10%.</w:t>
      </w:r>
    </w:p>
    <w:p w:rsidR="009B63B1" w:rsidRPr="00B7386E" w:rsidRDefault="009B63B1" w:rsidP="009B63B1">
      <w:pPr>
        <w:pStyle w:val="Zkladntext"/>
        <w:spacing w:before="0" w:after="100" w:line="264" w:lineRule="auto"/>
        <w:rPr>
          <w:b/>
          <w:i/>
          <w:color w:val="009BB4"/>
          <w:sz w:val="24"/>
          <w:lang w:val="en-GB"/>
        </w:rPr>
      </w:pPr>
      <w:r w:rsidRPr="00B7386E">
        <w:rPr>
          <w:noProof/>
        </w:rPr>
        <w:lastRenderedPageBreak/>
        <w:drawing>
          <wp:inline distT="0" distB="0" distL="0" distR="0" wp14:anchorId="4D1C3983" wp14:editId="4ED731DA">
            <wp:extent cx="5972400" cy="3204000"/>
            <wp:effectExtent l="0" t="0" r="0" b="0"/>
            <wp:docPr id="151" name="Graf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B63B1" w:rsidRPr="00354A2B" w:rsidRDefault="009B63B1" w:rsidP="009B63B1">
      <w:pPr>
        <w:pStyle w:val="Nadpis2"/>
      </w:pPr>
      <w:bookmarkStart w:id="117" w:name="_Toc533697525"/>
      <w:bookmarkStart w:id="118" w:name="_Toc534712024"/>
      <w:r w:rsidRPr="00354A2B">
        <w:t>D.3 Enterprises with a website</w:t>
      </w:r>
      <w:bookmarkEnd w:id="117"/>
      <w:bookmarkEnd w:id="118"/>
    </w:p>
    <w:p w:rsidR="009B63B1" w:rsidRPr="006821E7" w:rsidRDefault="009B63B1" w:rsidP="009B63B1">
      <w:pPr>
        <w:spacing w:after="80" w:line="264" w:lineRule="auto"/>
        <w:jc w:val="both"/>
        <w:rPr>
          <w:i/>
        </w:rPr>
      </w:pPr>
      <w:r w:rsidRPr="005818AA">
        <w:rPr>
          <w:i/>
        </w:rPr>
        <w:t xml:space="preserve">Through </w:t>
      </w:r>
      <w:r w:rsidRPr="006821E7">
        <w:rPr>
          <w:i/>
        </w:rPr>
        <w:t xml:space="preserve">the internet, economic entities may make their presentation very efficient and increase the awareness of their existence – they may establish a good reputation – but also communicate with their customers or suppliers. Possibly the most famous environment for self-promotion of an </w:t>
      </w:r>
      <w:r w:rsidRPr="005818AA">
        <w:rPr>
          <w:i/>
        </w:rPr>
        <w:t>enterprise</w:t>
      </w:r>
      <w:r w:rsidRPr="005818AA">
        <w:rPr>
          <w:i/>
          <w:szCs w:val="20"/>
        </w:rPr>
        <w:t>,</w:t>
      </w:r>
      <w:r w:rsidRPr="005818AA">
        <w:rPr>
          <w:i/>
        </w:rPr>
        <w:t xml:space="preserve"> </w:t>
      </w:r>
      <w:r w:rsidRPr="006821E7">
        <w:rPr>
          <w:i/>
        </w:rPr>
        <w:t xml:space="preserve">on the </w:t>
      </w:r>
      <w:r w:rsidRPr="005818AA">
        <w:rPr>
          <w:i/>
        </w:rPr>
        <w:t>internet</w:t>
      </w:r>
      <w:r w:rsidRPr="005818AA">
        <w:rPr>
          <w:i/>
          <w:szCs w:val="20"/>
        </w:rPr>
        <w:t>,</w:t>
      </w:r>
      <w:r w:rsidRPr="006821E7">
        <w:rPr>
          <w:i/>
        </w:rPr>
        <w:t xml:space="preserve"> is its website. Enterprises </w:t>
      </w:r>
      <w:r w:rsidRPr="005818AA">
        <w:rPr>
          <w:i/>
        </w:rPr>
        <w:t>represent</w:t>
      </w:r>
      <w:r w:rsidRPr="005818AA">
        <w:rPr>
          <w:i/>
          <w:szCs w:val="20"/>
        </w:rPr>
        <w:t>,</w:t>
      </w:r>
      <w:r w:rsidRPr="006821E7">
        <w:rPr>
          <w:i/>
        </w:rPr>
        <w:t xml:space="preserve"> not only themselves and their products </w:t>
      </w:r>
      <w:r w:rsidRPr="005818AA">
        <w:rPr>
          <w:i/>
        </w:rPr>
        <w:t>online, but in many cases, t</w:t>
      </w:r>
      <w:r w:rsidRPr="006821E7">
        <w:rPr>
          <w:i/>
        </w:rPr>
        <w:t xml:space="preserve">hey also sell these products via their own website.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In January 2017, a total of 83% of enterprises in the Czech Republic with 10+ employees had a </w:t>
      </w:r>
      <w:r w:rsidRPr="00B7386E">
        <w:rPr>
          <w:b/>
          <w:sz w:val="20"/>
          <w:lang w:val="en-GB"/>
        </w:rPr>
        <w:t>website</w:t>
      </w:r>
      <w:r w:rsidRPr="00C50C63">
        <w:rPr>
          <w:rStyle w:val="Znakapoznpodarou"/>
          <w:b/>
          <w:sz w:val="20"/>
          <w:lang w:val="en-GB"/>
        </w:rPr>
        <w:footnoteReference w:id="39"/>
      </w:r>
      <w:r w:rsidRPr="00B7386E">
        <w:rPr>
          <w:sz w:val="20"/>
          <w:lang w:val="en-GB"/>
        </w:rPr>
        <w:t xml:space="preserve">. Compared to the year 2000, when a website was owned by 40% of enterprises, it is more than twice as many. However, there have not been any significant changes to this share in recent years. In January 2017, a web presentation was most frequently owned by entities operating in the accommodation industry (CZ NACE I (55)), in tourism (CZ NACE N (79)), and in </w:t>
      </w:r>
      <w:r w:rsidRPr="005818AA">
        <w:rPr>
          <w:sz w:val="20"/>
          <w:lang w:val="en-GB"/>
        </w:rPr>
        <w:t>the</w:t>
      </w:r>
      <w:r>
        <w:rPr>
          <w:color w:val="FF0000"/>
          <w:sz w:val="20"/>
          <w:lang w:val="en-GB"/>
        </w:rPr>
        <w:t xml:space="preserve"> </w:t>
      </w:r>
      <w:r w:rsidRPr="00B7386E">
        <w:rPr>
          <w:sz w:val="20"/>
          <w:lang w:val="en-GB"/>
        </w:rPr>
        <w:t xml:space="preserve">category CZ NACE J </w:t>
      </w:r>
      <w:r w:rsidRPr="00B7386E">
        <w:rPr>
          <w:i/>
          <w:sz w:val="20"/>
          <w:lang w:val="en-GB"/>
        </w:rPr>
        <w:t>Information and communication activities</w:t>
      </w:r>
      <w:r w:rsidRPr="00B7386E">
        <w:rPr>
          <w:sz w:val="20"/>
          <w:lang w:val="en-GB"/>
        </w:rPr>
        <w:t xml:space="preserve"> (over 95%).</w:t>
      </w:r>
    </w:p>
    <w:p w:rsidR="009B63B1" w:rsidRPr="00C54289"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In January </w:t>
      </w:r>
      <w:r w:rsidRPr="005818AA">
        <w:rPr>
          <w:sz w:val="20"/>
          <w:lang w:val="en-GB"/>
        </w:rPr>
        <w:t>2017</w:t>
      </w:r>
      <w:r w:rsidRPr="005818AA">
        <w:rPr>
          <w:sz w:val="20"/>
          <w:szCs w:val="20"/>
          <w:lang w:val="en-GB"/>
        </w:rPr>
        <w:t>,</w:t>
      </w:r>
      <w:r w:rsidRPr="005818AA">
        <w:rPr>
          <w:sz w:val="20"/>
          <w:lang w:val="en-GB"/>
        </w:rPr>
        <w:t xml:space="preserve"> </w:t>
      </w:r>
      <w:r w:rsidRPr="00B7386E">
        <w:rPr>
          <w:sz w:val="20"/>
          <w:lang w:val="en-GB"/>
        </w:rPr>
        <w:t xml:space="preserve">approximately two fifths of enterprises had their website </w:t>
      </w:r>
      <w:r w:rsidRPr="00B7386E">
        <w:rPr>
          <w:b/>
          <w:sz w:val="20"/>
          <w:lang w:val="en-GB"/>
        </w:rPr>
        <w:t>customized for mobile devices</w:t>
      </w:r>
      <w:r w:rsidRPr="00B7386E">
        <w:rPr>
          <w:sz w:val="20"/>
          <w:lang w:val="en-GB"/>
        </w:rPr>
        <w:t>. The number of enterprises with their website customized for mobile devices has increased in recent years, on a year-on-year basis by 10%. In some areas (for instance, accommodation, travel agencies and offices, in the sector of media or IT industry), the share of enterprises providing their website customized for mobiles was more than 65%.</w:t>
      </w:r>
    </w:p>
    <w:p w:rsidR="009B63B1" w:rsidRDefault="009B63B1" w:rsidP="009B63B1">
      <w:pPr>
        <w:pStyle w:val="Zkladntext"/>
        <w:spacing w:before="0" w:after="60" w:line="264" w:lineRule="auto"/>
      </w:pPr>
      <w:r w:rsidRPr="00B7386E">
        <w:rPr>
          <w:noProof/>
        </w:rPr>
        <w:lastRenderedPageBreak/>
        <w:drawing>
          <wp:inline distT="0" distB="0" distL="0" distR="0" wp14:anchorId="30A05B2D" wp14:editId="12D6A52B">
            <wp:extent cx="3060000" cy="2880000"/>
            <wp:effectExtent l="0" t="0" r="7620" b="0"/>
            <wp:docPr id="152" name="Graf 15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B7386E">
        <w:rPr>
          <w:noProof/>
        </w:rPr>
        <w:drawing>
          <wp:inline distT="0" distB="0" distL="0" distR="0" wp14:anchorId="4F8B119A" wp14:editId="252F1684">
            <wp:extent cx="3024000" cy="2880000"/>
            <wp:effectExtent l="0" t="0" r="5080" b="0"/>
            <wp:docPr id="153" name="Graf 153">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On a long-term basis, the number of enterprises operating in the Czech Republic with their own website has been one of the highest in </w:t>
      </w:r>
      <w:r w:rsidRPr="00B7386E">
        <w:rPr>
          <w:b/>
          <w:sz w:val="20"/>
          <w:lang w:val="en-GB"/>
        </w:rPr>
        <w:t>EU countries</w:t>
      </w:r>
      <w:r w:rsidRPr="00B7386E">
        <w:rPr>
          <w:sz w:val="20"/>
          <w:lang w:val="en-GB"/>
        </w:rPr>
        <w:t>. In 2017, their share was higher than the EU28 average (83%) by 6%, therefore</w:t>
      </w:r>
      <w:r w:rsidRPr="005818AA">
        <w:rPr>
          <w:sz w:val="20"/>
          <w:lang w:val="en-GB"/>
        </w:rPr>
        <w:t>, as the indicator shows</w:t>
      </w:r>
      <w:r w:rsidRPr="00B7386E">
        <w:rPr>
          <w:sz w:val="20"/>
          <w:lang w:val="en-GB"/>
        </w:rPr>
        <w:t xml:space="preserve">, the Czech Republic was ninth. As well as in a variety of other </w:t>
      </w:r>
      <w:r w:rsidRPr="005818AA">
        <w:rPr>
          <w:sz w:val="20"/>
          <w:lang w:val="en-GB"/>
        </w:rPr>
        <w:t>indicators</w:t>
      </w:r>
      <w:r w:rsidRPr="005818AA">
        <w:rPr>
          <w:sz w:val="20"/>
          <w:szCs w:val="20"/>
          <w:lang w:val="en-GB"/>
        </w:rPr>
        <w:t>,</w:t>
      </w:r>
      <w:r w:rsidRPr="00B7386E">
        <w:rPr>
          <w:sz w:val="20"/>
          <w:lang w:val="en-GB"/>
        </w:rPr>
        <w:t xml:space="preserve"> from the digitalisation area of the business sector, </w:t>
      </w:r>
      <w:r w:rsidRPr="005818AA">
        <w:rPr>
          <w:sz w:val="20"/>
          <w:lang w:val="en-GB"/>
        </w:rPr>
        <w:t xml:space="preserve">the dominating countries are Scandinavian states, where over nine out of ten enterprises have their own website. Opposed to this, for </w:t>
      </w:r>
      <w:r w:rsidRPr="00B7386E">
        <w:rPr>
          <w:sz w:val="20"/>
          <w:lang w:val="en-GB"/>
        </w:rPr>
        <w:t>instance, in Bulgaria or Romania, there is still approximately a half of enterprises with 10+ employees</w:t>
      </w:r>
      <w:r w:rsidRPr="001732C3">
        <w:rPr>
          <w:sz w:val="20"/>
          <w:szCs w:val="20"/>
          <w:lang w:val="en-GB"/>
        </w:rPr>
        <w:t>,</w:t>
      </w:r>
      <w:r w:rsidRPr="001732C3">
        <w:rPr>
          <w:sz w:val="20"/>
          <w:lang w:val="en-GB"/>
        </w:rPr>
        <w:t xml:space="preserve"> </w:t>
      </w:r>
      <w:r w:rsidRPr="00B7386E">
        <w:rPr>
          <w:sz w:val="20"/>
          <w:lang w:val="en-GB"/>
        </w:rPr>
        <w:t xml:space="preserve">which do not have </w:t>
      </w:r>
      <w:r w:rsidRPr="005818AA">
        <w:rPr>
          <w:sz w:val="20"/>
          <w:lang w:val="en-GB"/>
        </w:rPr>
        <w:t xml:space="preserve">their own </w:t>
      </w:r>
      <w:r w:rsidRPr="00B7386E">
        <w:rPr>
          <w:sz w:val="20"/>
          <w:lang w:val="en-GB"/>
        </w:rPr>
        <w:t>website.</w:t>
      </w:r>
    </w:p>
    <w:p w:rsidR="009B63B1" w:rsidRPr="00B7386E" w:rsidRDefault="009B63B1" w:rsidP="009B63B1">
      <w:pPr>
        <w:pStyle w:val="Zkladntext"/>
        <w:spacing w:before="0" w:after="100" w:line="264" w:lineRule="auto"/>
        <w:rPr>
          <w:sz w:val="20"/>
          <w:lang w:val="en-GB"/>
        </w:rPr>
      </w:pPr>
      <w:r w:rsidRPr="00B7386E">
        <w:rPr>
          <w:noProof/>
        </w:rPr>
        <w:drawing>
          <wp:inline distT="0" distB="0" distL="0" distR="0" wp14:anchorId="1A7F8A11" wp14:editId="29E065ED">
            <wp:extent cx="5972400" cy="3114000"/>
            <wp:effectExtent l="0" t="0" r="0" b="10795"/>
            <wp:docPr id="154" name="Graf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B7386E">
        <w:rPr>
          <w:sz w:val="20"/>
          <w:lang w:val="en-GB"/>
        </w:rPr>
        <w:t xml:space="preserve">   </w:t>
      </w:r>
    </w:p>
    <w:p w:rsidR="009B63B1" w:rsidRPr="00354A2B" w:rsidRDefault="009B63B1" w:rsidP="009B63B1">
      <w:pPr>
        <w:pStyle w:val="Nadpis3"/>
      </w:pPr>
      <w:bookmarkStart w:id="119" w:name="_Toc533697526"/>
      <w:bookmarkStart w:id="120" w:name="_Toc534712025"/>
      <w:r w:rsidRPr="00354A2B">
        <w:t xml:space="preserve">Language version and </w:t>
      </w:r>
      <w:r>
        <w:t xml:space="preserve">type of </w:t>
      </w:r>
      <w:r w:rsidRPr="00354A2B">
        <w:t xml:space="preserve">domain </w:t>
      </w:r>
      <w:r>
        <w:t>used by enterprises on their</w:t>
      </w:r>
      <w:r w:rsidRPr="00354A2B">
        <w:t xml:space="preserve"> website</w:t>
      </w:r>
      <w:bookmarkEnd w:id="119"/>
      <w:bookmarkEnd w:id="120"/>
    </w:p>
    <w:p w:rsidR="009B63B1" w:rsidRPr="00B7386E" w:rsidRDefault="009B63B1" w:rsidP="009B63B1">
      <w:pPr>
        <w:pStyle w:val="Odstavecseseznamem"/>
        <w:numPr>
          <w:ilvl w:val="0"/>
          <w:numId w:val="15"/>
        </w:numPr>
        <w:tabs>
          <w:tab w:val="clear" w:pos="360"/>
        </w:tabs>
        <w:spacing w:after="80" w:line="264" w:lineRule="auto"/>
        <w:ind w:left="284" w:hanging="284"/>
        <w:jc w:val="both"/>
        <w:rPr>
          <w:rFonts w:ascii="Arial" w:hAnsi="Arial" w:cs="Arial"/>
          <w:sz w:val="20"/>
          <w:lang w:val="en-GB"/>
        </w:rPr>
      </w:pPr>
      <w:r w:rsidRPr="00B7386E">
        <w:rPr>
          <w:rFonts w:ascii="Arial" w:hAnsi="Arial" w:cs="Arial"/>
          <w:sz w:val="20"/>
          <w:lang w:val="en-GB"/>
        </w:rPr>
        <w:t xml:space="preserve">In 2016, more than a third of enterprises (35%) in the Czech Republic had the information on their website also available in a foreign language. With respect to </w:t>
      </w:r>
      <w:r w:rsidRPr="00B7386E">
        <w:rPr>
          <w:rFonts w:ascii="Arial" w:hAnsi="Arial" w:cs="Arial"/>
          <w:b/>
          <w:sz w:val="20"/>
          <w:lang w:val="en-GB"/>
        </w:rPr>
        <w:t>websites</w:t>
      </w:r>
      <w:r w:rsidRPr="00B7386E">
        <w:rPr>
          <w:rFonts w:ascii="Arial" w:hAnsi="Arial" w:cs="Arial"/>
          <w:sz w:val="20"/>
          <w:lang w:val="en-GB"/>
        </w:rPr>
        <w:t xml:space="preserve"> of enterprises available </w:t>
      </w:r>
      <w:r w:rsidRPr="00B7386E">
        <w:rPr>
          <w:rFonts w:ascii="Arial" w:hAnsi="Arial" w:cs="Arial"/>
          <w:b/>
          <w:sz w:val="20"/>
          <w:lang w:val="en-GB"/>
        </w:rPr>
        <w:t>in a foreign language</w:t>
      </w:r>
      <w:r w:rsidRPr="00B7386E">
        <w:rPr>
          <w:rFonts w:ascii="Arial" w:hAnsi="Arial" w:cs="Arial"/>
          <w:sz w:val="20"/>
          <w:lang w:val="en-GB"/>
        </w:rPr>
        <w:t xml:space="preserve">, there are significant differences between the individual fields of business. The crucial point is whether their products or services are also offered abroad. For instance, in January </w:t>
      </w:r>
      <w:r w:rsidRPr="005951AE">
        <w:rPr>
          <w:rFonts w:ascii="Arial" w:hAnsi="Arial" w:cs="Arial"/>
          <w:sz w:val="20"/>
          <w:lang w:val="en-GB"/>
        </w:rPr>
        <w:t>2016</w:t>
      </w:r>
      <w:r w:rsidRPr="005951AE">
        <w:rPr>
          <w:sz w:val="20"/>
          <w:szCs w:val="20"/>
          <w:lang w:val="en-GB"/>
        </w:rPr>
        <w:t>,</w:t>
      </w:r>
      <w:r w:rsidRPr="005951AE">
        <w:rPr>
          <w:rFonts w:ascii="Arial" w:hAnsi="Arial" w:cs="Arial"/>
          <w:sz w:val="20"/>
          <w:lang w:val="en-GB"/>
        </w:rPr>
        <w:t xml:space="preserve"> there </w:t>
      </w:r>
      <w:r w:rsidRPr="00B7386E">
        <w:rPr>
          <w:rFonts w:ascii="Arial" w:hAnsi="Arial" w:cs="Arial"/>
          <w:sz w:val="20"/>
          <w:lang w:val="en-GB"/>
        </w:rPr>
        <w:t xml:space="preserve">were more than 80% of large enterprises in the accommodation or media </w:t>
      </w:r>
      <w:r w:rsidRPr="005951AE">
        <w:rPr>
          <w:rFonts w:ascii="Arial" w:hAnsi="Arial" w:cs="Arial"/>
          <w:sz w:val="20"/>
          <w:lang w:val="en-GB"/>
        </w:rPr>
        <w:t>sectors</w:t>
      </w:r>
      <w:r w:rsidRPr="005951AE">
        <w:rPr>
          <w:sz w:val="20"/>
          <w:szCs w:val="20"/>
          <w:lang w:val="en-GB"/>
        </w:rPr>
        <w:t>,</w:t>
      </w:r>
      <w:r w:rsidRPr="005951AE">
        <w:rPr>
          <w:rFonts w:ascii="Arial" w:hAnsi="Arial" w:cs="Arial"/>
          <w:sz w:val="20"/>
          <w:lang w:val="en-GB"/>
        </w:rPr>
        <w:t xml:space="preserve"> which </w:t>
      </w:r>
      <w:r w:rsidRPr="00B7386E">
        <w:rPr>
          <w:rFonts w:ascii="Arial" w:hAnsi="Arial" w:cs="Arial"/>
          <w:sz w:val="20"/>
          <w:lang w:val="en-GB"/>
        </w:rPr>
        <w:t>had their websites in a foreign language.</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lastRenderedPageBreak/>
        <w:t xml:space="preserve">In 2016, Czech </w:t>
      </w:r>
      <w:r w:rsidRPr="00B7386E">
        <w:rPr>
          <w:b/>
          <w:sz w:val="20"/>
          <w:lang w:val="en-GB"/>
        </w:rPr>
        <w:t>national domain</w:t>
      </w:r>
      <w:r w:rsidRPr="00B7386E">
        <w:rPr>
          <w:sz w:val="20"/>
          <w:lang w:val="en-GB"/>
        </w:rPr>
        <w:t xml:space="preserve"> </w:t>
      </w:r>
      <w:r w:rsidRPr="00B7386E">
        <w:rPr>
          <w:b/>
          <w:sz w:val="20"/>
          <w:lang w:val="en-GB"/>
        </w:rPr>
        <w:t xml:space="preserve">.cz </w:t>
      </w:r>
      <w:r w:rsidRPr="00B7386E">
        <w:rPr>
          <w:sz w:val="20"/>
          <w:lang w:val="en-GB"/>
        </w:rPr>
        <w:t xml:space="preserve">was registered for </w:t>
      </w:r>
      <w:r w:rsidRPr="005951AE">
        <w:rPr>
          <w:sz w:val="20"/>
          <w:lang w:val="en-GB"/>
        </w:rPr>
        <w:t>websites</w:t>
      </w:r>
      <w:r w:rsidRPr="00B7386E">
        <w:rPr>
          <w:sz w:val="20"/>
          <w:lang w:val="en-GB"/>
        </w:rPr>
        <w:t xml:space="preserve"> of more than three quarters of all enterprises with 10+ employees operating in the Czech Republic. Another nation’s domain (e.g. .</w:t>
      </w:r>
      <w:r w:rsidRPr="00B7386E">
        <w:rPr>
          <w:i/>
          <w:sz w:val="20"/>
          <w:lang w:val="en-GB"/>
        </w:rPr>
        <w:t>sk</w:t>
      </w:r>
      <w:r w:rsidRPr="00B7386E">
        <w:rPr>
          <w:sz w:val="20"/>
          <w:lang w:val="en-GB"/>
        </w:rPr>
        <w:t xml:space="preserve"> or .</w:t>
      </w:r>
      <w:r w:rsidRPr="00B7386E">
        <w:rPr>
          <w:i/>
          <w:sz w:val="20"/>
          <w:lang w:val="en-GB"/>
        </w:rPr>
        <w:t xml:space="preserve">de) or a </w:t>
      </w:r>
      <w:r w:rsidRPr="00B7386E">
        <w:rPr>
          <w:sz w:val="20"/>
          <w:lang w:val="en-GB"/>
        </w:rPr>
        <w:t>multinational domain (e.g. .eu) was used for the website of</w:t>
      </w:r>
      <w:r w:rsidRPr="00B7386E">
        <w:rPr>
          <w:i/>
          <w:sz w:val="20"/>
          <w:lang w:val="en-GB"/>
        </w:rPr>
        <w:t xml:space="preserve"> </w:t>
      </w:r>
      <w:r w:rsidRPr="00B7386E">
        <w:rPr>
          <w:sz w:val="20"/>
          <w:lang w:val="en-GB"/>
        </w:rPr>
        <w:t>20% of enterprises in the same year. A generic domain (e.g. .com</w:t>
      </w:r>
      <w:r w:rsidRPr="005951AE">
        <w:rPr>
          <w:sz w:val="20"/>
          <w:lang w:val="en-GB"/>
        </w:rPr>
        <w:t>)</w:t>
      </w:r>
      <w:r w:rsidRPr="005951AE">
        <w:rPr>
          <w:sz w:val="20"/>
          <w:szCs w:val="20"/>
          <w:lang w:val="en-GB"/>
        </w:rPr>
        <w:t>,</w:t>
      </w:r>
      <w:r w:rsidRPr="005951AE">
        <w:rPr>
          <w:sz w:val="20"/>
          <w:lang w:val="en-GB"/>
        </w:rPr>
        <w:t xml:space="preserve"> or </w:t>
      </w:r>
      <w:r w:rsidRPr="00B7386E">
        <w:rPr>
          <w:sz w:val="20"/>
          <w:lang w:val="en-GB"/>
        </w:rPr>
        <w:t xml:space="preserve">another </w:t>
      </w:r>
      <w:r w:rsidRPr="005951AE">
        <w:rPr>
          <w:sz w:val="20"/>
          <w:lang w:val="en-GB"/>
        </w:rPr>
        <w:t>domain</w:t>
      </w:r>
      <w:r w:rsidRPr="005951AE">
        <w:rPr>
          <w:sz w:val="20"/>
          <w:szCs w:val="20"/>
          <w:lang w:val="en-GB"/>
        </w:rPr>
        <w:t>,</w:t>
      </w:r>
      <w:r w:rsidRPr="005951AE">
        <w:rPr>
          <w:sz w:val="20"/>
          <w:lang w:val="en-GB"/>
        </w:rPr>
        <w:t xml:space="preserve"> was </w:t>
      </w:r>
      <w:r w:rsidRPr="00B7386E">
        <w:rPr>
          <w:sz w:val="20"/>
          <w:lang w:val="en-GB"/>
        </w:rPr>
        <w:t xml:space="preserve">used by 16% of entities. </w:t>
      </w:r>
      <w:r w:rsidRPr="005951AE">
        <w:rPr>
          <w:sz w:val="20"/>
          <w:lang w:val="en-GB"/>
        </w:rPr>
        <w:t>The use of other domains</w:t>
      </w:r>
      <w:r w:rsidRPr="005951AE">
        <w:rPr>
          <w:sz w:val="20"/>
          <w:szCs w:val="20"/>
          <w:lang w:val="en-GB"/>
        </w:rPr>
        <w:t>,</w:t>
      </w:r>
      <w:r w:rsidRPr="005951AE">
        <w:rPr>
          <w:sz w:val="20"/>
          <w:lang w:val="en-GB"/>
        </w:rPr>
        <w:t xml:space="preserve"> than the Czech national domains</w:t>
      </w:r>
      <w:r w:rsidRPr="005951AE">
        <w:rPr>
          <w:sz w:val="20"/>
          <w:szCs w:val="20"/>
          <w:lang w:val="en-GB"/>
        </w:rPr>
        <w:t>,</w:t>
      </w:r>
      <w:r w:rsidRPr="005951AE">
        <w:rPr>
          <w:sz w:val="20"/>
          <w:lang w:val="en-GB"/>
        </w:rPr>
        <w:t xml:space="preserve"> is m</w:t>
      </w:r>
      <w:r w:rsidRPr="00B7386E">
        <w:rPr>
          <w:sz w:val="20"/>
          <w:lang w:val="en-GB"/>
        </w:rPr>
        <w:t xml:space="preserve">ore typical of websites of large </w:t>
      </w:r>
      <w:r w:rsidRPr="005951AE">
        <w:rPr>
          <w:sz w:val="20"/>
          <w:lang w:val="en-GB"/>
        </w:rPr>
        <w:t>enterprises</w:t>
      </w:r>
      <w:r w:rsidRPr="005951AE">
        <w:rPr>
          <w:sz w:val="20"/>
          <w:szCs w:val="20"/>
          <w:lang w:val="en-GB"/>
        </w:rPr>
        <w:t>,</w:t>
      </w:r>
      <w:r w:rsidRPr="005951AE">
        <w:rPr>
          <w:sz w:val="20"/>
          <w:lang w:val="en-GB"/>
        </w:rPr>
        <w:t xml:space="preserve"> and </w:t>
      </w:r>
      <w:r w:rsidRPr="00B7386E">
        <w:rPr>
          <w:sz w:val="20"/>
          <w:lang w:val="en-GB"/>
        </w:rPr>
        <w:t xml:space="preserve">with respect to sectors, it is more typical of enterprises involved in IT or of travel agencies or offices. </w:t>
      </w:r>
    </w:p>
    <w:p w:rsidR="009B63B1" w:rsidRPr="00354A2B" w:rsidRDefault="009B63B1" w:rsidP="009B63B1">
      <w:pPr>
        <w:pStyle w:val="Nadpis3"/>
      </w:pPr>
      <w:bookmarkStart w:id="121" w:name="_Toc533697527"/>
      <w:bookmarkStart w:id="122" w:name="_Toc534712026"/>
      <w:r>
        <w:t>Applications</w:t>
      </w:r>
      <w:r w:rsidRPr="00354A2B">
        <w:t xml:space="preserve"> available on enterprises’ website</w:t>
      </w:r>
      <w:bookmarkEnd w:id="121"/>
      <w:bookmarkEnd w:id="122"/>
    </w:p>
    <w:p w:rsidR="009B63B1" w:rsidRPr="006821E7" w:rsidRDefault="009B63B1" w:rsidP="009B63B1">
      <w:pPr>
        <w:spacing w:after="80" w:line="264" w:lineRule="auto"/>
        <w:jc w:val="both"/>
        <w:rPr>
          <w:i/>
        </w:rPr>
      </w:pPr>
      <w:r w:rsidRPr="006821E7">
        <w:rPr>
          <w:i/>
        </w:rPr>
        <w:t xml:space="preserve">In 2017, more than two thirds (68%) of individuals in the Czech Republic claimed to be using the internet for seeking product information (goods and </w:t>
      </w:r>
      <w:r w:rsidRPr="009726C7">
        <w:rPr>
          <w:i/>
        </w:rPr>
        <w:t>services)</w:t>
      </w:r>
      <w:r w:rsidRPr="009726C7">
        <w:rPr>
          <w:i/>
          <w:szCs w:val="20"/>
        </w:rPr>
        <w:t>,</w:t>
      </w:r>
      <w:r w:rsidRPr="009726C7">
        <w:rPr>
          <w:i/>
        </w:rPr>
        <w:t xml:space="preserve"> and </w:t>
      </w:r>
      <w:r w:rsidRPr="006821E7">
        <w:rPr>
          <w:i/>
        </w:rPr>
        <w:t xml:space="preserve">a half of them claimed to have purchased some goods or services over the internet in the same year – for more details see Chapter C. Enterprises have logical reactions to such a </w:t>
      </w:r>
      <w:r w:rsidRPr="009726C7">
        <w:rPr>
          <w:i/>
        </w:rPr>
        <w:t>demand</w:t>
      </w:r>
      <w:r w:rsidRPr="009726C7">
        <w:rPr>
          <w:i/>
          <w:szCs w:val="20"/>
        </w:rPr>
        <w:t>,</w:t>
      </w:r>
      <w:r w:rsidRPr="009726C7">
        <w:rPr>
          <w:i/>
        </w:rPr>
        <w:t xml:space="preserve"> and </w:t>
      </w:r>
      <w:r w:rsidRPr="006821E7">
        <w:rPr>
          <w:i/>
        </w:rPr>
        <w:t xml:space="preserve">not only do they provide product information on their website, but it is more and more common that they provide a whole range of other customer </w:t>
      </w:r>
      <w:r w:rsidRPr="009726C7">
        <w:rPr>
          <w:i/>
        </w:rPr>
        <w:t xml:space="preserve">functions, as well.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In January 2017, more than a half (54%) of enterprises in the Czech Republic enabled the visitors to their websites to view their </w:t>
      </w:r>
      <w:r w:rsidRPr="00B7386E">
        <w:rPr>
          <w:b/>
          <w:sz w:val="20"/>
          <w:lang w:val="en-GB"/>
        </w:rPr>
        <w:t xml:space="preserve">catalogues or product price </w:t>
      </w:r>
      <w:r w:rsidRPr="009726C7">
        <w:rPr>
          <w:b/>
          <w:sz w:val="20"/>
          <w:lang w:val="en-GB"/>
        </w:rPr>
        <w:t>lists</w:t>
      </w:r>
      <w:r w:rsidRPr="009726C7">
        <w:rPr>
          <w:sz w:val="20"/>
          <w:szCs w:val="20"/>
          <w:lang w:val="en-GB"/>
        </w:rPr>
        <w:t>,</w:t>
      </w:r>
      <w:r w:rsidRPr="009726C7">
        <w:rPr>
          <w:sz w:val="20"/>
          <w:lang w:val="en-GB"/>
        </w:rPr>
        <w:t xml:space="preserve"> and </w:t>
      </w:r>
      <w:r w:rsidRPr="00B7386E">
        <w:rPr>
          <w:sz w:val="20"/>
          <w:lang w:val="en-GB"/>
        </w:rPr>
        <w:t xml:space="preserve">just under a third (32%) of them offered the option to </w:t>
      </w:r>
      <w:r w:rsidRPr="00B7386E">
        <w:rPr>
          <w:b/>
          <w:sz w:val="20"/>
          <w:lang w:val="en-GB"/>
        </w:rPr>
        <w:t xml:space="preserve">order or make reservation </w:t>
      </w:r>
      <w:r w:rsidRPr="00B7386E">
        <w:rPr>
          <w:sz w:val="20"/>
          <w:lang w:val="en-GB"/>
        </w:rPr>
        <w:t xml:space="preserve">of offered goods or services. A pleasing factor is that, on the international scale, both of the aforementioned functions of Czech companies' </w:t>
      </w:r>
      <w:r w:rsidRPr="009726C7">
        <w:rPr>
          <w:sz w:val="20"/>
          <w:lang w:val="en-GB"/>
        </w:rPr>
        <w:t>websites</w:t>
      </w:r>
      <w:r w:rsidRPr="009726C7">
        <w:rPr>
          <w:sz w:val="20"/>
          <w:szCs w:val="20"/>
          <w:lang w:val="en-GB"/>
        </w:rPr>
        <w:t>,</w:t>
      </w:r>
      <w:r w:rsidRPr="009726C7">
        <w:rPr>
          <w:sz w:val="20"/>
          <w:lang w:val="en-GB"/>
        </w:rPr>
        <w:t xml:space="preserve"> </w:t>
      </w:r>
      <w:r w:rsidRPr="00B7386E">
        <w:rPr>
          <w:sz w:val="20"/>
          <w:lang w:val="en-GB"/>
        </w:rPr>
        <w:t xml:space="preserve">stand above the European average. For instance, the aforementioned share of Czech </w:t>
      </w:r>
      <w:r w:rsidRPr="009726C7">
        <w:rPr>
          <w:sz w:val="20"/>
          <w:lang w:val="en-GB"/>
        </w:rPr>
        <w:t>enterprises</w:t>
      </w:r>
      <w:r w:rsidRPr="009726C7">
        <w:rPr>
          <w:sz w:val="20"/>
          <w:szCs w:val="20"/>
          <w:lang w:val="en-GB"/>
        </w:rPr>
        <w:t>,</w:t>
      </w:r>
      <w:r w:rsidRPr="009726C7">
        <w:rPr>
          <w:sz w:val="20"/>
          <w:lang w:val="en-GB"/>
        </w:rPr>
        <w:t xml:space="preserve"> enabling </w:t>
      </w:r>
      <w:r w:rsidRPr="00B7386E">
        <w:rPr>
          <w:sz w:val="20"/>
          <w:lang w:val="en-GB"/>
        </w:rPr>
        <w:t>their visitors to make an online order or reservation, in comparison with European countries</w:t>
      </w:r>
      <w:r w:rsidRPr="009726C7">
        <w:rPr>
          <w:sz w:val="20"/>
          <w:lang w:val="en-GB"/>
        </w:rPr>
        <w:t xml:space="preserve">, lead to </w:t>
      </w:r>
      <w:r w:rsidRPr="00B7386E">
        <w:rPr>
          <w:sz w:val="20"/>
          <w:lang w:val="en-GB"/>
        </w:rPr>
        <w:t xml:space="preserve">the Czech Republic </w:t>
      </w:r>
      <w:r w:rsidRPr="009726C7">
        <w:rPr>
          <w:sz w:val="20"/>
          <w:lang w:val="en-GB"/>
        </w:rPr>
        <w:t>being in third place</w:t>
      </w:r>
      <w:r w:rsidRPr="009726C7">
        <w:rPr>
          <w:sz w:val="20"/>
          <w:szCs w:val="20"/>
          <w:lang w:val="en-GB"/>
        </w:rPr>
        <w:t>,</w:t>
      </w:r>
      <w:r w:rsidRPr="009726C7">
        <w:rPr>
          <w:sz w:val="20"/>
          <w:lang w:val="en-GB"/>
        </w:rPr>
        <w:t xml:space="preserve"> along </w:t>
      </w:r>
      <w:r w:rsidRPr="00B7386E">
        <w:rPr>
          <w:sz w:val="20"/>
          <w:lang w:val="en-GB"/>
        </w:rPr>
        <w:t xml:space="preserve">with </w:t>
      </w:r>
      <w:r w:rsidRPr="009726C7">
        <w:rPr>
          <w:sz w:val="20"/>
          <w:lang w:val="en-GB"/>
        </w:rPr>
        <w:t>Denmark</w:t>
      </w:r>
      <w:r w:rsidRPr="009726C7">
        <w:rPr>
          <w:sz w:val="20"/>
          <w:szCs w:val="20"/>
          <w:lang w:val="en-GB"/>
        </w:rPr>
        <w:t>,</w:t>
      </w:r>
      <w:r w:rsidRPr="009726C7">
        <w:rPr>
          <w:sz w:val="20"/>
          <w:lang w:val="en-GB"/>
        </w:rPr>
        <w:t xml:space="preserve"> and </w:t>
      </w:r>
      <w:r w:rsidRPr="00B7386E">
        <w:rPr>
          <w:sz w:val="20"/>
          <w:lang w:val="en-GB"/>
        </w:rPr>
        <w:t>behind enterprises from Sweden and the Netherlands.</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In January 2017, one of the less commonly used </w:t>
      </w:r>
      <w:r w:rsidRPr="00B7386E">
        <w:rPr>
          <w:b/>
          <w:sz w:val="20"/>
          <w:lang w:val="en-GB"/>
        </w:rPr>
        <w:t>functionalities</w:t>
      </w:r>
      <w:r w:rsidRPr="00B7386E">
        <w:rPr>
          <w:sz w:val="20"/>
          <w:lang w:val="en-GB"/>
        </w:rPr>
        <w:t xml:space="preserve"> of enterprises’ websites</w:t>
      </w:r>
      <w:r w:rsidRPr="00B7386E">
        <w:rPr>
          <w:b/>
          <w:sz w:val="20"/>
          <w:lang w:val="en-GB"/>
        </w:rPr>
        <w:t xml:space="preserve"> </w:t>
      </w:r>
      <w:r w:rsidRPr="00B7386E">
        <w:rPr>
          <w:sz w:val="20"/>
          <w:lang w:val="en-GB"/>
        </w:rPr>
        <w:t xml:space="preserve">was the option to </w:t>
      </w:r>
      <w:r w:rsidRPr="00B7386E">
        <w:rPr>
          <w:b/>
          <w:sz w:val="20"/>
          <w:lang w:val="en-GB"/>
        </w:rPr>
        <w:t xml:space="preserve">configure the offered </w:t>
      </w:r>
      <w:r w:rsidRPr="009726C7">
        <w:rPr>
          <w:b/>
          <w:sz w:val="20"/>
          <w:lang w:val="en-GB"/>
        </w:rPr>
        <w:t>product</w:t>
      </w:r>
      <w:r w:rsidRPr="009726C7">
        <w:rPr>
          <w:sz w:val="20"/>
          <w:szCs w:val="20"/>
          <w:lang w:val="en-GB"/>
        </w:rPr>
        <w:t>,</w:t>
      </w:r>
      <w:r w:rsidRPr="009726C7">
        <w:rPr>
          <w:b/>
          <w:sz w:val="20"/>
          <w:lang w:val="en-GB"/>
        </w:rPr>
        <w:t xml:space="preserve"> </w:t>
      </w:r>
      <w:r w:rsidRPr="00B7386E">
        <w:rPr>
          <w:sz w:val="20"/>
          <w:lang w:val="en-GB"/>
        </w:rPr>
        <w:t xml:space="preserve">in order to accommodate specific demands. 11% of Czech enterprises enabled their customers to do so. 8% of enterprises provided </w:t>
      </w:r>
      <w:r w:rsidRPr="00B7386E">
        <w:rPr>
          <w:b/>
          <w:sz w:val="20"/>
          <w:lang w:val="en-GB"/>
        </w:rPr>
        <w:t>online tracking</w:t>
      </w:r>
      <w:r w:rsidRPr="00B7386E">
        <w:rPr>
          <w:sz w:val="20"/>
          <w:lang w:val="en-GB"/>
        </w:rPr>
        <w:t xml:space="preserve"> of dealt-with orders on their </w:t>
      </w:r>
      <w:r w:rsidRPr="009726C7">
        <w:rPr>
          <w:sz w:val="20"/>
          <w:lang w:val="en-GB"/>
        </w:rPr>
        <w:t>website</w:t>
      </w:r>
      <w:r w:rsidRPr="009726C7">
        <w:rPr>
          <w:sz w:val="20"/>
          <w:szCs w:val="20"/>
          <w:lang w:val="en-GB"/>
        </w:rPr>
        <w:t>,</w:t>
      </w:r>
      <w:r w:rsidRPr="009726C7">
        <w:rPr>
          <w:sz w:val="20"/>
          <w:lang w:val="en-GB"/>
        </w:rPr>
        <w:t xml:space="preserve"> </w:t>
      </w:r>
      <w:r w:rsidRPr="00B7386E">
        <w:rPr>
          <w:sz w:val="20"/>
          <w:lang w:val="en-GB"/>
        </w:rPr>
        <w:t xml:space="preserve">and 7.5% of enterprises provided the possibility of </w:t>
      </w:r>
      <w:r w:rsidRPr="00B7386E">
        <w:rPr>
          <w:b/>
          <w:sz w:val="20"/>
          <w:lang w:val="en-GB"/>
        </w:rPr>
        <w:t>online payment</w:t>
      </w:r>
      <w:r w:rsidRPr="00B7386E">
        <w:rPr>
          <w:sz w:val="20"/>
          <w:lang w:val="en-GB"/>
        </w:rPr>
        <w:t xml:space="preserve"> for purchased products </w:t>
      </w:r>
      <w:r w:rsidRPr="009726C7">
        <w:rPr>
          <w:sz w:val="20"/>
          <w:lang w:val="en-GB"/>
        </w:rPr>
        <w:t>off</w:t>
      </w:r>
      <w:r w:rsidRPr="00FE186B">
        <w:rPr>
          <w:color w:val="FF0000"/>
          <w:sz w:val="20"/>
          <w:lang w:val="en-GB"/>
        </w:rPr>
        <w:t xml:space="preserve"> </w:t>
      </w:r>
      <w:r w:rsidRPr="00B7386E">
        <w:rPr>
          <w:sz w:val="20"/>
          <w:lang w:val="en-GB"/>
        </w:rPr>
        <w:t>the internet.</w:t>
      </w:r>
    </w:p>
    <w:p w:rsidR="009B63B1" w:rsidRPr="009726C7" w:rsidRDefault="009B63B1" w:rsidP="009B63B1">
      <w:pPr>
        <w:pStyle w:val="Odstavecseseznamem"/>
        <w:numPr>
          <w:ilvl w:val="0"/>
          <w:numId w:val="15"/>
        </w:numPr>
        <w:tabs>
          <w:tab w:val="clear" w:pos="360"/>
        </w:tabs>
        <w:spacing w:after="80" w:line="264" w:lineRule="auto"/>
        <w:ind w:left="284" w:hanging="284"/>
        <w:jc w:val="both"/>
        <w:rPr>
          <w:rFonts w:ascii="Arial" w:hAnsi="Arial" w:cs="Arial"/>
          <w:sz w:val="20"/>
          <w:lang w:val="en-GB"/>
        </w:rPr>
      </w:pPr>
      <w:r w:rsidRPr="009726C7">
        <w:rPr>
          <w:rFonts w:ascii="Arial" w:hAnsi="Arial" w:cs="Arial"/>
          <w:sz w:val="20"/>
          <w:lang w:val="en-GB"/>
        </w:rPr>
        <w:t xml:space="preserve">The number of enterprises which publish their products and price lists on their website is, as expected, the highest in the area of accommodation and food and beverage services. The TOP 5 industries with the highest share of enterprises with websites enabling to realise online orders or reservations in January 2017 included the aforementioned accommodation industry and travel agencies and offices, and enterprises operating in the audio-visual sector, telecommunications, or in business. </w:t>
      </w:r>
    </w:p>
    <w:p w:rsidR="009B63B1" w:rsidRPr="00C54289" w:rsidRDefault="009B63B1" w:rsidP="009B63B1">
      <w:pPr>
        <w:jc w:val="both"/>
      </w:pPr>
      <w:r w:rsidRPr="00C54289">
        <w:rPr>
          <w:noProof/>
          <w:lang w:val="cs-CZ"/>
        </w:rPr>
        <w:drawing>
          <wp:inline distT="0" distB="0" distL="0" distR="0" wp14:anchorId="20B2EDF8" wp14:editId="0B6017C4">
            <wp:extent cx="2988000" cy="2880000"/>
            <wp:effectExtent l="0" t="0" r="3175" b="15875"/>
            <wp:docPr id="155" name="Graf 15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C54289">
        <w:rPr>
          <w:noProof/>
          <w:lang w:val="cs-CZ"/>
        </w:rPr>
        <w:drawing>
          <wp:inline distT="0" distB="0" distL="0" distR="0" wp14:anchorId="007C776C" wp14:editId="41FE2D12">
            <wp:extent cx="3060000" cy="2880000"/>
            <wp:effectExtent l="0" t="0" r="7620" b="15875"/>
            <wp:docPr id="156" name="Graf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 resp. industry</w:t>
      </w:r>
    </w:p>
    <w:p w:rsidR="009B63B1" w:rsidRPr="00354A2B" w:rsidRDefault="009B63B1" w:rsidP="002875D6">
      <w:pPr>
        <w:pStyle w:val="Nadpis3"/>
        <w:spacing w:before="0"/>
      </w:pPr>
      <w:bookmarkStart w:id="123" w:name="_Toc533697528"/>
      <w:bookmarkStart w:id="124" w:name="_Toc534712027"/>
      <w:r>
        <w:lastRenderedPageBreak/>
        <w:t>Enterprises selling via their websites</w:t>
      </w:r>
      <w:bookmarkEnd w:id="123"/>
      <w:bookmarkEnd w:id="124"/>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Not only is the presentation and communication of enterprises realised online, there is also a year-by-year increase in those which </w:t>
      </w:r>
      <w:r w:rsidRPr="00B7386E">
        <w:rPr>
          <w:b/>
          <w:sz w:val="20"/>
          <w:lang w:val="en-GB"/>
        </w:rPr>
        <w:t>sell their goods or services online</w:t>
      </w:r>
      <w:r w:rsidRPr="009726C7">
        <w:rPr>
          <w:sz w:val="20"/>
          <w:lang w:val="en-GB"/>
        </w:rPr>
        <w:t>.</w:t>
      </w:r>
      <w:r w:rsidRPr="00B7386E">
        <w:rPr>
          <w:sz w:val="20"/>
          <w:lang w:val="en-GB"/>
        </w:rPr>
        <w:t xml:space="preserve"> In 2016, a fifth of Czech enterprises with 10+ employees were selling online. Despite the fact that this number had nearly doubled in comparison with the year 2007, the highest increase of enterprises selling online was recorded between the years 2007–2012. Since then, the number of enterprises selling their products or services online has not changed significantly.</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25A8E">
        <w:rPr>
          <w:sz w:val="20"/>
          <w:lang w:val="en-GB"/>
        </w:rPr>
        <w:t xml:space="preserve">With regards to enterprises </w:t>
      </w:r>
      <w:r w:rsidRPr="00B7386E">
        <w:rPr>
          <w:sz w:val="20"/>
          <w:lang w:val="en-GB"/>
        </w:rPr>
        <w:t xml:space="preserve">with 10+ employees, the turnover from sales conducted via website amounted to 9% of total enterprise turnover in 2016. For more than 12% of Czech </w:t>
      </w:r>
      <w:r w:rsidRPr="00B25A8E">
        <w:rPr>
          <w:sz w:val="20"/>
          <w:lang w:val="en-GB"/>
        </w:rPr>
        <w:t>enterprises</w:t>
      </w:r>
      <w:r w:rsidRPr="00B25A8E">
        <w:rPr>
          <w:sz w:val="20"/>
          <w:szCs w:val="20"/>
          <w:lang w:val="en-GB"/>
        </w:rPr>
        <w:t>,</w:t>
      </w:r>
      <w:r w:rsidRPr="00B25A8E">
        <w:rPr>
          <w:sz w:val="20"/>
          <w:lang w:val="en-GB"/>
        </w:rPr>
        <w:t xml:space="preserve"> </w:t>
      </w:r>
      <w:r w:rsidRPr="00B7386E">
        <w:rPr>
          <w:sz w:val="20"/>
          <w:lang w:val="en-GB"/>
        </w:rPr>
        <w:t xml:space="preserve">the </w:t>
      </w:r>
      <w:r w:rsidRPr="00B7386E">
        <w:rPr>
          <w:b/>
          <w:sz w:val="20"/>
          <w:lang w:val="en-GB"/>
        </w:rPr>
        <w:t>sales via website comprised over a tenth of their total turnover</w:t>
      </w:r>
      <w:r w:rsidRPr="00B7386E">
        <w:rPr>
          <w:sz w:val="20"/>
          <w:lang w:val="en-GB"/>
        </w:rPr>
        <w:t xml:space="preserve">. It is the </w:t>
      </w:r>
      <w:r w:rsidRPr="00B7386E">
        <w:rPr>
          <w:b/>
          <w:sz w:val="20"/>
          <w:lang w:val="en-GB"/>
        </w:rPr>
        <w:t>fourth highest share in the EU</w:t>
      </w:r>
      <w:r w:rsidRPr="00B25A8E">
        <w:rPr>
          <w:sz w:val="20"/>
          <w:lang w:val="en-GB"/>
        </w:rPr>
        <w:t xml:space="preserve">. </w:t>
      </w:r>
      <w:r w:rsidRPr="00B7386E">
        <w:rPr>
          <w:sz w:val="20"/>
          <w:lang w:val="en-GB"/>
        </w:rPr>
        <w:t xml:space="preserve">For more details on the e-sales of </w:t>
      </w:r>
      <w:r w:rsidRPr="00B25A8E">
        <w:rPr>
          <w:sz w:val="20"/>
          <w:lang w:val="en-GB"/>
        </w:rPr>
        <w:t>enterprises</w:t>
      </w:r>
      <w:r w:rsidRPr="00B25A8E">
        <w:rPr>
          <w:sz w:val="20"/>
          <w:szCs w:val="20"/>
          <w:lang w:val="en-GB"/>
        </w:rPr>
        <w:t>,</w:t>
      </w:r>
      <w:r w:rsidRPr="00B25A8E">
        <w:rPr>
          <w:sz w:val="20"/>
          <w:lang w:val="en-GB"/>
        </w:rPr>
        <w:t xml:space="preserve"> </w:t>
      </w:r>
      <w:r w:rsidRPr="00B7386E">
        <w:rPr>
          <w:sz w:val="20"/>
          <w:lang w:val="en-GB"/>
        </w:rPr>
        <w:t xml:space="preserve">either via website or via EDI messages, including the significance of e-sales compared to the total turnover, see Part D9 called Electronic sales of enterprises.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Enterprises selling their products (goods and services) via </w:t>
      </w:r>
      <w:r w:rsidRPr="00B25A8E">
        <w:rPr>
          <w:sz w:val="20"/>
          <w:lang w:val="en-GB"/>
        </w:rPr>
        <w:t>website</w:t>
      </w:r>
      <w:r w:rsidRPr="00B25A8E">
        <w:rPr>
          <w:sz w:val="20"/>
          <w:szCs w:val="20"/>
          <w:lang w:val="en-GB"/>
        </w:rPr>
        <w:t>,</w:t>
      </w:r>
      <w:r w:rsidRPr="00B25A8E">
        <w:rPr>
          <w:sz w:val="20"/>
          <w:lang w:val="en-GB"/>
        </w:rPr>
        <w:t xml:space="preserve"> </w:t>
      </w:r>
      <w:r w:rsidRPr="00B7386E">
        <w:rPr>
          <w:sz w:val="20"/>
          <w:lang w:val="en-GB"/>
        </w:rPr>
        <w:t xml:space="preserve">most frequently operate in the industry of </w:t>
      </w:r>
      <w:r w:rsidRPr="00B7386E">
        <w:rPr>
          <w:b/>
          <w:sz w:val="20"/>
          <w:lang w:val="en-GB"/>
        </w:rPr>
        <w:t>travel agency and related activities as well as accommodation</w:t>
      </w:r>
      <w:r w:rsidRPr="00B7386E">
        <w:rPr>
          <w:sz w:val="20"/>
          <w:lang w:val="en-GB"/>
        </w:rPr>
        <w:t xml:space="preserve"> – in 2016, the share of enterprises of these two industries selling via website</w:t>
      </w:r>
      <w:r w:rsidRPr="00B25A8E">
        <w:rPr>
          <w:sz w:val="20"/>
          <w:lang w:val="en-GB"/>
        </w:rPr>
        <w:t>s</w:t>
      </w:r>
      <w:r w:rsidRPr="00B7386E">
        <w:rPr>
          <w:sz w:val="20"/>
          <w:lang w:val="en-GB"/>
        </w:rPr>
        <w:t xml:space="preserve"> was 63% and 60%, respectively. With respect to travel agencies and offices, these e-sales via website</w:t>
      </w:r>
      <w:r w:rsidRPr="00B25A8E">
        <w:rPr>
          <w:sz w:val="20"/>
          <w:lang w:val="en-GB"/>
        </w:rPr>
        <w:t>s</w:t>
      </w:r>
      <w:r w:rsidRPr="00B7386E">
        <w:rPr>
          <w:sz w:val="20"/>
          <w:lang w:val="en-GB"/>
        </w:rPr>
        <w:t xml:space="preserve"> formed over two fifths (42%) of their total turnover; </w:t>
      </w:r>
      <w:r w:rsidRPr="00B25A8E">
        <w:rPr>
          <w:sz w:val="20"/>
          <w:lang w:val="en-GB"/>
        </w:rPr>
        <w:t xml:space="preserve">for </w:t>
      </w:r>
      <w:r w:rsidRPr="00B7386E">
        <w:rPr>
          <w:sz w:val="20"/>
          <w:lang w:val="en-GB"/>
        </w:rPr>
        <w:t xml:space="preserve">enterprises operating in the field of accommodation this share was lower (23%), however, still above the average.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Enterprises selling </w:t>
      </w:r>
      <w:r w:rsidRPr="00B25A8E">
        <w:rPr>
          <w:sz w:val="20"/>
          <w:lang w:val="en-GB"/>
        </w:rPr>
        <w:t xml:space="preserve">online </w:t>
      </w:r>
      <w:r w:rsidRPr="00B25A8E">
        <w:rPr>
          <w:b/>
          <w:sz w:val="20"/>
          <w:lang w:val="en-GB"/>
        </w:rPr>
        <w:t xml:space="preserve">almost exclusively sell </w:t>
      </w:r>
      <w:r w:rsidRPr="00B7386E">
        <w:rPr>
          <w:b/>
          <w:sz w:val="20"/>
          <w:lang w:val="en-GB"/>
        </w:rPr>
        <w:t>via their own websites</w:t>
      </w:r>
      <w:r w:rsidRPr="00B7386E">
        <w:rPr>
          <w:sz w:val="20"/>
          <w:lang w:val="en-GB"/>
        </w:rPr>
        <w:t xml:space="preserve">. Sales via a so called </w:t>
      </w:r>
      <w:r w:rsidRPr="00B7386E">
        <w:rPr>
          <w:sz w:val="20"/>
          <w:lang w:val="en-GB"/>
        </w:rPr>
        <w:br/>
      </w:r>
      <w:r w:rsidRPr="00B7386E">
        <w:rPr>
          <w:b/>
          <w:sz w:val="20"/>
          <w:lang w:val="en-GB"/>
        </w:rPr>
        <w:t>e-</w:t>
      </w:r>
      <w:r>
        <w:rPr>
          <w:b/>
          <w:sz w:val="20"/>
          <w:lang w:val="en-GB"/>
        </w:rPr>
        <w:t>c</w:t>
      </w:r>
      <w:r w:rsidRPr="00B7386E">
        <w:rPr>
          <w:b/>
          <w:sz w:val="20"/>
          <w:lang w:val="en-GB"/>
        </w:rPr>
        <w:t>ommerce market place</w:t>
      </w:r>
      <w:r w:rsidRPr="00B25A8E">
        <w:rPr>
          <w:rStyle w:val="Znakapoznpodarou"/>
          <w:sz w:val="20"/>
          <w:lang w:val="en-GB"/>
        </w:rPr>
        <w:footnoteReference w:id="40"/>
      </w:r>
      <w:r w:rsidRPr="00B7386E">
        <w:rPr>
          <w:sz w:val="20"/>
          <w:lang w:val="en-GB"/>
        </w:rPr>
        <w:t xml:space="preserve"> have not been commonly used in the Czech business environment – except for enterprises operating in th</w:t>
      </w:r>
      <w:r>
        <w:rPr>
          <w:sz w:val="20"/>
          <w:lang w:val="en-GB"/>
        </w:rPr>
        <w:t xml:space="preserve">e industry of </w:t>
      </w:r>
      <w:r w:rsidRPr="00B25A8E">
        <w:rPr>
          <w:sz w:val="20"/>
          <w:lang w:val="en-GB"/>
        </w:rPr>
        <w:t xml:space="preserve">accommodation, travel agency, </w:t>
      </w:r>
      <w:r w:rsidRPr="00B7386E">
        <w:rPr>
          <w:sz w:val="20"/>
          <w:lang w:val="en-GB"/>
        </w:rPr>
        <w:t>and related activities. In 2016, this way of sales was used by less than 3% of enterprises with 10+ employees. Companies performing sales via their own website sell approximately the same number of goods and services to their end customers (so called B2C sales)</w:t>
      </w:r>
      <w:r w:rsidRPr="00B25A8E">
        <w:rPr>
          <w:sz w:val="20"/>
          <w:szCs w:val="20"/>
          <w:lang w:val="en-GB"/>
        </w:rPr>
        <w:t>,</w:t>
      </w:r>
      <w:r w:rsidRPr="00B25A8E">
        <w:rPr>
          <w:sz w:val="20"/>
          <w:lang w:val="en-GB"/>
        </w:rPr>
        <w:t xml:space="preserve"> </w:t>
      </w:r>
      <w:r w:rsidRPr="00B7386E">
        <w:rPr>
          <w:sz w:val="20"/>
          <w:lang w:val="en-GB"/>
        </w:rPr>
        <w:t>as well as to organisations of public administration (so called B2B or B2G sales).</w:t>
      </w:r>
    </w:p>
    <w:p w:rsidR="009B63B1" w:rsidRPr="00B7386E" w:rsidRDefault="003F505A" w:rsidP="009B63B1">
      <w:pPr>
        <w:pStyle w:val="Zkladntext"/>
        <w:numPr>
          <w:ilvl w:val="0"/>
          <w:numId w:val="15"/>
        </w:numPr>
        <w:tabs>
          <w:tab w:val="clear" w:pos="360"/>
        </w:tabs>
        <w:spacing w:before="0" w:after="80" w:line="264" w:lineRule="auto"/>
        <w:ind w:left="284" w:hanging="284"/>
        <w:rPr>
          <w:sz w:val="20"/>
          <w:lang w:val="en-GB"/>
        </w:rPr>
      </w:pPr>
      <w:r w:rsidRPr="00B7386E">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450850</wp:posOffset>
            </wp:positionV>
            <wp:extent cx="3000375" cy="2362200"/>
            <wp:effectExtent l="0" t="0" r="9525" b="0"/>
            <wp:wrapTight wrapText="bothSides">
              <wp:wrapPolygon edited="0">
                <wp:start x="0" y="0"/>
                <wp:lineTo x="0" y="21426"/>
                <wp:lineTo x="21531" y="21426"/>
                <wp:lineTo x="21531" y="0"/>
                <wp:lineTo x="0" y="0"/>
              </wp:wrapPolygon>
            </wp:wrapTight>
            <wp:docPr id="157" name="Graf 157">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r w:rsidR="009B63B1" w:rsidRPr="00B7386E">
        <w:rPr>
          <w:iCs/>
          <w:sz w:val="20"/>
          <w:szCs w:val="20"/>
          <w:lang w:val="en-GB"/>
        </w:rPr>
        <w:t xml:space="preserve">In 2016, half of enterprises in the Czech Republic, using their websites for sales, sold their products or services to customers of </w:t>
      </w:r>
      <w:r w:rsidR="009B63B1" w:rsidRPr="00B7386E">
        <w:rPr>
          <w:b/>
          <w:iCs/>
          <w:sz w:val="20"/>
          <w:szCs w:val="20"/>
          <w:lang w:val="en-GB"/>
        </w:rPr>
        <w:t xml:space="preserve">other EU </w:t>
      </w:r>
      <w:r w:rsidR="009B63B1" w:rsidRPr="00B25A8E">
        <w:rPr>
          <w:b/>
          <w:iCs/>
          <w:sz w:val="20"/>
          <w:szCs w:val="20"/>
          <w:lang w:val="en-GB"/>
        </w:rPr>
        <w:t>countries</w:t>
      </w:r>
      <w:r w:rsidR="009B63B1" w:rsidRPr="00B25A8E">
        <w:rPr>
          <w:sz w:val="20"/>
          <w:szCs w:val="20"/>
          <w:lang w:val="en-GB"/>
        </w:rPr>
        <w:t>,</w:t>
      </w:r>
      <w:r w:rsidR="009B63B1" w:rsidRPr="00B25A8E">
        <w:rPr>
          <w:iCs/>
          <w:sz w:val="20"/>
          <w:szCs w:val="20"/>
          <w:lang w:val="en-GB"/>
        </w:rPr>
        <w:t xml:space="preserve"> and </w:t>
      </w:r>
      <w:r w:rsidR="009B63B1" w:rsidRPr="00B7386E">
        <w:rPr>
          <w:iCs/>
          <w:sz w:val="20"/>
          <w:szCs w:val="20"/>
          <w:lang w:val="en-GB"/>
        </w:rPr>
        <w:t>16% of them to</w:t>
      </w:r>
      <w:r w:rsidR="009B63B1" w:rsidRPr="00B7386E">
        <w:rPr>
          <w:b/>
          <w:iCs/>
          <w:sz w:val="20"/>
          <w:szCs w:val="20"/>
          <w:lang w:val="en-GB"/>
        </w:rPr>
        <w:t xml:space="preserve"> non-EU countries</w:t>
      </w:r>
      <w:r w:rsidR="009B63B1" w:rsidRPr="00B7386E">
        <w:rPr>
          <w:iCs/>
          <w:sz w:val="20"/>
          <w:szCs w:val="20"/>
          <w:lang w:val="en-GB"/>
        </w:rPr>
        <w:t>.</w:t>
      </w:r>
      <w:r w:rsidRPr="003F505A">
        <w:rPr>
          <w:noProof/>
        </w:rPr>
        <w:t xml:space="preserve"> </w:t>
      </w:r>
      <w:r w:rsidRPr="00B7386E">
        <w:rPr>
          <w:noProof/>
        </w:rPr>
        <w:drawing>
          <wp:inline distT="0" distB="0" distL="0" distR="0" wp14:anchorId="037EA92F" wp14:editId="2D2D2C9E">
            <wp:extent cx="2931160" cy="2600325"/>
            <wp:effectExtent l="0" t="0" r="2540" b="0"/>
            <wp:docPr id="158" name="Graf 158">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B63B1"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w:t>
      </w:r>
    </w:p>
    <w:p w:rsidR="009B63B1" w:rsidRPr="009B63B1" w:rsidRDefault="009B63B1" w:rsidP="009B63B1">
      <w:pPr>
        <w:pStyle w:val="Zkladntext"/>
        <w:numPr>
          <w:ilvl w:val="0"/>
          <w:numId w:val="15"/>
        </w:numPr>
        <w:tabs>
          <w:tab w:val="clear" w:pos="360"/>
        </w:tabs>
        <w:spacing w:before="0" w:after="80" w:line="264" w:lineRule="auto"/>
        <w:ind w:left="284" w:hanging="284"/>
        <w:rPr>
          <w:b/>
          <w:i/>
          <w:sz w:val="20"/>
          <w:lang w:val="en-GB"/>
        </w:rPr>
      </w:pPr>
      <w:r w:rsidRPr="00B7386E">
        <w:rPr>
          <w:sz w:val="20"/>
          <w:lang w:val="en-GB"/>
        </w:rPr>
        <w:lastRenderedPageBreak/>
        <w:t xml:space="preserve">In international comparison of enterprises performing sales via </w:t>
      </w:r>
      <w:r w:rsidRPr="00B25A8E">
        <w:rPr>
          <w:sz w:val="20"/>
          <w:lang w:val="en-GB"/>
        </w:rPr>
        <w:t>websites,</w:t>
      </w:r>
      <w:r w:rsidRPr="00B7386E">
        <w:rPr>
          <w:sz w:val="20"/>
          <w:lang w:val="en-GB"/>
        </w:rPr>
        <w:t xml:space="preserve"> Czech enterprises </w:t>
      </w:r>
      <w:r w:rsidRPr="00B25A8E">
        <w:rPr>
          <w:sz w:val="20"/>
          <w:lang w:val="en-GB"/>
        </w:rPr>
        <w:t xml:space="preserve">were in </w:t>
      </w:r>
      <w:r w:rsidRPr="00B7386E">
        <w:rPr>
          <w:sz w:val="20"/>
          <w:lang w:val="en-GB"/>
        </w:rPr>
        <w:t>11</w:t>
      </w:r>
      <w:r w:rsidRPr="001732C3">
        <w:rPr>
          <w:sz w:val="20"/>
          <w:vertAlign w:val="superscript"/>
          <w:lang w:val="en-GB"/>
        </w:rPr>
        <w:t>th</w:t>
      </w:r>
      <w:r>
        <w:rPr>
          <w:sz w:val="20"/>
          <w:lang w:val="en-GB"/>
        </w:rPr>
        <w:t> </w:t>
      </w:r>
      <w:r w:rsidRPr="00B7386E">
        <w:rPr>
          <w:sz w:val="20"/>
          <w:lang w:val="en-GB"/>
        </w:rPr>
        <w:t>place in 2016,</w:t>
      </w:r>
      <w:r w:rsidRPr="00B7386E">
        <w:rPr>
          <w:b/>
          <w:sz w:val="20"/>
          <w:lang w:val="en-GB"/>
        </w:rPr>
        <w:t xml:space="preserve"> above the EU28 average</w:t>
      </w:r>
      <w:r w:rsidRPr="00B7386E">
        <w:rPr>
          <w:sz w:val="20"/>
          <w:lang w:val="en-GB"/>
        </w:rPr>
        <w:t>.</w:t>
      </w:r>
      <w:r w:rsidRPr="00B7386E">
        <w:rPr>
          <w:b/>
          <w:sz w:val="20"/>
          <w:lang w:val="en-GB"/>
        </w:rPr>
        <w:t xml:space="preserve"> </w:t>
      </w:r>
      <w:r w:rsidRPr="00B7386E">
        <w:rPr>
          <w:sz w:val="20"/>
          <w:lang w:val="en-GB"/>
        </w:rPr>
        <w:t xml:space="preserve">In the same year, the highest share of enterprises selling via website – approx. 25% – was in Ireland, Denmark or Sweden, and the lowest one – less than 10% </w:t>
      </w:r>
      <w:r>
        <w:rPr>
          <w:sz w:val="20"/>
          <w:lang w:val="en-GB"/>
        </w:rPr>
        <w:br/>
      </w:r>
      <w:r w:rsidRPr="00B7386E">
        <w:rPr>
          <w:sz w:val="20"/>
          <w:lang w:val="en-GB"/>
        </w:rPr>
        <w:t>– in Poland, Bulgaria, and Romania.</w:t>
      </w:r>
    </w:p>
    <w:p w:rsidR="009B63B1" w:rsidRPr="009B63B1" w:rsidRDefault="009B63B1" w:rsidP="009B63B1">
      <w:pPr>
        <w:pStyle w:val="Zkladntext"/>
        <w:spacing w:before="160" w:after="100" w:line="264" w:lineRule="auto"/>
        <w:rPr>
          <w:b/>
          <w:i/>
          <w:sz w:val="20"/>
          <w:szCs w:val="20"/>
          <w:lang w:val="en-GB"/>
        </w:rPr>
      </w:pPr>
      <w:r w:rsidRPr="00B7386E">
        <w:rPr>
          <w:noProof/>
        </w:rPr>
        <w:drawing>
          <wp:inline distT="0" distB="0" distL="0" distR="0" wp14:anchorId="6DA2A157" wp14:editId="13146624">
            <wp:extent cx="5972400" cy="3672000"/>
            <wp:effectExtent l="0" t="0" r="0" b="5080"/>
            <wp:docPr id="159" name="Graf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B7386E">
        <w:rPr>
          <w:b/>
          <w:sz w:val="20"/>
          <w:lang w:val="en-GB"/>
        </w:rPr>
        <w:t xml:space="preserve"> </w:t>
      </w:r>
    </w:p>
    <w:p w:rsidR="009B63B1" w:rsidRDefault="009B63B1" w:rsidP="009B63B1">
      <w:pPr>
        <w:pStyle w:val="Nadpis2"/>
      </w:pPr>
      <w:bookmarkStart w:id="125" w:name="_Toc533697529"/>
      <w:bookmarkStart w:id="126" w:name="_Toc534712028"/>
      <w:r w:rsidRPr="00354A2B">
        <w:t>D</w:t>
      </w:r>
      <w:r w:rsidR="0076638F">
        <w:t>.</w:t>
      </w:r>
      <w:r w:rsidRPr="00354A2B">
        <w:t>4 Us</w:t>
      </w:r>
      <w:r>
        <w:t>e of selected internet applications and services</w:t>
      </w:r>
      <w:r w:rsidRPr="00354A2B">
        <w:t xml:space="preserve"> </w:t>
      </w:r>
      <w:r>
        <w:t>by enterprises</w:t>
      </w:r>
      <w:bookmarkEnd w:id="125"/>
      <w:bookmarkEnd w:id="126"/>
    </w:p>
    <w:p w:rsidR="009B63B1" w:rsidRPr="00327120" w:rsidRDefault="009B63B1" w:rsidP="009B63B1">
      <w:pPr>
        <w:pStyle w:val="Zkladntext"/>
        <w:spacing w:before="0" w:after="80" w:line="264" w:lineRule="auto"/>
        <w:rPr>
          <w:i/>
          <w:sz w:val="20"/>
          <w:lang w:val="en-GB"/>
        </w:rPr>
      </w:pPr>
      <w:r w:rsidRPr="00327120">
        <w:rPr>
          <w:i/>
          <w:sz w:val="20"/>
          <w:lang w:val="en-GB"/>
        </w:rPr>
        <w:t xml:space="preserve">As most companies in the </w:t>
      </w:r>
      <w:r>
        <w:rPr>
          <w:i/>
          <w:sz w:val="20"/>
          <w:lang w:val="en-GB"/>
        </w:rPr>
        <w:t>Czech Republic</w:t>
      </w:r>
      <w:r w:rsidRPr="00327120">
        <w:rPr>
          <w:i/>
          <w:sz w:val="20"/>
          <w:lang w:val="en-GB"/>
        </w:rPr>
        <w:t xml:space="preserve"> now have broadband internet and their own website, there is a considerable basis for advanced and large scale ICT applications. There are differences between companies in the use of advanced applications, and these differences will probably remain in the near future. This chapter describes a number of ICT applications used by companies in the </w:t>
      </w:r>
      <w:r>
        <w:rPr>
          <w:i/>
          <w:sz w:val="20"/>
          <w:lang w:val="en-GB"/>
        </w:rPr>
        <w:t>Czech Republic</w:t>
      </w:r>
      <w:r w:rsidRPr="00327120">
        <w:rPr>
          <w:i/>
          <w:sz w:val="20"/>
          <w:lang w:val="en-GB"/>
        </w:rPr>
        <w:t>. The use of these applications differs, sometimes significantly, between large and small businesses, but also between sectors of industry. The decision on whether or not to invest in technology or an ICT application will always be based on business considerations, and the cost-benefit analysis will not work out the same for all companies</w:t>
      </w:r>
      <w:r>
        <w:rPr>
          <w:i/>
          <w:sz w:val="20"/>
          <w:lang w:val="en-GB"/>
        </w:rPr>
        <w:t>.</w:t>
      </w:r>
    </w:p>
    <w:p w:rsidR="009B63B1" w:rsidRPr="00354A2B" w:rsidRDefault="009B63B1" w:rsidP="009B63B1">
      <w:pPr>
        <w:pStyle w:val="Nadpis3"/>
      </w:pPr>
      <w:bookmarkStart w:id="127" w:name="_Toc533697530"/>
      <w:bookmarkStart w:id="128" w:name="_Toc534712029"/>
      <w:r>
        <w:t>Enterprises and social media</w:t>
      </w:r>
      <w:bookmarkEnd w:id="127"/>
      <w:bookmarkEnd w:id="128"/>
    </w:p>
    <w:p w:rsidR="00E637D5" w:rsidRDefault="009B63B1" w:rsidP="009B63B1">
      <w:pPr>
        <w:autoSpaceDE w:val="0"/>
        <w:autoSpaceDN w:val="0"/>
        <w:adjustRightInd w:val="0"/>
        <w:spacing w:after="80" w:line="264" w:lineRule="auto"/>
        <w:jc w:val="both"/>
        <w:rPr>
          <w:i/>
        </w:rPr>
      </w:pPr>
      <w:r w:rsidRPr="00A65331">
        <w:rPr>
          <w:i/>
        </w:rPr>
        <w:t xml:space="preserve">A website is not the only channel used by enterprises </w:t>
      </w:r>
      <w:r w:rsidRPr="00D30C92">
        <w:rPr>
          <w:i/>
        </w:rPr>
        <w:t xml:space="preserve">to present themselves </w:t>
      </w:r>
      <w:r w:rsidRPr="00A65331">
        <w:rPr>
          <w:i/>
        </w:rPr>
        <w:t xml:space="preserve">on the internet. The usage of social media is currently experiencing its boom. In January 2017, the most common type of social </w:t>
      </w:r>
      <w:r w:rsidRPr="00D30C92">
        <w:rPr>
          <w:i/>
        </w:rPr>
        <w:t>media</w:t>
      </w:r>
      <w:r w:rsidRPr="00D30C92">
        <w:rPr>
          <w:i/>
          <w:szCs w:val="20"/>
        </w:rPr>
        <w:t>,</w:t>
      </w:r>
      <w:r w:rsidRPr="00A65331">
        <w:rPr>
          <w:i/>
        </w:rPr>
        <w:t xml:space="preserve"> used by </w:t>
      </w:r>
      <w:r w:rsidRPr="00D30C92">
        <w:rPr>
          <w:i/>
        </w:rPr>
        <w:t>enterprises</w:t>
      </w:r>
      <w:r w:rsidRPr="00D30C92">
        <w:rPr>
          <w:i/>
          <w:szCs w:val="20"/>
        </w:rPr>
        <w:t>,</w:t>
      </w:r>
      <w:r w:rsidRPr="00A65331">
        <w:rPr>
          <w:i/>
        </w:rPr>
        <w:t xml:space="preserve"> were social </w:t>
      </w:r>
      <w:r w:rsidRPr="00D30C92">
        <w:rPr>
          <w:i/>
        </w:rPr>
        <w:t>networks</w:t>
      </w:r>
      <w:r w:rsidRPr="00D30C92">
        <w:rPr>
          <w:i/>
          <w:szCs w:val="20"/>
        </w:rPr>
        <w:t>,</w:t>
      </w:r>
      <w:r w:rsidRPr="00A65331">
        <w:rPr>
          <w:i/>
        </w:rPr>
        <w:t xml:space="preserve"> where already a third of entities in the Czech Republic had established their own account.</w:t>
      </w:r>
      <w:r w:rsidRPr="001F41F7">
        <w:t xml:space="preserve"> </w:t>
      </w:r>
      <w:r w:rsidRPr="001F41F7">
        <w:rPr>
          <w:i/>
        </w:rPr>
        <w:t>Thanks to social networks, enterprises have the opportunity to improve communication with their customers, as well as other advantages. The main benefit of an enterprise’s presentation and promotion, on social networks, is building relationships with its supporters, providing support, and relevant information. This way, enterprises may obtain feedback concerning their products or services by a relatively comfortable and interactive method.</w:t>
      </w:r>
    </w:p>
    <w:p w:rsidR="00E637D5" w:rsidRDefault="00E637D5">
      <w:pPr>
        <w:spacing w:after="0" w:line="240" w:lineRule="auto"/>
        <w:rPr>
          <w:i/>
        </w:rPr>
      </w:pPr>
      <w:r>
        <w:rPr>
          <w:i/>
        </w:rPr>
        <w:br w:type="page"/>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szCs w:val="20"/>
        </w:rPr>
      </w:pPr>
      <w:r w:rsidRPr="00B7386E">
        <w:lastRenderedPageBreak/>
        <w:t xml:space="preserve">At least one type of </w:t>
      </w:r>
      <w:r w:rsidRPr="00B7386E">
        <w:rPr>
          <w:b/>
        </w:rPr>
        <w:t>social media</w:t>
      </w:r>
      <w:r w:rsidRPr="00D26915">
        <w:rPr>
          <w:rStyle w:val="Znakapoznpodarou"/>
        </w:rPr>
        <w:footnoteReference w:id="41"/>
      </w:r>
      <w:r w:rsidRPr="00B7386E">
        <w:t xml:space="preserve"> was used by more than a third (37%) of enterprises in the Czech Republic in January 2017, mostly </w:t>
      </w:r>
      <w:r w:rsidRPr="00D26915">
        <w:t>by</w:t>
      </w:r>
      <w:r>
        <w:rPr>
          <w:color w:val="FF0000"/>
        </w:rPr>
        <w:t xml:space="preserve"> </w:t>
      </w:r>
      <w:r w:rsidRPr="00B7386E">
        <w:t>the large ones (66%). We have been monitoring the usage of social media since 2013</w:t>
      </w:r>
      <w:r w:rsidRPr="00D26915">
        <w:t>. Since then</w:t>
      </w:r>
      <w:r w:rsidRPr="00D26915">
        <w:rPr>
          <w:szCs w:val="20"/>
        </w:rPr>
        <w:t>,</w:t>
      </w:r>
      <w:r w:rsidRPr="00D26915">
        <w:t xml:space="preserve"> the </w:t>
      </w:r>
      <w:r w:rsidRPr="00B7386E">
        <w:t xml:space="preserve">share of enterprises with their own user profile or </w:t>
      </w:r>
      <w:r w:rsidRPr="00D26915">
        <w:t>account</w:t>
      </w:r>
      <w:r w:rsidRPr="00D26915">
        <w:rPr>
          <w:szCs w:val="20"/>
        </w:rPr>
        <w:t>,</w:t>
      </w:r>
      <w:r w:rsidRPr="00B7386E">
        <w:t xml:space="preserve"> with any social </w:t>
      </w:r>
      <w:r w:rsidRPr="00D26915">
        <w:t>media</w:t>
      </w:r>
      <w:r w:rsidRPr="00D26915">
        <w:rPr>
          <w:szCs w:val="20"/>
        </w:rPr>
        <w:t>,</w:t>
      </w:r>
      <w:r w:rsidRPr="00D26915">
        <w:t xml:space="preserve"> has </w:t>
      </w:r>
      <w:r w:rsidRPr="00B7386E">
        <w:t>more than doubled – in January 2013 – social media was actively used by 17% of enterprises.</w:t>
      </w:r>
    </w:p>
    <w:p w:rsidR="009B63B1" w:rsidRPr="001F41F7"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The most significantly used typ</w:t>
      </w:r>
      <w:r w:rsidRPr="00D26915">
        <w:t>es</w:t>
      </w:r>
      <w:r w:rsidRPr="00B7386E">
        <w:t xml:space="preserve"> of social media in the Czech </w:t>
      </w:r>
      <w:r w:rsidRPr="00D26915">
        <w:t>Republic</w:t>
      </w:r>
      <w:r w:rsidRPr="001F41F7">
        <w:rPr>
          <w:szCs w:val="20"/>
        </w:rPr>
        <w:t>,</w:t>
      </w:r>
      <w:r w:rsidRPr="00B7386E">
        <w:t xml:space="preserve"> in January </w:t>
      </w:r>
      <w:r w:rsidRPr="00D26915">
        <w:t>2017</w:t>
      </w:r>
      <w:r w:rsidRPr="001F41F7">
        <w:rPr>
          <w:szCs w:val="20"/>
        </w:rPr>
        <w:t>,</w:t>
      </w:r>
      <w:r w:rsidRPr="00D26915">
        <w:t xml:space="preserve"> </w:t>
      </w:r>
      <w:r w:rsidRPr="00B7386E">
        <w:t xml:space="preserve">were </w:t>
      </w:r>
      <w:r w:rsidRPr="001F41F7">
        <w:rPr>
          <w:b/>
        </w:rPr>
        <w:t>social networks</w:t>
      </w:r>
      <w:r w:rsidRPr="00B7386E">
        <w:t xml:space="preserve"> (Facebook. LinkedIn, etc</w:t>
      </w:r>
      <w:r w:rsidRPr="00D26915">
        <w:t>.)</w:t>
      </w:r>
      <w:r w:rsidRPr="001F41F7">
        <w:rPr>
          <w:szCs w:val="20"/>
        </w:rPr>
        <w:t>,</w:t>
      </w:r>
      <w:r w:rsidRPr="00D26915">
        <w:t xml:space="preserve"> </w:t>
      </w:r>
      <w:r w:rsidRPr="00B7386E">
        <w:t xml:space="preserve">where 34% of all enterprises had their own account. In the last four years, the share of enterprises with a social network profile in the Czech Republic has more than </w:t>
      </w:r>
      <w:r w:rsidRPr="00D26915">
        <w:t xml:space="preserve">doubled. The highest </w:t>
      </w:r>
      <w:r w:rsidRPr="00B7386E">
        <w:t xml:space="preserve">increase has been recorded among large entities with 250+ </w:t>
      </w:r>
      <w:r w:rsidRPr="00D26915">
        <w:t>employees</w:t>
      </w:r>
      <w:r w:rsidRPr="001F41F7">
        <w:rPr>
          <w:szCs w:val="20"/>
        </w:rPr>
        <w:t>,</w:t>
      </w:r>
      <w:r w:rsidRPr="00B7386E">
        <w:t xml:space="preserve"> where a user profile was owned by 62% of </w:t>
      </w:r>
      <w:r w:rsidRPr="00D26915">
        <w:t>enterprises</w:t>
      </w:r>
      <w:r w:rsidRPr="001F41F7">
        <w:rPr>
          <w:szCs w:val="20"/>
        </w:rPr>
        <w:t>,</w:t>
      </w:r>
      <w:r w:rsidRPr="00D26915">
        <w:t xml:space="preserve"> </w:t>
      </w:r>
      <w:r w:rsidRPr="00B7386E">
        <w:t>compared to 25% of them in 2013.</w:t>
      </w:r>
      <w:r>
        <w:t xml:space="preserve"> </w:t>
      </w:r>
      <w:r w:rsidRPr="00B7386E">
        <w:t xml:space="preserve">It applies </w:t>
      </w:r>
      <w:r w:rsidRPr="00472576">
        <w:t>to</w:t>
      </w:r>
      <w:r w:rsidRPr="001F41F7">
        <w:rPr>
          <w:color w:val="FF0000"/>
        </w:rPr>
        <w:t xml:space="preserve"> </w:t>
      </w:r>
      <w:r w:rsidRPr="00B7386E">
        <w:t>all types of social media that they are more frequently actively used by large enterprises rather than small ones.</w:t>
      </w:r>
    </w:p>
    <w:p w:rsidR="009B63B1" w:rsidRDefault="009B63B1" w:rsidP="009B63B1">
      <w:pPr>
        <w:autoSpaceDE w:val="0"/>
        <w:autoSpaceDN w:val="0"/>
        <w:adjustRightInd w:val="0"/>
        <w:spacing w:after="0" w:line="264" w:lineRule="auto"/>
        <w:jc w:val="both"/>
      </w:pPr>
      <w:r w:rsidRPr="00B7386E">
        <w:rPr>
          <w:noProof/>
          <w:lang w:val="cs-CZ"/>
        </w:rPr>
        <w:drawing>
          <wp:inline distT="0" distB="0" distL="0" distR="0" wp14:anchorId="109F3D56" wp14:editId="4800BFF1">
            <wp:extent cx="3076575" cy="2700000"/>
            <wp:effectExtent l="0" t="0" r="9525" b="5715"/>
            <wp:docPr id="160" name="Graf 160">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B7386E">
        <w:rPr>
          <w:noProof/>
          <w:lang w:val="cs-CZ"/>
        </w:rPr>
        <w:drawing>
          <wp:inline distT="0" distB="0" distL="0" distR="0" wp14:anchorId="3697CA3E" wp14:editId="78368828">
            <wp:extent cx="2880000" cy="2700000"/>
            <wp:effectExtent l="0" t="0" r="15875" b="5715"/>
            <wp:docPr id="161" name="Graf 16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B63B1" w:rsidRPr="00B7386E" w:rsidRDefault="009B63B1" w:rsidP="009B63B1">
      <w:pPr>
        <w:autoSpaceDE w:val="0"/>
        <w:autoSpaceDN w:val="0"/>
        <w:adjustRightInd w:val="0"/>
        <w:spacing w:after="0" w:line="264" w:lineRule="auto"/>
        <w:jc w:val="both"/>
      </w:pPr>
    </w:p>
    <w:p w:rsidR="009B63B1" w:rsidRPr="001F41F7" w:rsidRDefault="009B63B1" w:rsidP="009B63B1">
      <w:pPr>
        <w:jc w:val="center"/>
        <w:rPr>
          <w:rFonts w:cs="Arial"/>
          <w:color w:val="000000"/>
          <w:sz w:val="16"/>
          <w:szCs w:val="16"/>
        </w:rPr>
      </w:pPr>
      <w:r>
        <w:rPr>
          <w:rFonts w:cs="Arial"/>
          <w:color w:val="000000"/>
          <w:sz w:val="16"/>
          <w:szCs w:val="16"/>
        </w:rPr>
        <w:t>*</w:t>
      </w:r>
      <w:r w:rsidRPr="001F41F7">
        <w:rPr>
          <w:rFonts w:cs="Arial"/>
          <w:color w:val="000000"/>
          <w:sz w:val="16"/>
          <w:szCs w:val="16"/>
        </w:rPr>
        <w:t xml:space="preserve"> as a percentage of all enterprises with 10+ employees in a given size class</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 xml:space="preserve">In January 2017, social networks in the Czech Republic were most frequently used by </w:t>
      </w:r>
      <w:r w:rsidRPr="00AB7489">
        <w:rPr>
          <w:b/>
        </w:rPr>
        <w:t xml:space="preserve">travel agencies and offices </w:t>
      </w:r>
      <w:r w:rsidRPr="00B7386E">
        <w:t>(84%</w:t>
      </w:r>
      <w:r w:rsidRPr="00D26915">
        <w:t>)</w:t>
      </w:r>
      <w:r w:rsidRPr="00D26915">
        <w:rPr>
          <w:szCs w:val="20"/>
        </w:rPr>
        <w:t>,</w:t>
      </w:r>
      <w:r w:rsidRPr="00B7386E">
        <w:t xml:space="preserve"> or enterprises operating in the </w:t>
      </w:r>
      <w:r w:rsidRPr="00AB7489">
        <w:rPr>
          <w:b/>
        </w:rPr>
        <w:t>field of accommodation provision</w:t>
      </w:r>
      <w:r w:rsidRPr="00AB7489">
        <w:rPr>
          <w:b/>
          <w:szCs w:val="20"/>
        </w:rPr>
        <w:t>,</w:t>
      </w:r>
      <w:r w:rsidRPr="00AB7489">
        <w:rPr>
          <w:b/>
        </w:rPr>
        <w:t xml:space="preserve"> or in the media sector</w:t>
      </w:r>
      <w:r w:rsidRPr="00B7386E">
        <w:t xml:space="preserve"> – in both of these cases, a social network profile was owned by 79% of enterprises with 10+ employees. Active usage of social networks is often recorded by </w:t>
      </w:r>
      <w:r w:rsidRPr="00D26915">
        <w:t>enterprises</w:t>
      </w:r>
      <w:r w:rsidRPr="00D26915">
        <w:rPr>
          <w:szCs w:val="20"/>
        </w:rPr>
        <w:t>,</w:t>
      </w:r>
      <w:r w:rsidRPr="00D26915">
        <w:t xml:space="preserve"> </w:t>
      </w:r>
      <w:r w:rsidRPr="00B7386E">
        <w:t>whose main economic activity is related to the provision of ICT activities (62</w:t>
      </w:r>
      <w:r w:rsidRPr="00D26915">
        <w:t>%)</w:t>
      </w:r>
      <w:r w:rsidRPr="00D26915">
        <w:rPr>
          <w:szCs w:val="20"/>
        </w:rPr>
        <w:t>,</w:t>
      </w:r>
      <w:r w:rsidRPr="00B7386E">
        <w:t xml:space="preserve"> or the provision of food and beverage services (52%). With respect to the manufacturing industry, enterprises with a social network profile mainly include those operating in food </w:t>
      </w:r>
      <w:r w:rsidRPr="00D26915">
        <w:t>industry</w:t>
      </w:r>
      <w:r w:rsidRPr="00D26915">
        <w:rPr>
          <w:szCs w:val="20"/>
        </w:rPr>
        <w:t>,</w:t>
      </w:r>
      <w:r w:rsidRPr="00D26915">
        <w:t xml:space="preserve"> as well as the automotive </w:t>
      </w:r>
      <w:r w:rsidRPr="00B7386E">
        <w:t xml:space="preserve">industry. </w:t>
      </w:r>
      <w:r w:rsidRPr="00D26915">
        <w:t>Opposed to this</w:t>
      </w:r>
      <w:r w:rsidRPr="00B7386E">
        <w:t xml:space="preserve">, the lowest share was </w:t>
      </w:r>
      <w:r w:rsidRPr="00D26915">
        <w:t xml:space="preserve">recorded in enterprises </w:t>
      </w:r>
      <w:r w:rsidRPr="00B7386E">
        <w:t xml:space="preserve">involved in the metallurgical or chemical industry. </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b/>
          <w:szCs w:val="20"/>
        </w:rPr>
      </w:pPr>
      <w:r w:rsidRPr="00B7386E">
        <w:t xml:space="preserve">Apart from social networks, enterprises have also been using other types of social media, but much less frequently. For instance, enterprises may post contributions to their websites designated to the sharing of </w:t>
      </w:r>
      <w:r w:rsidRPr="00B7386E">
        <w:rPr>
          <w:b/>
        </w:rPr>
        <w:t>multimedia content</w:t>
      </w:r>
      <w:r w:rsidRPr="00B7386E">
        <w:t xml:space="preserve">, out of which probably the most well-known is </w:t>
      </w:r>
      <w:r w:rsidRPr="00472576">
        <w:t>the</w:t>
      </w:r>
      <w:r>
        <w:rPr>
          <w:color w:val="FF0000"/>
        </w:rPr>
        <w:t xml:space="preserve"> </w:t>
      </w:r>
      <w:r w:rsidRPr="00B7386E">
        <w:t xml:space="preserve">YouTube </w:t>
      </w:r>
      <w:r w:rsidRPr="00472576">
        <w:t>portal</w:t>
      </w:r>
      <w:r w:rsidRPr="00472576">
        <w:rPr>
          <w:szCs w:val="20"/>
        </w:rPr>
        <w:t>,</w:t>
      </w:r>
      <w:r w:rsidRPr="00B7386E">
        <w:t xml:space="preserve"> enabling enterprises to share their video presentations or various manuals. By means of user commentaries of individual contributions, enterprises may monitor their own </w:t>
      </w:r>
      <w:r w:rsidRPr="00472576">
        <w:t>reputation</w:t>
      </w:r>
      <w:r w:rsidRPr="00472576">
        <w:rPr>
          <w:szCs w:val="20"/>
        </w:rPr>
        <w:t>,</w:t>
      </w:r>
      <w:r w:rsidRPr="00B7386E">
        <w:t xml:space="preserve"> or the reputation of their products or services, they may improve them, react to them or target their advertising campaigns more precisely. Czech enterprises, however, rarely use this type of social media (12% in January 2017). They are popular with enterprises operating in the media sector (52</w:t>
      </w:r>
      <w:r w:rsidRPr="00472576">
        <w:t>%)</w:t>
      </w:r>
      <w:r w:rsidRPr="00472576">
        <w:rPr>
          <w:szCs w:val="20"/>
        </w:rPr>
        <w:t>,</w:t>
      </w:r>
      <w:r w:rsidRPr="00472576">
        <w:t xml:space="preserve"> a</w:t>
      </w:r>
      <w:r w:rsidRPr="00B7386E">
        <w:t xml:space="preserve">nd with travel agencies or offices (36%). </w:t>
      </w:r>
    </w:p>
    <w:p w:rsidR="009B63B1" w:rsidRPr="00B7386E" w:rsidRDefault="009B63B1" w:rsidP="009B63B1">
      <w:pPr>
        <w:numPr>
          <w:ilvl w:val="0"/>
          <w:numId w:val="15"/>
        </w:numPr>
        <w:tabs>
          <w:tab w:val="clear" w:pos="360"/>
        </w:tabs>
        <w:autoSpaceDE w:val="0"/>
        <w:autoSpaceDN w:val="0"/>
        <w:adjustRightInd w:val="0"/>
        <w:spacing w:after="80" w:line="264" w:lineRule="auto"/>
        <w:ind w:left="284" w:hanging="284"/>
        <w:jc w:val="both"/>
        <w:rPr>
          <w:rFonts w:cs="Arial"/>
          <w:szCs w:val="20"/>
        </w:rPr>
      </w:pPr>
      <w:r w:rsidRPr="00B7386E">
        <w:t xml:space="preserve">The usage of </w:t>
      </w:r>
      <w:r w:rsidRPr="00B7386E">
        <w:rPr>
          <w:b/>
        </w:rPr>
        <w:t>enterprise’s blogs</w:t>
      </w:r>
      <w:r w:rsidRPr="00B7386E">
        <w:t>, e.g. Twitter, was</w:t>
      </w:r>
      <w:r w:rsidRPr="00B7386E">
        <w:rPr>
          <w:b/>
        </w:rPr>
        <w:t xml:space="preserve"> </w:t>
      </w:r>
      <w:r w:rsidRPr="00B7386E">
        <w:t xml:space="preserve">five times lower in the Czech Republic compared to the usage of social networks – in January 2017 a blog or Twitter account was solely owned by 6.7% of enterprises. Once </w:t>
      </w:r>
      <w:r w:rsidRPr="00472576">
        <w:t>again</w:t>
      </w:r>
      <w:r w:rsidRPr="00472576">
        <w:rPr>
          <w:szCs w:val="20"/>
        </w:rPr>
        <w:t>,</w:t>
      </w:r>
      <w:r w:rsidRPr="00B7386E">
        <w:t xml:space="preserve"> blogs are most frequently used by enterprises operating in the media sector </w:t>
      </w:r>
      <w:r w:rsidRPr="00B7386E">
        <w:lastRenderedPageBreak/>
        <w:t>(activities related to publishing, film-making, video-recording, and TV programmes). As well as in the case of social networks, enterprises may use the blogs to keep in touch with their customers, to increase awareness of their existence, and to build a good reputation.</w:t>
      </w:r>
    </w:p>
    <w:p w:rsidR="009B63B1" w:rsidRPr="00B7386E" w:rsidRDefault="009B63B1" w:rsidP="009B63B1">
      <w:pPr>
        <w:numPr>
          <w:ilvl w:val="0"/>
          <w:numId w:val="15"/>
        </w:numPr>
        <w:tabs>
          <w:tab w:val="clear" w:pos="360"/>
        </w:tabs>
        <w:autoSpaceDE w:val="0"/>
        <w:autoSpaceDN w:val="0"/>
        <w:adjustRightInd w:val="0"/>
        <w:spacing w:after="80" w:line="264" w:lineRule="auto"/>
        <w:ind w:left="284" w:hanging="284"/>
        <w:jc w:val="both"/>
        <w:rPr>
          <w:rFonts w:cs="Arial"/>
          <w:b/>
          <w:szCs w:val="20"/>
        </w:rPr>
      </w:pPr>
      <w:r w:rsidRPr="00B7386E">
        <w:t xml:space="preserve">The lowest one was the share of enterprises (4.2%) operating their </w:t>
      </w:r>
      <w:r w:rsidRPr="00B7386E">
        <w:rPr>
          <w:b/>
        </w:rPr>
        <w:t>wiki-based</w:t>
      </w:r>
      <w:r w:rsidRPr="00B7386E">
        <w:t xml:space="preserve"> websites, i.e. websites enabling to quickly edit and update their contents practically to anyone. The most well-known website of this </w:t>
      </w:r>
      <w:r w:rsidRPr="00472576">
        <w:t>kind</w:t>
      </w:r>
      <w:r w:rsidRPr="00472576">
        <w:rPr>
          <w:szCs w:val="20"/>
        </w:rPr>
        <w:t>,</w:t>
      </w:r>
      <w:r w:rsidRPr="00B7386E">
        <w:t xml:space="preserve"> is the internet encyclopaedia, </w:t>
      </w:r>
      <w:r w:rsidRPr="00B7386E">
        <w:rPr>
          <w:i/>
        </w:rPr>
        <w:t>Wikipedia.</w:t>
      </w:r>
      <w:r w:rsidRPr="00B7386E">
        <w:t xml:space="preserve"> However, wiki may also be used as an enterprise’s information system, intranet, knowledge base of specialised communities, or support system of IT product development. </w:t>
      </w:r>
      <w:r w:rsidRPr="00472576">
        <w:t xml:space="preserve">This </w:t>
      </w:r>
      <w:r w:rsidRPr="00B7386E">
        <w:t xml:space="preserve">is why they are most frequently used by entities operating in the industry category CZ NACE J (62-63) </w:t>
      </w:r>
      <w:r w:rsidRPr="00B7386E">
        <w:rPr>
          <w:i/>
        </w:rPr>
        <w:t>Activities specialised in information technologies</w:t>
      </w:r>
      <w:r w:rsidR="00E637D5">
        <w:t xml:space="preserve"> (a third in January 2017).</w:t>
      </w:r>
    </w:p>
    <w:p w:rsidR="009B63B1" w:rsidRPr="00B7386E" w:rsidRDefault="009B63B1" w:rsidP="009B63B1">
      <w:pPr>
        <w:numPr>
          <w:ilvl w:val="0"/>
          <w:numId w:val="15"/>
        </w:numPr>
        <w:tabs>
          <w:tab w:val="clear" w:pos="360"/>
          <w:tab w:val="left" w:pos="284"/>
        </w:tabs>
        <w:autoSpaceDE w:val="0"/>
        <w:autoSpaceDN w:val="0"/>
        <w:adjustRightInd w:val="0"/>
        <w:spacing w:after="80" w:line="264" w:lineRule="auto"/>
        <w:ind w:left="284" w:hanging="284"/>
        <w:jc w:val="both"/>
        <w:rPr>
          <w:rFonts w:cs="Arial"/>
          <w:szCs w:val="20"/>
        </w:rPr>
      </w:pPr>
      <w:r w:rsidRPr="00B7386E">
        <w:t>Enterprises use social networks similarly to their websites. They serve for their self-</w:t>
      </w:r>
      <w:r w:rsidRPr="00472576">
        <w:t>promotion</w:t>
      </w:r>
      <w:r w:rsidRPr="00472576">
        <w:rPr>
          <w:szCs w:val="20"/>
        </w:rPr>
        <w:t>,</w:t>
      </w:r>
      <w:r w:rsidRPr="00B7386E">
        <w:t xml:space="preserve"> and for informing the public of news related to their activities. Nine out of ten </w:t>
      </w:r>
      <w:r w:rsidRPr="00472576">
        <w:t>enterprises</w:t>
      </w:r>
      <w:r w:rsidRPr="00472576">
        <w:rPr>
          <w:szCs w:val="20"/>
        </w:rPr>
        <w:t>,</w:t>
      </w:r>
      <w:r w:rsidRPr="00472576">
        <w:t xml:space="preserve"> </w:t>
      </w:r>
      <w:r w:rsidRPr="00B7386E">
        <w:t xml:space="preserve">with a social network </w:t>
      </w:r>
      <w:r w:rsidRPr="00472576">
        <w:t>profile</w:t>
      </w:r>
      <w:r w:rsidRPr="00472576">
        <w:rPr>
          <w:szCs w:val="20"/>
        </w:rPr>
        <w:t>,</w:t>
      </w:r>
      <w:r w:rsidRPr="00472576">
        <w:t xml:space="preserve"> </w:t>
      </w:r>
      <w:r w:rsidRPr="00B7386E">
        <w:t xml:space="preserve">use these to </w:t>
      </w:r>
      <w:r w:rsidRPr="00B7386E">
        <w:rPr>
          <w:b/>
        </w:rPr>
        <w:t xml:space="preserve">improve their </w:t>
      </w:r>
      <w:r w:rsidRPr="00472576">
        <w:rPr>
          <w:b/>
        </w:rPr>
        <w:t>image</w:t>
      </w:r>
      <w:r w:rsidRPr="00472576">
        <w:rPr>
          <w:szCs w:val="20"/>
        </w:rPr>
        <w:t>,</w:t>
      </w:r>
      <w:r w:rsidRPr="00472576">
        <w:t xml:space="preserve"> or </w:t>
      </w:r>
      <w:r w:rsidRPr="00B7386E">
        <w:t xml:space="preserve">to </w:t>
      </w:r>
      <w:r w:rsidRPr="00B7386E">
        <w:rPr>
          <w:b/>
        </w:rPr>
        <w:t>launch their products at the market</w:t>
      </w:r>
      <w:r w:rsidRPr="00B7386E">
        <w:t xml:space="preserve">. At the same time, they are often used for </w:t>
      </w:r>
      <w:r w:rsidRPr="00B7386E">
        <w:rPr>
          <w:b/>
        </w:rPr>
        <w:t>customer service</w:t>
      </w:r>
      <w:r w:rsidRPr="00B7386E">
        <w:t xml:space="preserve">. By means of them, enterprises create space for their </w:t>
      </w:r>
      <w:r w:rsidRPr="00472576">
        <w:t>customers</w:t>
      </w:r>
      <w:r w:rsidRPr="00472576">
        <w:rPr>
          <w:szCs w:val="20"/>
        </w:rPr>
        <w:t>,</w:t>
      </w:r>
      <w:r w:rsidRPr="00B7386E">
        <w:t xml:space="preserve"> enabling them to </w:t>
      </w:r>
      <w:r w:rsidRPr="00B7386E">
        <w:rPr>
          <w:b/>
        </w:rPr>
        <w:t>ask questions</w:t>
      </w:r>
      <w:r w:rsidRPr="00B7386E">
        <w:t xml:space="preserve"> (used by 61% of enterprises with an active social network profile</w:t>
      </w:r>
      <w:r w:rsidRPr="00472576">
        <w:t>)</w:t>
      </w:r>
      <w:r w:rsidRPr="00472576">
        <w:rPr>
          <w:szCs w:val="20"/>
        </w:rPr>
        <w:t>,</w:t>
      </w:r>
      <w:r w:rsidRPr="00472576">
        <w:t xml:space="preserve"> </w:t>
      </w:r>
      <w:r w:rsidRPr="00B7386E">
        <w:t xml:space="preserve">or to </w:t>
      </w:r>
      <w:r w:rsidRPr="00B7386E">
        <w:rPr>
          <w:b/>
        </w:rPr>
        <w:t>cooperate in their improvement</w:t>
      </w:r>
      <w:r w:rsidRPr="00B7386E">
        <w:t xml:space="preserve"> of the goods on offer/services provided (used by 23%). In January </w:t>
      </w:r>
      <w:r w:rsidRPr="00472576">
        <w:t xml:space="preserve">2017, the third </w:t>
      </w:r>
      <w:r w:rsidRPr="00B7386E">
        <w:t xml:space="preserve">most frequently stated reason for the usage of social networks, was </w:t>
      </w:r>
      <w:r w:rsidRPr="00B7386E">
        <w:rPr>
          <w:b/>
        </w:rPr>
        <w:t>gaining new employees</w:t>
      </w:r>
      <w:r w:rsidRPr="00B7386E">
        <w:t xml:space="preserve"> (used by 57% of enterprises with a social network profile).</w:t>
      </w:r>
    </w:p>
    <w:p w:rsidR="009B63B1" w:rsidRDefault="009B63B1" w:rsidP="009B63B1">
      <w:pPr>
        <w:tabs>
          <w:tab w:val="left" w:pos="284"/>
        </w:tabs>
        <w:autoSpaceDE w:val="0"/>
        <w:autoSpaceDN w:val="0"/>
        <w:adjustRightInd w:val="0"/>
        <w:spacing w:after="0" w:line="276" w:lineRule="auto"/>
        <w:jc w:val="both"/>
      </w:pPr>
      <w:r w:rsidRPr="00B7386E">
        <w:rPr>
          <w:noProof/>
          <w:lang w:val="cs-CZ"/>
        </w:rPr>
        <w:drawing>
          <wp:inline distT="0" distB="0" distL="0" distR="0" wp14:anchorId="0285AACE" wp14:editId="5CF66206">
            <wp:extent cx="2916000" cy="2700000"/>
            <wp:effectExtent l="0" t="0" r="0" b="5715"/>
            <wp:docPr id="162" name="Graf 16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B7386E">
        <w:rPr>
          <w:noProof/>
          <w:lang w:val="cs-CZ"/>
        </w:rPr>
        <w:drawing>
          <wp:inline distT="0" distB="0" distL="0" distR="0" wp14:anchorId="731B5B11" wp14:editId="7B8198AD">
            <wp:extent cx="3204000" cy="2700000"/>
            <wp:effectExtent l="0" t="0" r="0" b="5715"/>
            <wp:docPr id="163" name="Graf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9B63B1" w:rsidRPr="00B7386E" w:rsidRDefault="009B63B1" w:rsidP="009B63B1">
      <w:pPr>
        <w:spacing w:after="0" w:line="240" w:lineRule="auto"/>
        <w:ind w:left="4950" w:hanging="4950"/>
        <w:jc w:val="both"/>
        <w:rPr>
          <w:rFonts w:cs="Arial"/>
          <w:color w:val="000000"/>
          <w:sz w:val="16"/>
          <w:szCs w:val="16"/>
        </w:rPr>
      </w:pPr>
      <w:r w:rsidRPr="00B7386E">
        <w:rPr>
          <w:rFonts w:cs="Arial"/>
          <w:color w:val="000000"/>
          <w:sz w:val="16"/>
          <w:szCs w:val="16"/>
        </w:rPr>
        <w:t xml:space="preserve">* as a percentage of all enterprises with 10+ employees </w:t>
      </w:r>
      <w:r w:rsidRPr="00B7386E">
        <w:rPr>
          <w:rFonts w:cs="Arial"/>
          <w:color w:val="000000"/>
          <w:sz w:val="16"/>
          <w:szCs w:val="16"/>
        </w:rPr>
        <w:tab/>
      </w:r>
      <w:r w:rsidRPr="00B7386E">
        <w:rPr>
          <w:rFonts w:cs="Arial"/>
          <w:color w:val="000000"/>
          <w:sz w:val="16"/>
          <w:szCs w:val="16"/>
        </w:rPr>
        <w:tab/>
        <w:t xml:space="preserve">* as a percentage of all </w:t>
      </w:r>
      <w:r w:rsidRPr="00B7386E">
        <w:rPr>
          <w:rFonts w:cs="Arial"/>
          <w:color w:val="000000"/>
          <w:sz w:val="16"/>
          <w:szCs w:val="16"/>
          <w:u w:val="single"/>
        </w:rPr>
        <w:t>enterprises with 10+ employees using</w:t>
      </w:r>
    </w:p>
    <w:p w:rsidR="009B63B1" w:rsidRPr="00B7386E" w:rsidRDefault="009B63B1" w:rsidP="009B63B1">
      <w:pPr>
        <w:spacing w:line="240" w:lineRule="auto"/>
        <w:jc w:val="both"/>
        <w:rPr>
          <w:rFonts w:cs="Arial"/>
          <w:color w:val="000000"/>
          <w:sz w:val="16"/>
          <w:szCs w:val="16"/>
        </w:rPr>
      </w:pPr>
      <w:r w:rsidRPr="00B7386E">
        <w:rPr>
          <w:rFonts w:cs="Arial"/>
          <w:color w:val="000000"/>
          <w:sz w:val="16"/>
          <w:szCs w:val="16"/>
        </w:rPr>
        <w:t>in a given size class</w:t>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t xml:space="preserve"> </w:t>
      </w:r>
      <w:r w:rsidRPr="00B7386E">
        <w:rPr>
          <w:rFonts w:cs="Arial"/>
          <w:color w:val="000000"/>
          <w:sz w:val="16"/>
          <w:szCs w:val="16"/>
          <w:u w:val="single"/>
        </w:rPr>
        <w:t>social networks</w:t>
      </w:r>
    </w:p>
    <w:p w:rsidR="009B63B1" w:rsidRPr="00B7386E" w:rsidRDefault="009B63B1" w:rsidP="009B63B1">
      <w:pPr>
        <w:numPr>
          <w:ilvl w:val="0"/>
          <w:numId w:val="15"/>
        </w:numPr>
        <w:tabs>
          <w:tab w:val="clear" w:pos="360"/>
          <w:tab w:val="num" w:pos="284"/>
        </w:tabs>
        <w:spacing w:after="80" w:line="264" w:lineRule="auto"/>
        <w:ind w:left="284" w:hanging="284"/>
        <w:jc w:val="both"/>
        <w:rPr>
          <w:rFonts w:cs="Arial"/>
          <w:szCs w:val="20"/>
        </w:rPr>
      </w:pPr>
      <w:r w:rsidRPr="00B7386E">
        <w:t xml:space="preserve">In January 2017, a third of all enterprises </w:t>
      </w:r>
      <w:r w:rsidRPr="00217CDA">
        <w:t xml:space="preserve">had </w:t>
      </w:r>
      <w:r w:rsidRPr="00B7386E">
        <w:rPr>
          <w:b/>
        </w:rPr>
        <w:t>a web presentation as well as a social network profile</w:t>
      </w:r>
      <w:r w:rsidRPr="00B7386E">
        <w:t xml:space="preserve">; the percentage of such enterprises is increasing slightly year by year. The percentage of large </w:t>
      </w:r>
      <w:r w:rsidRPr="00217CDA">
        <w:t>enterprises</w:t>
      </w:r>
      <w:r w:rsidRPr="00217CDA">
        <w:rPr>
          <w:szCs w:val="20"/>
        </w:rPr>
        <w:t>,</w:t>
      </w:r>
      <w:r w:rsidRPr="00B7386E">
        <w:t xml:space="preserve"> which have social network </w:t>
      </w:r>
      <w:r w:rsidRPr="00217CDA">
        <w:t>profiles</w:t>
      </w:r>
      <w:r w:rsidRPr="00217CDA">
        <w:rPr>
          <w:szCs w:val="20"/>
        </w:rPr>
        <w:t>,</w:t>
      </w:r>
      <w:r w:rsidRPr="00B7386E">
        <w:t xml:space="preserve"> and operate their websites as </w:t>
      </w:r>
      <w:r w:rsidRPr="00217CDA">
        <w:t>well</w:t>
      </w:r>
      <w:r w:rsidRPr="00217CDA">
        <w:rPr>
          <w:szCs w:val="20"/>
        </w:rPr>
        <w:t>,</w:t>
      </w:r>
      <w:r w:rsidRPr="00217CDA">
        <w:t xml:space="preserve"> </w:t>
      </w:r>
      <w:r w:rsidRPr="009949E6">
        <w:rPr>
          <w:color w:val="000000" w:themeColor="text1"/>
        </w:rPr>
        <w:t xml:space="preserve">exceeds </w:t>
      </w:r>
      <w:r w:rsidRPr="00B7386E">
        <w:t xml:space="preserve">60%. </w:t>
      </w:r>
      <w:r w:rsidRPr="00217CDA">
        <w:t>Regarding s</w:t>
      </w:r>
      <w:r w:rsidRPr="00B7386E">
        <w:t xml:space="preserve">mall and medium-sized enterprises, there is still an overriding </w:t>
      </w:r>
      <w:r w:rsidRPr="00217CDA">
        <w:t>trend</w:t>
      </w:r>
      <w:r w:rsidRPr="00217CDA">
        <w:rPr>
          <w:szCs w:val="20"/>
        </w:rPr>
        <w:t>,</w:t>
      </w:r>
      <w:r w:rsidRPr="00217CDA">
        <w:t xml:space="preserve"> </w:t>
      </w:r>
      <w:r w:rsidRPr="00B7386E">
        <w:t xml:space="preserve">that they solely use </w:t>
      </w:r>
      <w:r w:rsidRPr="00217CDA">
        <w:t>websites</w:t>
      </w:r>
      <w:r w:rsidRPr="00217CDA">
        <w:rPr>
          <w:szCs w:val="20"/>
        </w:rPr>
        <w:t>,</w:t>
      </w:r>
      <w:r w:rsidRPr="00217CDA">
        <w:t xml:space="preserve"> </w:t>
      </w:r>
      <w:r w:rsidRPr="00B7386E">
        <w:t xml:space="preserve">but not social networks. In 2017, a social network profile was owned solely by a </w:t>
      </w:r>
      <w:r w:rsidRPr="00217CDA">
        <w:t xml:space="preserve">small </w:t>
      </w:r>
      <w:r w:rsidRPr="00B7386E">
        <w:t xml:space="preserve">fraction of enterprises (1%).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i/>
          <w:sz w:val="20"/>
          <w:lang w:val="en-GB"/>
        </w:rPr>
      </w:pPr>
      <w:r w:rsidRPr="00B7386E">
        <w:rPr>
          <w:sz w:val="20"/>
          <w:lang w:val="en-GB"/>
        </w:rPr>
        <w:t xml:space="preserve">In the same year, on average, nearly a half (48%) of enterprises with 10+ employees </w:t>
      </w:r>
      <w:r w:rsidRPr="00B7386E">
        <w:rPr>
          <w:b/>
          <w:sz w:val="20"/>
          <w:lang w:val="en-GB"/>
        </w:rPr>
        <w:t xml:space="preserve">in EU </w:t>
      </w:r>
      <w:r w:rsidRPr="00217CDA">
        <w:rPr>
          <w:b/>
          <w:sz w:val="20"/>
          <w:lang w:val="en-GB"/>
        </w:rPr>
        <w:t>countries</w:t>
      </w:r>
      <w:r w:rsidRPr="00217CDA">
        <w:rPr>
          <w:sz w:val="20"/>
          <w:szCs w:val="20"/>
          <w:lang w:val="en-GB"/>
        </w:rPr>
        <w:t>,</w:t>
      </w:r>
      <w:r w:rsidRPr="00217CDA">
        <w:rPr>
          <w:sz w:val="20"/>
          <w:lang w:val="en-GB"/>
        </w:rPr>
        <w:t xml:space="preserve"> </w:t>
      </w:r>
      <w:r w:rsidRPr="00B7386E">
        <w:rPr>
          <w:sz w:val="20"/>
          <w:lang w:val="en-GB"/>
        </w:rPr>
        <w:t xml:space="preserve">claimed to be using at least one type of social media – mostly social networks (45%). In January 2017, substantially fewer of them (16%) used websites enabling the multimedia content </w:t>
      </w:r>
      <w:r w:rsidRPr="00217CDA">
        <w:rPr>
          <w:sz w:val="20"/>
          <w:lang w:val="en-GB"/>
        </w:rPr>
        <w:t>sharing</w:t>
      </w:r>
      <w:r w:rsidRPr="00217CDA">
        <w:rPr>
          <w:sz w:val="20"/>
          <w:szCs w:val="20"/>
          <w:lang w:val="en-GB"/>
        </w:rPr>
        <w:t>,</w:t>
      </w:r>
      <w:r w:rsidRPr="00217CDA">
        <w:rPr>
          <w:sz w:val="20"/>
          <w:lang w:val="en-GB"/>
        </w:rPr>
        <w:t xml:space="preserve"> </w:t>
      </w:r>
      <w:r w:rsidRPr="00B7386E">
        <w:rPr>
          <w:sz w:val="20"/>
          <w:lang w:val="en-GB"/>
        </w:rPr>
        <w:t xml:space="preserve">and 14% contributed to company blogs. In the same period, only a fraction of all entities (on average, 5% of all enterprises in the EU28) used “wiki-based” online </w:t>
      </w:r>
      <w:r w:rsidRPr="00217CDA">
        <w:rPr>
          <w:sz w:val="20"/>
          <w:lang w:val="en-GB"/>
        </w:rPr>
        <w:t>encyclopaedias</w:t>
      </w:r>
      <w:r w:rsidRPr="00B7386E">
        <w:rPr>
          <w:sz w:val="20"/>
          <w:lang w:val="en-GB"/>
        </w:rPr>
        <w:t xml:space="preserve">. </w:t>
      </w:r>
    </w:p>
    <w:p w:rsidR="009B63B1" w:rsidRPr="00B7386E" w:rsidRDefault="009B63B1" w:rsidP="009B63B1">
      <w:pPr>
        <w:pStyle w:val="Zkladntext"/>
        <w:numPr>
          <w:ilvl w:val="0"/>
          <w:numId w:val="15"/>
        </w:numPr>
        <w:tabs>
          <w:tab w:val="clear" w:pos="360"/>
          <w:tab w:val="num" w:pos="284"/>
        </w:tabs>
        <w:autoSpaceDE w:val="0"/>
        <w:autoSpaceDN w:val="0"/>
        <w:adjustRightInd w:val="0"/>
        <w:spacing w:before="0" w:after="80" w:line="264" w:lineRule="auto"/>
        <w:ind w:left="284" w:hanging="284"/>
        <w:rPr>
          <w:rFonts w:cs="Arial"/>
          <w:lang w:val="en-GB"/>
        </w:rPr>
      </w:pPr>
      <w:r w:rsidRPr="00B7386E">
        <w:rPr>
          <w:sz w:val="20"/>
          <w:lang w:val="en-GB"/>
        </w:rPr>
        <w:t xml:space="preserve">Since 2013, the number of EU enterprises using social networks increased by 17% from 28% in </w:t>
      </w:r>
      <w:r w:rsidRPr="00217CDA">
        <w:rPr>
          <w:sz w:val="20"/>
          <w:lang w:val="en-GB"/>
        </w:rPr>
        <w:t>2013</w:t>
      </w:r>
      <w:r w:rsidRPr="00217CDA">
        <w:rPr>
          <w:sz w:val="20"/>
          <w:szCs w:val="20"/>
          <w:lang w:val="en-GB"/>
        </w:rPr>
        <w:t>,</w:t>
      </w:r>
      <w:r w:rsidRPr="00B7386E">
        <w:rPr>
          <w:sz w:val="20"/>
          <w:lang w:val="en-GB"/>
        </w:rPr>
        <w:t xml:space="preserve"> to the aforementioned 45% in 2017. </w:t>
      </w:r>
      <w:r w:rsidRPr="00B7386E">
        <w:rPr>
          <w:b/>
          <w:sz w:val="20"/>
          <w:lang w:val="en-GB"/>
        </w:rPr>
        <w:t>In the Czech Republic, the number in the same period doubled</w:t>
      </w:r>
      <w:r w:rsidRPr="00B7386E">
        <w:rPr>
          <w:sz w:val="20"/>
          <w:lang w:val="en-GB"/>
        </w:rPr>
        <w:t>. Although</w:t>
      </w:r>
      <w:r w:rsidRPr="005860C6">
        <w:rPr>
          <w:sz w:val="20"/>
          <w:szCs w:val="20"/>
          <w:lang w:val="en-GB"/>
        </w:rPr>
        <w:t>,</w:t>
      </w:r>
      <w:r w:rsidRPr="00B7386E">
        <w:rPr>
          <w:sz w:val="20"/>
          <w:lang w:val="en-GB"/>
        </w:rPr>
        <w:t xml:space="preserve"> since </w:t>
      </w:r>
      <w:r w:rsidRPr="00217CDA">
        <w:rPr>
          <w:sz w:val="20"/>
          <w:lang w:val="en-GB"/>
        </w:rPr>
        <w:t>2013</w:t>
      </w:r>
      <w:r w:rsidRPr="00217CDA">
        <w:rPr>
          <w:sz w:val="20"/>
          <w:szCs w:val="20"/>
          <w:lang w:val="en-GB"/>
        </w:rPr>
        <w:t>,</w:t>
      </w:r>
      <w:r w:rsidRPr="00217CDA">
        <w:rPr>
          <w:sz w:val="20"/>
          <w:lang w:val="en-GB"/>
        </w:rPr>
        <w:t xml:space="preserve"> the </w:t>
      </w:r>
      <w:r w:rsidRPr="00B7386E">
        <w:rPr>
          <w:sz w:val="20"/>
          <w:lang w:val="en-GB"/>
        </w:rPr>
        <w:t xml:space="preserve">number of enterprises actively using social media increased from 15% to </w:t>
      </w:r>
      <w:r w:rsidRPr="00217CDA">
        <w:rPr>
          <w:sz w:val="20"/>
          <w:lang w:val="en-GB"/>
        </w:rPr>
        <w:t>34%</w:t>
      </w:r>
      <w:r w:rsidRPr="00217CDA">
        <w:rPr>
          <w:sz w:val="20"/>
          <w:szCs w:val="20"/>
          <w:lang w:val="en-GB"/>
        </w:rPr>
        <w:t>,</w:t>
      </w:r>
      <w:r w:rsidRPr="00217CDA">
        <w:rPr>
          <w:sz w:val="20"/>
          <w:lang w:val="en-GB"/>
        </w:rPr>
        <w:t xml:space="preserve"> </w:t>
      </w:r>
      <w:r w:rsidRPr="00B7386E">
        <w:rPr>
          <w:sz w:val="20"/>
          <w:lang w:val="en-GB"/>
        </w:rPr>
        <w:t xml:space="preserve">in the year 2017, </w:t>
      </w:r>
      <w:r w:rsidRPr="00B7386E">
        <w:rPr>
          <w:b/>
          <w:sz w:val="20"/>
          <w:lang w:val="en-GB"/>
        </w:rPr>
        <w:t>we still belong to</w:t>
      </w:r>
      <w:r w:rsidRPr="00B7386E">
        <w:rPr>
          <w:sz w:val="20"/>
          <w:lang w:val="en-GB"/>
        </w:rPr>
        <w:t xml:space="preserve"> </w:t>
      </w:r>
      <w:r w:rsidRPr="00B7386E">
        <w:rPr>
          <w:b/>
          <w:sz w:val="20"/>
          <w:lang w:val="en-GB"/>
        </w:rPr>
        <w:t>EU countries</w:t>
      </w:r>
      <w:r w:rsidRPr="00B7386E">
        <w:rPr>
          <w:sz w:val="20"/>
          <w:lang w:val="en-GB"/>
        </w:rPr>
        <w:t xml:space="preserve"> </w:t>
      </w:r>
      <w:r w:rsidRPr="00B7386E">
        <w:rPr>
          <w:b/>
          <w:sz w:val="20"/>
          <w:lang w:val="en-GB"/>
        </w:rPr>
        <w:t>with the lowest usage</w:t>
      </w:r>
      <w:r w:rsidRPr="00B7386E">
        <w:rPr>
          <w:sz w:val="20"/>
          <w:lang w:val="en-GB"/>
        </w:rPr>
        <w:t xml:space="preserve"> of this means of communication. A similar situation can be found in Slovakia, Hungary, Romania or Bulgaria.</w:t>
      </w:r>
      <w:r w:rsidRPr="00B7386E">
        <w:rPr>
          <w:lang w:val="en-GB"/>
        </w:rPr>
        <w:t xml:space="preserve">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lastRenderedPageBreak/>
        <w:t xml:space="preserve">In January 2017, the highest share of EU enterprises actively using social networks was recorded in Malta (73%), websites designated for </w:t>
      </w:r>
      <w:r w:rsidRPr="00B7386E">
        <w:rPr>
          <w:b/>
          <w:sz w:val="20"/>
          <w:lang w:val="en-GB"/>
        </w:rPr>
        <w:t xml:space="preserve">multimedia content </w:t>
      </w:r>
      <w:r w:rsidRPr="00B7386E">
        <w:rPr>
          <w:sz w:val="20"/>
          <w:lang w:val="en-GB"/>
        </w:rPr>
        <w:t>sharing were most frequently used by enterprises in the Netherlands (29%), and company blogs including Twitter in Great Britain (42%).</w:t>
      </w:r>
    </w:p>
    <w:p w:rsidR="009B63B1" w:rsidRDefault="009B63B1" w:rsidP="009B63B1">
      <w:pPr>
        <w:pStyle w:val="Zkladntext"/>
        <w:spacing w:before="0" w:line="264" w:lineRule="auto"/>
        <w:rPr>
          <w:sz w:val="20"/>
          <w:lang w:val="en-GB"/>
        </w:rPr>
      </w:pPr>
      <w:r w:rsidRPr="00B7386E">
        <w:rPr>
          <w:noProof/>
        </w:rPr>
        <w:drawing>
          <wp:inline distT="0" distB="0" distL="0" distR="0" wp14:anchorId="35CB2EA4" wp14:editId="4EC924EA">
            <wp:extent cx="6048000" cy="2880000"/>
            <wp:effectExtent l="0" t="0" r="0" b="15875"/>
            <wp:docPr id="164" name="Graf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B63B1" w:rsidRPr="00354A2B" w:rsidRDefault="009B63B1" w:rsidP="009B63B1">
      <w:pPr>
        <w:pStyle w:val="Nadpis3"/>
      </w:pPr>
      <w:bookmarkStart w:id="129" w:name="_Toc533697531"/>
      <w:bookmarkStart w:id="130" w:name="_Toc534712030"/>
      <w:r w:rsidRPr="00354A2B">
        <w:t>Enterprises using paid cloud computing services</w:t>
      </w:r>
      <w:bookmarkEnd w:id="129"/>
      <w:bookmarkEnd w:id="130"/>
      <w:r w:rsidRPr="00354A2B">
        <w:t xml:space="preserve"> </w:t>
      </w:r>
    </w:p>
    <w:p w:rsidR="009B63B1" w:rsidRPr="0020119F" w:rsidRDefault="009B63B1" w:rsidP="009B63B1">
      <w:pPr>
        <w:pStyle w:val="Zkladntext"/>
        <w:spacing w:before="0" w:after="80" w:line="264" w:lineRule="auto"/>
        <w:rPr>
          <w:i/>
          <w:lang w:val="en-GB"/>
        </w:rPr>
      </w:pPr>
      <w:r w:rsidRPr="0020119F">
        <w:rPr>
          <w:i/>
          <w:sz w:val="20"/>
          <w:lang w:val="en-GB"/>
        </w:rPr>
        <w:t xml:space="preserve">One of the newest signs of </w:t>
      </w:r>
      <w:r w:rsidRPr="002A3C48">
        <w:rPr>
          <w:i/>
          <w:sz w:val="20"/>
          <w:lang w:val="en-GB"/>
        </w:rPr>
        <w:t>digitalisation</w:t>
      </w:r>
      <w:r w:rsidRPr="002A3C48">
        <w:rPr>
          <w:i/>
          <w:sz w:val="20"/>
          <w:szCs w:val="20"/>
          <w:lang w:val="en-GB"/>
        </w:rPr>
        <w:t>,</w:t>
      </w:r>
      <w:r w:rsidRPr="002A3C48">
        <w:rPr>
          <w:i/>
          <w:sz w:val="20"/>
          <w:lang w:val="en-GB"/>
        </w:rPr>
        <w:t xml:space="preserve"> within </w:t>
      </w:r>
      <w:r w:rsidRPr="0020119F">
        <w:rPr>
          <w:i/>
          <w:sz w:val="20"/>
          <w:lang w:val="en-GB"/>
        </w:rPr>
        <w:t xml:space="preserve">the business </w:t>
      </w:r>
      <w:r w:rsidRPr="002A3C48">
        <w:rPr>
          <w:i/>
          <w:sz w:val="20"/>
          <w:lang w:val="en-GB"/>
        </w:rPr>
        <w:t>sector</w:t>
      </w:r>
      <w:r w:rsidRPr="002A3C48">
        <w:rPr>
          <w:i/>
          <w:sz w:val="20"/>
          <w:szCs w:val="20"/>
          <w:lang w:val="en-GB"/>
        </w:rPr>
        <w:t>,</w:t>
      </w:r>
      <w:r w:rsidRPr="002A3C48">
        <w:rPr>
          <w:i/>
          <w:sz w:val="20"/>
          <w:lang w:val="en-GB"/>
        </w:rPr>
        <w:t xml:space="preserve"> </w:t>
      </w:r>
      <w:r w:rsidRPr="0020119F">
        <w:rPr>
          <w:i/>
          <w:sz w:val="20"/>
          <w:lang w:val="en-GB"/>
        </w:rPr>
        <w:t xml:space="preserve">is the usage of paid cloud computing </w:t>
      </w:r>
      <w:r w:rsidRPr="002A3C48">
        <w:rPr>
          <w:i/>
          <w:sz w:val="20"/>
          <w:lang w:val="en-GB"/>
        </w:rPr>
        <w:t>services</w:t>
      </w:r>
      <w:r w:rsidRPr="002A3C48">
        <w:rPr>
          <w:i/>
          <w:sz w:val="20"/>
          <w:szCs w:val="20"/>
          <w:lang w:val="en-GB"/>
        </w:rPr>
        <w:t>,</w:t>
      </w:r>
      <w:r w:rsidRPr="002A3C48">
        <w:rPr>
          <w:i/>
          <w:sz w:val="20"/>
          <w:lang w:val="en-GB"/>
        </w:rPr>
        <w:t xml:space="preserve"> </w:t>
      </w:r>
      <w:r w:rsidRPr="0020119F">
        <w:rPr>
          <w:i/>
          <w:sz w:val="20"/>
          <w:lang w:val="en-GB"/>
        </w:rPr>
        <w:t xml:space="preserve">where enterprises solely pay for the provided services, programmes or storage space available on the </w:t>
      </w:r>
      <w:r w:rsidRPr="002A3C48">
        <w:rPr>
          <w:i/>
          <w:sz w:val="20"/>
          <w:lang w:val="en-GB"/>
        </w:rPr>
        <w:t>internet</w:t>
      </w:r>
      <w:r w:rsidRPr="002A3C48">
        <w:rPr>
          <w:i/>
          <w:sz w:val="20"/>
          <w:szCs w:val="20"/>
          <w:lang w:val="en-GB"/>
        </w:rPr>
        <w:t>,</w:t>
      </w:r>
      <w:r w:rsidRPr="0020119F">
        <w:rPr>
          <w:i/>
          <w:sz w:val="20"/>
          <w:lang w:val="en-GB"/>
        </w:rPr>
        <w:t xml:space="preserve"> by means of remote access, e.g. by means of a web browser. </w:t>
      </w:r>
      <w:r w:rsidRPr="002A3C48">
        <w:rPr>
          <w:i/>
          <w:sz w:val="20"/>
          <w:lang w:val="en-GB"/>
        </w:rPr>
        <w:t xml:space="preserve">Enterprises thus do </w:t>
      </w:r>
      <w:r w:rsidRPr="0020119F">
        <w:rPr>
          <w:i/>
          <w:sz w:val="20"/>
          <w:lang w:val="en-GB"/>
        </w:rPr>
        <w:t>not need to possess, maintain or update the necessary ICT equipment and applications (software), and they usually do not even need to know where the data or software itself is physically located. Services are paid proportionally to their consumption or agreed scope.</w:t>
      </w:r>
      <w:r w:rsidRPr="0020119F">
        <w:rPr>
          <w:i/>
          <w:lang w:val="en-GB"/>
        </w:rPr>
        <w:t xml:space="preserve"> </w:t>
      </w:r>
    </w:p>
    <w:p w:rsidR="009B63B1" w:rsidRPr="002A3C48"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szCs w:val="20"/>
        </w:rPr>
      </w:pPr>
      <w:r w:rsidRPr="00B7386E">
        <w:t xml:space="preserve">In January 2017, a type of </w:t>
      </w:r>
      <w:r>
        <w:rPr>
          <w:b/>
        </w:rPr>
        <w:t xml:space="preserve">paid cloud computing </w:t>
      </w:r>
      <w:r w:rsidRPr="002A3C48">
        <w:rPr>
          <w:b/>
        </w:rPr>
        <w:t>service</w:t>
      </w:r>
      <w:r w:rsidRPr="002A3C48">
        <w:rPr>
          <w:szCs w:val="20"/>
        </w:rPr>
        <w:t>,</w:t>
      </w:r>
      <w:r w:rsidRPr="00B7386E">
        <w:rPr>
          <w:b/>
        </w:rPr>
        <w:t xml:space="preserve"> </w:t>
      </w:r>
      <w:r w:rsidRPr="00B7386E">
        <w:t xml:space="preserve">by means of the internet in the Czech </w:t>
      </w:r>
      <w:r w:rsidRPr="002A3C48">
        <w:t>Republic</w:t>
      </w:r>
      <w:r w:rsidRPr="002A3C48">
        <w:rPr>
          <w:szCs w:val="20"/>
        </w:rPr>
        <w:t>,</w:t>
      </w:r>
      <w:r w:rsidRPr="002A3C48">
        <w:t xml:space="preserve"> was used by </w:t>
      </w:r>
      <w:r w:rsidRPr="00B7386E">
        <w:t>nearly a quarter (22%) of local enterprises</w:t>
      </w:r>
      <w:r w:rsidRPr="00BF5229">
        <w:t xml:space="preserve"> </w:t>
      </w:r>
      <w:r w:rsidRPr="00B7386E">
        <w:rPr>
          <w:b/>
        </w:rPr>
        <w:t>–</w:t>
      </w:r>
      <w:r w:rsidRPr="00B7386E">
        <w:t xml:space="preserve"> three years ago, in January 2014, there were 15%. Cloud computing services are use</w:t>
      </w:r>
      <w:r>
        <w:t xml:space="preserve">d by large entities rather than </w:t>
      </w:r>
      <w:r w:rsidRPr="00B7386E">
        <w:t>small ones</w:t>
      </w:r>
      <w:r w:rsidRPr="002A3C48">
        <w:t>;</w:t>
      </w:r>
      <w:r w:rsidRPr="00B7386E">
        <w:t xml:space="preserve"> approximately twice as </w:t>
      </w:r>
      <w:r w:rsidRPr="002A3C48">
        <w:t>often</w:t>
      </w:r>
      <w:r w:rsidRPr="002A3C48">
        <w:rPr>
          <w:szCs w:val="20"/>
        </w:rPr>
        <w:t>,</w:t>
      </w:r>
      <w:r w:rsidRPr="002A3C48">
        <w:t xml:space="preserve"> </w:t>
      </w:r>
      <w:r w:rsidRPr="00B7386E">
        <w:t xml:space="preserve">and with respect to sectors, </w:t>
      </w:r>
      <w:r w:rsidRPr="002A3C48">
        <w:t xml:space="preserve">the enterprises involved in ICT activities are more common (56%). </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 xml:space="preserve">The most frequently used </w:t>
      </w:r>
      <w:r w:rsidRPr="002A3C48">
        <w:t>service</w:t>
      </w:r>
      <w:r w:rsidRPr="002A3C48">
        <w:rPr>
          <w:szCs w:val="20"/>
        </w:rPr>
        <w:t>,</w:t>
      </w:r>
      <w:r w:rsidRPr="002A3C48">
        <w:t xml:space="preserve"> in </w:t>
      </w:r>
      <w:r w:rsidRPr="00B7386E">
        <w:t xml:space="preserve">the Czech </w:t>
      </w:r>
      <w:r w:rsidRPr="002A3C48">
        <w:t>Republic</w:t>
      </w:r>
      <w:r w:rsidRPr="002A3C48">
        <w:rPr>
          <w:szCs w:val="20"/>
        </w:rPr>
        <w:t>,</w:t>
      </w:r>
      <w:r w:rsidRPr="002A3C48">
        <w:t xml:space="preserve"> is a paid </w:t>
      </w:r>
      <w:r w:rsidRPr="002A3C48">
        <w:rPr>
          <w:b/>
        </w:rPr>
        <w:t>cloud email</w:t>
      </w:r>
      <w:r w:rsidRPr="002A3C48">
        <w:t xml:space="preserve">. In </w:t>
      </w:r>
      <w:r w:rsidRPr="00B7386E">
        <w:t xml:space="preserve">January </w:t>
      </w:r>
      <w:r w:rsidRPr="002A3C48">
        <w:t>2017</w:t>
      </w:r>
      <w:r w:rsidRPr="002A3C48">
        <w:rPr>
          <w:szCs w:val="20"/>
        </w:rPr>
        <w:t>,</w:t>
      </w:r>
      <w:r w:rsidRPr="002A3C48">
        <w:t xml:space="preserve"> </w:t>
      </w:r>
      <w:r w:rsidRPr="00B7386E">
        <w:t xml:space="preserve">this was used by nearly a fifth of enterprises. The second most frequently purchased type of service is </w:t>
      </w:r>
      <w:r w:rsidRPr="00B7386E">
        <w:rPr>
          <w:b/>
        </w:rPr>
        <w:t>cloud storage of files</w:t>
      </w:r>
      <w:r w:rsidRPr="00B7386E">
        <w:t xml:space="preserve">, used by 13% of entities. In January 2017, the third place belonged to the usage of </w:t>
      </w:r>
      <w:r w:rsidRPr="00B7386E">
        <w:rPr>
          <w:b/>
        </w:rPr>
        <w:t xml:space="preserve">office </w:t>
      </w:r>
      <w:r w:rsidRPr="002A3C48">
        <w:rPr>
          <w:b/>
        </w:rPr>
        <w:t>software</w:t>
      </w:r>
      <w:r w:rsidRPr="002A3C48">
        <w:rPr>
          <w:szCs w:val="20"/>
        </w:rPr>
        <w:t>,</w:t>
      </w:r>
      <w:r w:rsidRPr="002A3C48">
        <w:rPr>
          <w:b/>
        </w:rPr>
        <w:t xml:space="preserve"> </w:t>
      </w:r>
      <w:r w:rsidRPr="00B7386E">
        <w:t xml:space="preserve">by means of a cloud (11%). </w:t>
      </w:r>
    </w:p>
    <w:p w:rsidR="009B63B1" w:rsidRPr="00CF4410"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The usage of all ascertained cloud computing services is becoming more and more popular every year; the highest year-on-year increase was recorded in January 2017</w:t>
      </w:r>
      <w:r w:rsidRPr="002A3C48">
        <w:rPr>
          <w:szCs w:val="20"/>
        </w:rPr>
        <w:t>,</w:t>
      </w:r>
      <w:r w:rsidRPr="002A3C48">
        <w:t xml:space="preserve"> w</w:t>
      </w:r>
      <w:r w:rsidRPr="00B7386E">
        <w:t>ith cloud data storage and cloud office software.</w:t>
      </w:r>
    </w:p>
    <w:p w:rsidR="009B63B1" w:rsidRDefault="009B63B1" w:rsidP="009B63B1">
      <w:pPr>
        <w:autoSpaceDE w:val="0"/>
        <w:autoSpaceDN w:val="0"/>
        <w:adjustRightInd w:val="0"/>
        <w:spacing w:after="0" w:line="264" w:lineRule="auto"/>
        <w:jc w:val="both"/>
      </w:pPr>
      <w:r w:rsidRPr="00B7386E">
        <w:rPr>
          <w:noProof/>
          <w:lang w:val="cs-CZ"/>
        </w:rPr>
        <w:lastRenderedPageBreak/>
        <w:drawing>
          <wp:inline distT="0" distB="0" distL="0" distR="0" wp14:anchorId="159A0EF6" wp14:editId="523CA0B3">
            <wp:extent cx="2808000" cy="2520000"/>
            <wp:effectExtent l="0" t="0" r="0" b="0"/>
            <wp:docPr id="165" name="Graf 16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B7386E">
        <w:rPr>
          <w:noProof/>
        </w:rPr>
        <w:t xml:space="preserve"> </w:t>
      </w:r>
      <w:r w:rsidRPr="00B7386E">
        <w:rPr>
          <w:noProof/>
          <w:lang w:val="cs-CZ"/>
        </w:rPr>
        <w:drawing>
          <wp:inline distT="0" distB="0" distL="0" distR="0" wp14:anchorId="7AEDC8BE" wp14:editId="0F3B1970">
            <wp:extent cx="3240000" cy="2520000"/>
            <wp:effectExtent l="0" t="0" r="0" b="13970"/>
            <wp:docPr id="166" name="Graf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w:t>
      </w:r>
    </w:p>
    <w:p w:rsidR="009B63B1" w:rsidRPr="00B7386E" w:rsidRDefault="009B63B1" w:rsidP="009B63B1">
      <w:pPr>
        <w:pStyle w:val="Odstavecseseznamem"/>
        <w:numPr>
          <w:ilvl w:val="0"/>
          <w:numId w:val="15"/>
        </w:numPr>
        <w:tabs>
          <w:tab w:val="clear" w:pos="360"/>
        </w:tabs>
        <w:spacing w:after="80" w:line="264" w:lineRule="auto"/>
        <w:ind w:left="284" w:hanging="284"/>
        <w:jc w:val="both"/>
        <w:rPr>
          <w:rFonts w:ascii="Arial" w:hAnsi="Arial" w:cs="Arial"/>
          <w:sz w:val="20"/>
          <w:szCs w:val="20"/>
          <w:lang w:val="en-GB"/>
        </w:rPr>
      </w:pPr>
      <w:r w:rsidRPr="00B7386E">
        <w:rPr>
          <w:rFonts w:ascii="Arial" w:hAnsi="Arial" w:cs="Arial"/>
          <w:sz w:val="20"/>
          <w:lang w:val="en-GB"/>
        </w:rPr>
        <w:t xml:space="preserve">Paid cloud computing services may either be used on </w:t>
      </w:r>
      <w:r w:rsidRPr="00B7386E">
        <w:rPr>
          <w:rFonts w:ascii="Arial" w:hAnsi="Arial" w:cs="Arial"/>
          <w:b/>
          <w:sz w:val="20"/>
          <w:lang w:val="en-GB"/>
        </w:rPr>
        <w:t xml:space="preserve">shared servers </w:t>
      </w:r>
      <w:r w:rsidRPr="00B7386E">
        <w:rPr>
          <w:rFonts w:ascii="Arial" w:hAnsi="Arial" w:cs="Arial"/>
          <w:sz w:val="20"/>
          <w:lang w:val="en-GB"/>
        </w:rPr>
        <w:t xml:space="preserve">of service providers (so called public </w:t>
      </w:r>
      <w:r w:rsidRPr="002A3C48">
        <w:rPr>
          <w:rFonts w:ascii="Arial" w:hAnsi="Arial" w:cs="Arial"/>
          <w:sz w:val="20"/>
          <w:lang w:val="en-GB"/>
        </w:rPr>
        <w:t>cloud)</w:t>
      </w:r>
      <w:r w:rsidRPr="002A3C48">
        <w:rPr>
          <w:sz w:val="20"/>
          <w:szCs w:val="20"/>
          <w:lang w:val="en-GB"/>
        </w:rPr>
        <w:t>,</w:t>
      </w:r>
      <w:r w:rsidRPr="002A3C48">
        <w:rPr>
          <w:rFonts w:ascii="Arial" w:hAnsi="Arial" w:cs="Arial"/>
          <w:sz w:val="20"/>
          <w:lang w:val="en-GB"/>
        </w:rPr>
        <w:t xml:space="preserve"> </w:t>
      </w:r>
      <w:r w:rsidRPr="00B7386E">
        <w:rPr>
          <w:rFonts w:ascii="Arial" w:hAnsi="Arial" w:cs="Arial"/>
          <w:sz w:val="20"/>
          <w:lang w:val="en-GB"/>
        </w:rPr>
        <w:t xml:space="preserve">or on servers of </w:t>
      </w:r>
      <w:r w:rsidRPr="002A3C48">
        <w:rPr>
          <w:rFonts w:ascii="Arial" w:hAnsi="Arial" w:cs="Arial"/>
          <w:sz w:val="20"/>
          <w:lang w:val="en-GB"/>
        </w:rPr>
        <w:t>providers</w:t>
      </w:r>
      <w:r w:rsidRPr="002A3C48">
        <w:rPr>
          <w:sz w:val="20"/>
          <w:szCs w:val="20"/>
          <w:lang w:val="en-GB"/>
        </w:rPr>
        <w:t>,</w:t>
      </w:r>
      <w:r w:rsidRPr="00B7386E">
        <w:rPr>
          <w:rFonts w:ascii="Arial" w:hAnsi="Arial" w:cs="Arial"/>
          <w:sz w:val="20"/>
          <w:lang w:val="en-GB"/>
        </w:rPr>
        <w:t xml:space="preserve"> which are reserved directly for the given company (</w:t>
      </w:r>
      <w:r w:rsidRPr="00B7386E">
        <w:rPr>
          <w:rFonts w:ascii="Arial" w:hAnsi="Arial" w:cs="Arial"/>
          <w:b/>
          <w:sz w:val="20"/>
          <w:lang w:val="en-GB"/>
        </w:rPr>
        <w:t>so called private clouds</w:t>
      </w:r>
      <w:r w:rsidRPr="00B7386E">
        <w:rPr>
          <w:rFonts w:ascii="Arial" w:hAnsi="Arial" w:cs="Arial"/>
          <w:sz w:val="20"/>
          <w:lang w:val="en-GB"/>
        </w:rPr>
        <w:t xml:space="preserve">). A more frequently used </w:t>
      </w:r>
      <w:r w:rsidRPr="002A3C48">
        <w:rPr>
          <w:rFonts w:ascii="Arial" w:hAnsi="Arial" w:cs="Arial"/>
          <w:sz w:val="20"/>
          <w:lang w:val="en-GB"/>
        </w:rPr>
        <w:t>option</w:t>
      </w:r>
      <w:r w:rsidRPr="002A3C48">
        <w:rPr>
          <w:sz w:val="20"/>
          <w:szCs w:val="20"/>
          <w:lang w:val="en-GB"/>
        </w:rPr>
        <w:t>,</w:t>
      </w:r>
      <w:r w:rsidRPr="002A3C48">
        <w:rPr>
          <w:rFonts w:ascii="Arial" w:hAnsi="Arial" w:cs="Arial"/>
          <w:sz w:val="20"/>
          <w:lang w:val="en-GB"/>
        </w:rPr>
        <w:t xml:space="preserve"> in the Czech environment</w:t>
      </w:r>
      <w:r w:rsidRPr="002A3C48">
        <w:rPr>
          <w:sz w:val="20"/>
          <w:szCs w:val="20"/>
          <w:lang w:val="en-GB"/>
        </w:rPr>
        <w:t>,</w:t>
      </w:r>
      <w:r w:rsidRPr="002A3C48">
        <w:rPr>
          <w:rFonts w:ascii="Arial" w:hAnsi="Arial" w:cs="Arial"/>
          <w:sz w:val="20"/>
          <w:lang w:val="en-GB"/>
        </w:rPr>
        <w:t xml:space="preserve"> are shared servers</w:t>
      </w:r>
      <w:r w:rsidRPr="002A3C48">
        <w:rPr>
          <w:sz w:val="20"/>
          <w:szCs w:val="20"/>
          <w:lang w:val="en-GB"/>
        </w:rPr>
        <w:t>,</w:t>
      </w:r>
      <w:r w:rsidRPr="002A3C48">
        <w:rPr>
          <w:rFonts w:ascii="Arial" w:hAnsi="Arial" w:cs="Arial"/>
          <w:sz w:val="20"/>
          <w:lang w:val="en-GB"/>
        </w:rPr>
        <w:t xml:space="preserve"> where </w:t>
      </w:r>
      <w:r w:rsidRPr="00B7386E">
        <w:rPr>
          <w:rFonts w:ascii="Arial" w:hAnsi="Arial" w:cs="Arial"/>
          <w:sz w:val="20"/>
          <w:lang w:val="en-GB"/>
        </w:rPr>
        <w:t>a type of cloud services was used by 17% of all enterprises in January 2017 (i.e. more than three quarters of entities using cloud computing). With respect to servers reserved exclusively for the given company, 9% of entities use cloud computing services (i.e. 42% of enterprises using cloud). Private cloud is mainly used by large entities with 250+ employees.</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szCs w:val="20"/>
        </w:rPr>
      </w:pPr>
      <w:r w:rsidRPr="00B7386E">
        <w:t xml:space="preserve">The broader usage of paid cloud services is also visible in other </w:t>
      </w:r>
      <w:r w:rsidRPr="00B7386E">
        <w:rPr>
          <w:b/>
        </w:rPr>
        <w:t>EU countries</w:t>
      </w:r>
      <w:r w:rsidRPr="00B7386E">
        <w:t xml:space="preserve">. In 2016, paid cloud computing was used, on average, by over a fifth (21%) of enterprises. The greatest share was recorded in </w:t>
      </w:r>
      <w:r w:rsidRPr="002A3C48">
        <w:t>Finland</w:t>
      </w:r>
      <w:r w:rsidRPr="002A3C48">
        <w:rPr>
          <w:szCs w:val="20"/>
        </w:rPr>
        <w:t>,</w:t>
      </w:r>
      <w:r w:rsidRPr="002A3C48">
        <w:t xml:space="preserve"> </w:t>
      </w:r>
      <w:r w:rsidRPr="00B7386E">
        <w:t xml:space="preserve">where in January </w:t>
      </w:r>
      <w:r w:rsidRPr="002A3C48">
        <w:t>2017</w:t>
      </w:r>
      <w:r w:rsidRPr="002A3C48">
        <w:rPr>
          <w:szCs w:val="20"/>
        </w:rPr>
        <w:t>,</w:t>
      </w:r>
      <w:r w:rsidRPr="00B7386E">
        <w:t xml:space="preserve"> it was used by two thirds of enterprises with 10+ employees; in </w:t>
      </w:r>
      <w:r w:rsidRPr="002A3C48">
        <w:t>Denmark</w:t>
      </w:r>
      <w:r w:rsidRPr="002A3C48">
        <w:rPr>
          <w:szCs w:val="20"/>
        </w:rPr>
        <w:t>,</w:t>
      </w:r>
      <w:r w:rsidRPr="002A3C48">
        <w:t xml:space="preserve"> it </w:t>
      </w:r>
      <w:r>
        <w:t xml:space="preserve">was a half of all enterprises. </w:t>
      </w:r>
      <w:r w:rsidRPr="00B7386E">
        <w:t>In comparison with other EU countries, the usage of cloud computing by Czech companies is average.</w:t>
      </w:r>
    </w:p>
    <w:p w:rsidR="009B63B1" w:rsidRPr="00B7386E" w:rsidRDefault="009B63B1" w:rsidP="009B63B1">
      <w:pPr>
        <w:autoSpaceDE w:val="0"/>
        <w:autoSpaceDN w:val="0"/>
        <w:adjustRightInd w:val="0"/>
        <w:spacing w:after="100" w:line="264" w:lineRule="auto"/>
        <w:jc w:val="both"/>
        <w:rPr>
          <w:rFonts w:cs="Arial"/>
          <w:szCs w:val="20"/>
        </w:rPr>
      </w:pPr>
      <w:r>
        <w:rPr>
          <w:noProof/>
          <w:lang w:val="cs-CZ"/>
        </w:rPr>
        <w:drawing>
          <wp:inline distT="0" distB="0" distL="0" distR="0" wp14:anchorId="694B8D44" wp14:editId="127750A8">
            <wp:extent cx="6048000" cy="3492000"/>
            <wp:effectExtent l="0" t="0" r="0" b="13335"/>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B7386E">
        <w:t xml:space="preserve"> </w:t>
      </w:r>
    </w:p>
    <w:p w:rsidR="002875D6" w:rsidRDefault="002875D6">
      <w:pPr>
        <w:spacing w:after="0" w:line="240" w:lineRule="auto"/>
        <w:rPr>
          <w:rFonts w:eastAsia="MS Gothic"/>
          <w:b/>
          <w:bCs/>
          <w:color w:val="009BB4"/>
          <w:sz w:val="24"/>
        </w:rPr>
      </w:pPr>
      <w:bookmarkStart w:id="131" w:name="_Toc533697532"/>
      <w:r>
        <w:br w:type="page"/>
      </w:r>
    </w:p>
    <w:p w:rsidR="009B63B1" w:rsidRPr="00354A2B" w:rsidRDefault="009B63B1" w:rsidP="002875D6">
      <w:pPr>
        <w:pStyle w:val="Nadpis3"/>
        <w:spacing w:before="0"/>
      </w:pPr>
      <w:bookmarkStart w:id="132" w:name="_Toc534712031"/>
      <w:r w:rsidRPr="00354A2B">
        <w:lastRenderedPageBreak/>
        <w:t>Enterprises using selected software applications</w:t>
      </w:r>
      <w:bookmarkEnd w:id="131"/>
      <w:bookmarkEnd w:id="132"/>
    </w:p>
    <w:p w:rsidR="009B63B1" w:rsidRDefault="009B63B1" w:rsidP="009B63B1">
      <w:pPr>
        <w:pStyle w:val="Zkladntext"/>
        <w:spacing w:before="0" w:after="80" w:line="264" w:lineRule="auto"/>
        <w:rPr>
          <w:i/>
          <w:sz w:val="20"/>
          <w:szCs w:val="20"/>
          <w:lang w:val="en-GB"/>
        </w:rPr>
      </w:pPr>
      <w:r w:rsidRPr="00012EF2">
        <w:rPr>
          <w:i/>
          <w:sz w:val="20"/>
          <w:szCs w:val="20"/>
          <w:lang w:val="en-GB"/>
        </w:rPr>
        <w:t>Company information system</w:t>
      </w:r>
      <w:r w:rsidRPr="006A51F1">
        <w:rPr>
          <w:i/>
          <w:sz w:val="20"/>
          <w:szCs w:val="20"/>
          <w:lang w:val="en-GB"/>
        </w:rPr>
        <w:t>s</w:t>
      </w:r>
      <w:r w:rsidRPr="006A51F1">
        <w:rPr>
          <w:i/>
          <w:sz w:val="20"/>
          <w:szCs w:val="20"/>
        </w:rPr>
        <w:t>,</w:t>
      </w:r>
      <w:r w:rsidRPr="006A51F1">
        <w:rPr>
          <w:i/>
          <w:sz w:val="20"/>
          <w:szCs w:val="20"/>
          <w:lang w:val="en-GB"/>
        </w:rPr>
        <w:t xml:space="preserve"> </w:t>
      </w:r>
      <w:r w:rsidRPr="00012EF2">
        <w:rPr>
          <w:i/>
          <w:sz w:val="20"/>
          <w:szCs w:val="20"/>
          <w:lang w:val="en-GB"/>
        </w:rPr>
        <w:t>and software applications supporting administration and financial processes, HR management, production, warehouse management systems, service</w:t>
      </w:r>
      <w:r w:rsidRPr="006A51F1">
        <w:rPr>
          <w:i/>
          <w:sz w:val="20"/>
          <w:szCs w:val="20"/>
        </w:rPr>
        <w:t>,</w:t>
      </w:r>
      <w:r w:rsidRPr="00012EF2">
        <w:rPr>
          <w:i/>
          <w:sz w:val="20"/>
          <w:szCs w:val="20"/>
          <w:lang w:val="en-GB"/>
        </w:rPr>
        <w:t xml:space="preserve"> and seeking customers or supply chains</w:t>
      </w:r>
      <w:r w:rsidRPr="006A51F1">
        <w:rPr>
          <w:i/>
          <w:sz w:val="20"/>
          <w:szCs w:val="20"/>
        </w:rPr>
        <w:t>,</w:t>
      </w:r>
      <w:r w:rsidRPr="00012EF2">
        <w:rPr>
          <w:i/>
          <w:sz w:val="20"/>
          <w:szCs w:val="20"/>
          <w:lang w:val="en-GB"/>
        </w:rPr>
        <w:t xml:space="preserve"> serve for more efficient decision-making based on more accurate information and data. There are various kinds of systems</w:t>
      </w:r>
      <w:r w:rsidRPr="006A51F1">
        <w:rPr>
          <w:i/>
          <w:sz w:val="20"/>
          <w:szCs w:val="20"/>
        </w:rPr>
        <w:t>,</w:t>
      </w:r>
      <w:r w:rsidRPr="006A51F1">
        <w:rPr>
          <w:i/>
          <w:sz w:val="20"/>
          <w:szCs w:val="20"/>
          <w:lang w:val="en-GB"/>
        </w:rPr>
        <w:t xml:space="preserve"> </w:t>
      </w:r>
      <w:r w:rsidRPr="00012EF2">
        <w:rPr>
          <w:i/>
          <w:sz w:val="20"/>
          <w:szCs w:val="20"/>
          <w:lang w:val="en-GB"/>
        </w:rPr>
        <w:t>and application</w:t>
      </w:r>
      <w:r w:rsidRPr="006A51F1">
        <w:rPr>
          <w:i/>
          <w:sz w:val="20"/>
          <w:szCs w:val="20"/>
          <w:lang w:val="en-GB"/>
        </w:rPr>
        <w:t>s</w:t>
      </w:r>
      <w:r w:rsidRPr="006A51F1">
        <w:rPr>
          <w:i/>
          <w:sz w:val="20"/>
          <w:szCs w:val="20"/>
        </w:rPr>
        <w:t>,</w:t>
      </w:r>
      <w:r w:rsidRPr="006A51F1">
        <w:rPr>
          <w:i/>
          <w:sz w:val="20"/>
          <w:szCs w:val="20"/>
          <w:lang w:val="en-GB"/>
        </w:rPr>
        <w:t xml:space="preserve"> </w:t>
      </w:r>
      <w:r w:rsidRPr="00012EF2">
        <w:rPr>
          <w:i/>
          <w:sz w:val="20"/>
          <w:szCs w:val="20"/>
          <w:lang w:val="en-GB"/>
        </w:rPr>
        <w:t>supported by various technologies. Along with the gradual creation of company ICT infrastructure, launching of economic and operational information system</w:t>
      </w:r>
      <w:r w:rsidRPr="006A51F1">
        <w:rPr>
          <w:i/>
          <w:sz w:val="20"/>
          <w:szCs w:val="20"/>
          <w:lang w:val="en-GB"/>
        </w:rPr>
        <w:t>s</w:t>
      </w:r>
      <w:r w:rsidRPr="006A51F1">
        <w:rPr>
          <w:i/>
          <w:sz w:val="20"/>
          <w:szCs w:val="20"/>
        </w:rPr>
        <w:t>,</w:t>
      </w:r>
      <w:r w:rsidRPr="006A51F1">
        <w:rPr>
          <w:i/>
          <w:sz w:val="20"/>
          <w:szCs w:val="20"/>
          <w:lang w:val="en-GB"/>
        </w:rPr>
        <w:t xml:space="preserve"> </w:t>
      </w:r>
      <w:r w:rsidRPr="00012EF2">
        <w:rPr>
          <w:i/>
          <w:sz w:val="20"/>
          <w:szCs w:val="20"/>
          <w:lang w:val="en-GB"/>
        </w:rPr>
        <w:t>and their automated interconnection or integratio</w:t>
      </w:r>
      <w:r w:rsidRPr="006A51F1">
        <w:rPr>
          <w:i/>
          <w:sz w:val="20"/>
          <w:szCs w:val="20"/>
          <w:lang w:val="en-GB"/>
        </w:rPr>
        <w:t>n</w:t>
      </w:r>
      <w:r w:rsidRPr="006A51F1">
        <w:rPr>
          <w:i/>
          <w:sz w:val="20"/>
          <w:szCs w:val="20"/>
        </w:rPr>
        <w:t>,</w:t>
      </w:r>
      <w:r w:rsidRPr="006A51F1">
        <w:rPr>
          <w:i/>
          <w:sz w:val="20"/>
          <w:szCs w:val="20"/>
          <w:lang w:val="en-GB"/>
        </w:rPr>
        <w:t xml:space="preserve"> </w:t>
      </w:r>
      <w:r w:rsidRPr="00012EF2">
        <w:rPr>
          <w:i/>
          <w:sz w:val="20"/>
          <w:szCs w:val="20"/>
          <w:lang w:val="en-GB"/>
        </w:rPr>
        <w:t>enable fast and accurate real-time decision-making. Within the surve</w:t>
      </w:r>
      <w:r w:rsidRPr="006A51F1">
        <w:rPr>
          <w:i/>
          <w:sz w:val="20"/>
          <w:szCs w:val="20"/>
          <w:lang w:val="en-GB"/>
        </w:rPr>
        <w:t>y</w:t>
      </w:r>
      <w:r w:rsidRPr="006A51F1">
        <w:rPr>
          <w:i/>
          <w:sz w:val="20"/>
          <w:szCs w:val="20"/>
        </w:rPr>
        <w:t>,</w:t>
      </w:r>
      <w:r w:rsidRPr="006A51F1">
        <w:rPr>
          <w:i/>
          <w:sz w:val="20"/>
          <w:szCs w:val="20"/>
          <w:lang w:val="en-GB"/>
        </w:rPr>
        <w:t xml:space="preserve"> </w:t>
      </w:r>
      <w:r w:rsidRPr="00012EF2">
        <w:rPr>
          <w:i/>
          <w:sz w:val="20"/>
          <w:szCs w:val="20"/>
          <w:lang w:val="en-GB"/>
        </w:rPr>
        <w:t>conducted by the Czech Statistical Office, enterprises are questioned about their usage of the following three information systems: ERP, CRM, and SCM.</w:t>
      </w:r>
    </w:p>
    <w:p w:rsidR="009B63B1" w:rsidRPr="00012EF2" w:rsidRDefault="009B63B1" w:rsidP="009B63B1">
      <w:pPr>
        <w:pStyle w:val="Zkladntext"/>
        <w:spacing w:before="0" w:after="80" w:line="264" w:lineRule="auto"/>
        <w:rPr>
          <w:i/>
          <w:sz w:val="20"/>
          <w:szCs w:val="20"/>
          <w:lang w:val="en-GB"/>
        </w:rPr>
      </w:pPr>
      <w:r>
        <w:rPr>
          <w:i/>
          <w:sz w:val="20"/>
          <w:szCs w:val="20"/>
          <w:lang w:val="en-GB"/>
        </w:rPr>
        <w:t>Also t</w:t>
      </w:r>
      <w:r w:rsidRPr="00FA0924">
        <w:rPr>
          <w:i/>
          <w:sz w:val="20"/>
          <w:szCs w:val="20"/>
          <w:lang w:val="en-GB"/>
        </w:rPr>
        <w:t>he us</w:t>
      </w:r>
      <w:r>
        <w:rPr>
          <w:i/>
          <w:sz w:val="20"/>
          <w:szCs w:val="20"/>
          <w:lang w:val="en-GB"/>
        </w:rPr>
        <w:t>age</w:t>
      </w:r>
      <w:r w:rsidRPr="00FA0924">
        <w:rPr>
          <w:i/>
          <w:sz w:val="20"/>
          <w:szCs w:val="20"/>
          <w:lang w:val="en-GB"/>
        </w:rPr>
        <w:t xml:space="preserve"> of these </w:t>
      </w:r>
      <w:r>
        <w:rPr>
          <w:i/>
          <w:sz w:val="20"/>
          <w:szCs w:val="20"/>
          <w:lang w:val="en-GB"/>
        </w:rPr>
        <w:t xml:space="preserve">software </w:t>
      </w:r>
      <w:r w:rsidRPr="00FA0924">
        <w:rPr>
          <w:i/>
          <w:sz w:val="20"/>
          <w:szCs w:val="20"/>
          <w:lang w:val="en-GB"/>
        </w:rPr>
        <w:t>applications differs, sometimes significantly, between large and small businesses, but also between industr</w:t>
      </w:r>
      <w:r>
        <w:rPr>
          <w:i/>
          <w:sz w:val="20"/>
          <w:szCs w:val="20"/>
          <w:lang w:val="en-GB"/>
        </w:rPr>
        <w:t>ies</w:t>
      </w:r>
      <w:r w:rsidRPr="00FA0924">
        <w:rPr>
          <w:i/>
          <w:sz w:val="20"/>
          <w:szCs w:val="20"/>
          <w:lang w:val="en-GB"/>
        </w:rPr>
        <w:t>. In the manufacturing industry, the use of ICT to support business processes has focused more on the production and distribution chain, while in the services sector it has been used more for marketing and customer services. ERP software is used more in manufacturing and in trade, while CRM software is more common in business services. These differences can be explained quite easily, as they show a rational use of ICT in different companies.</w:t>
      </w:r>
      <w:r w:rsidRPr="00012EF2">
        <w:rPr>
          <w:i/>
          <w:sz w:val="20"/>
          <w:szCs w:val="20"/>
          <w:lang w:val="en-GB"/>
        </w:rPr>
        <w:t xml:space="preserve"> </w:t>
      </w:r>
    </w:p>
    <w:p w:rsidR="009B63B1" w:rsidRPr="00B7386E" w:rsidRDefault="009B63B1" w:rsidP="009B63B1">
      <w:pPr>
        <w:pStyle w:val="Zkladntext"/>
        <w:numPr>
          <w:ilvl w:val="0"/>
          <w:numId w:val="28"/>
        </w:numPr>
        <w:spacing w:before="0" w:after="80" w:line="264" w:lineRule="auto"/>
        <w:ind w:left="284" w:hanging="284"/>
        <w:rPr>
          <w:rFonts w:cs="Arial"/>
          <w:sz w:val="20"/>
          <w:lang w:val="en-GB"/>
        </w:rPr>
      </w:pPr>
      <w:r w:rsidRPr="00B7386E">
        <w:rPr>
          <w:sz w:val="20"/>
          <w:lang w:val="en-GB"/>
        </w:rPr>
        <w:t xml:space="preserve">In 2017, </w:t>
      </w:r>
      <w:r w:rsidRPr="006A51F1">
        <w:rPr>
          <w:sz w:val="20"/>
          <w:lang w:val="en-GB"/>
        </w:rPr>
        <w:t>the</w:t>
      </w:r>
      <w:r>
        <w:rPr>
          <w:color w:val="FF0000"/>
          <w:sz w:val="20"/>
          <w:lang w:val="en-GB"/>
        </w:rPr>
        <w:t xml:space="preserve"> </w:t>
      </w:r>
      <w:r w:rsidRPr="00B7386E">
        <w:rPr>
          <w:b/>
          <w:sz w:val="20"/>
          <w:lang w:val="en-GB"/>
        </w:rPr>
        <w:t>ERP</w:t>
      </w:r>
      <w:r w:rsidRPr="00B7386E">
        <w:rPr>
          <w:sz w:val="20"/>
          <w:lang w:val="en-GB"/>
        </w:rPr>
        <w:t xml:space="preserve"> </w:t>
      </w:r>
      <w:r w:rsidRPr="00B7386E">
        <w:rPr>
          <w:b/>
          <w:sz w:val="20"/>
          <w:lang w:val="en-GB"/>
        </w:rPr>
        <w:t>system</w:t>
      </w:r>
      <w:r w:rsidRPr="006A51F1">
        <w:rPr>
          <w:rStyle w:val="Znakapoznpodarou"/>
          <w:sz w:val="20"/>
          <w:lang w:val="en-GB"/>
        </w:rPr>
        <w:footnoteReference w:id="42"/>
      </w:r>
      <w:r w:rsidRPr="00B7386E">
        <w:rPr>
          <w:sz w:val="20"/>
          <w:lang w:val="en-GB"/>
        </w:rPr>
        <w:t>, designated for information sharing between various pr</w:t>
      </w:r>
      <w:r>
        <w:rPr>
          <w:sz w:val="20"/>
          <w:lang w:val="en-GB"/>
        </w:rPr>
        <w:t xml:space="preserve">oduction areas, was </w:t>
      </w:r>
      <w:r w:rsidRPr="006A51F1">
        <w:rPr>
          <w:sz w:val="20"/>
          <w:lang w:val="en-GB"/>
        </w:rPr>
        <w:t xml:space="preserve">used by 28% of economic entities with 10+ employees in the Czech Republic. </w:t>
      </w:r>
      <w:r w:rsidRPr="00B7386E">
        <w:rPr>
          <w:sz w:val="20"/>
          <w:lang w:val="en-GB"/>
        </w:rPr>
        <w:t xml:space="preserve">This information system </w:t>
      </w:r>
      <w:r w:rsidRPr="00B7386E">
        <w:rPr>
          <w:b/>
          <w:sz w:val="20"/>
          <w:lang w:val="en-GB"/>
        </w:rPr>
        <w:t>was more frequently used by large enterprises</w:t>
      </w:r>
      <w:r w:rsidRPr="00B7386E">
        <w:rPr>
          <w:sz w:val="20"/>
          <w:lang w:val="en-GB"/>
        </w:rPr>
        <w:t xml:space="preserve"> rather than</w:t>
      </w:r>
      <w:r w:rsidRPr="00B7386E">
        <w:rPr>
          <w:b/>
          <w:sz w:val="20"/>
          <w:lang w:val="en-GB"/>
        </w:rPr>
        <w:t xml:space="preserve"> </w:t>
      </w:r>
      <w:r w:rsidRPr="00B7386E">
        <w:rPr>
          <w:sz w:val="20"/>
          <w:lang w:val="en-GB"/>
        </w:rPr>
        <w:t xml:space="preserve">small ones (more than 77% of large ones, a fifth of small ones). With respect to sectors, ERP is mainly used by enterprises </w:t>
      </w:r>
      <w:r w:rsidRPr="00B7386E">
        <w:rPr>
          <w:b/>
          <w:sz w:val="20"/>
          <w:lang w:val="en-GB"/>
        </w:rPr>
        <w:t>active in IT and in wholesale</w:t>
      </w:r>
      <w:r w:rsidRPr="00B7386E">
        <w:rPr>
          <w:sz w:val="20"/>
          <w:lang w:val="en-GB"/>
        </w:rPr>
        <w:t xml:space="preserve">; </w:t>
      </w:r>
      <w:r w:rsidRPr="006A51F1">
        <w:rPr>
          <w:sz w:val="20"/>
          <w:lang w:val="en-GB"/>
        </w:rPr>
        <w:t>opposed to this are</w:t>
      </w:r>
      <w:r w:rsidRPr="00B7386E">
        <w:rPr>
          <w:sz w:val="20"/>
          <w:lang w:val="en-GB"/>
        </w:rPr>
        <w:t xml:space="preserve"> the least frequent users </w:t>
      </w:r>
      <w:r w:rsidRPr="006A51F1">
        <w:rPr>
          <w:sz w:val="20"/>
          <w:lang w:val="en-GB"/>
        </w:rPr>
        <w:t xml:space="preserve">found </w:t>
      </w:r>
      <w:r w:rsidRPr="00B7386E">
        <w:rPr>
          <w:sz w:val="20"/>
          <w:lang w:val="en-GB"/>
        </w:rPr>
        <w:t>in food and beverage services (6%).</w:t>
      </w:r>
    </w:p>
    <w:p w:rsidR="009B63B1" w:rsidRPr="00B7386E" w:rsidRDefault="009B63B1" w:rsidP="009B63B1">
      <w:pPr>
        <w:numPr>
          <w:ilvl w:val="0"/>
          <w:numId w:val="28"/>
        </w:numPr>
        <w:tabs>
          <w:tab w:val="left" w:pos="284"/>
        </w:tabs>
        <w:autoSpaceDE w:val="0"/>
        <w:autoSpaceDN w:val="0"/>
        <w:adjustRightInd w:val="0"/>
        <w:spacing w:after="80" w:line="264" w:lineRule="auto"/>
        <w:ind w:left="284" w:hanging="284"/>
        <w:jc w:val="both"/>
        <w:rPr>
          <w:rFonts w:cs="Arial"/>
        </w:rPr>
      </w:pPr>
      <w:r w:rsidRPr="006A51F1">
        <w:t>The</w:t>
      </w:r>
      <w:r w:rsidRPr="006A51F1">
        <w:rPr>
          <w:b/>
        </w:rPr>
        <w:t xml:space="preserve"> C</w:t>
      </w:r>
      <w:r w:rsidRPr="00B7386E">
        <w:rPr>
          <w:b/>
        </w:rPr>
        <w:t>RM</w:t>
      </w:r>
      <w:r w:rsidRPr="00B7386E">
        <w:t xml:space="preserve"> </w:t>
      </w:r>
      <w:r w:rsidRPr="00B7386E">
        <w:rPr>
          <w:b/>
        </w:rPr>
        <w:t>system</w:t>
      </w:r>
      <w:r w:rsidRPr="00B7386E">
        <w:t xml:space="preserve">, serving primarily for the collection and assessment of </w:t>
      </w:r>
      <w:r w:rsidRPr="00B7386E">
        <w:rPr>
          <w:b/>
        </w:rPr>
        <w:t xml:space="preserve">customer </w:t>
      </w:r>
      <w:r w:rsidRPr="006A51F1">
        <w:rPr>
          <w:b/>
        </w:rPr>
        <w:t>information</w:t>
      </w:r>
      <w:r w:rsidRPr="006A51F1">
        <w:rPr>
          <w:szCs w:val="20"/>
        </w:rPr>
        <w:t>,</w:t>
      </w:r>
      <w:r w:rsidRPr="00B7386E">
        <w:t xml:space="preserve"> was used by 21% of enterprises. </w:t>
      </w:r>
      <w:r>
        <w:t xml:space="preserve">The </w:t>
      </w:r>
      <w:r w:rsidRPr="00B7386E">
        <w:t>CRM</w:t>
      </w:r>
      <w:r w:rsidRPr="006A51F1">
        <w:rPr>
          <w:szCs w:val="20"/>
        </w:rPr>
        <w:t>,</w:t>
      </w:r>
      <w:r w:rsidRPr="006A51F1">
        <w:t xml:space="preserve"> as well as the </w:t>
      </w:r>
      <w:r w:rsidRPr="00B7386E">
        <w:t xml:space="preserve">ERP </w:t>
      </w:r>
      <w:r w:rsidRPr="006A51F1">
        <w:t>system</w:t>
      </w:r>
      <w:r w:rsidRPr="006A51F1">
        <w:rPr>
          <w:szCs w:val="20"/>
        </w:rPr>
        <w:t>,</w:t>
      </w:r>
      <w:r w:rsidRPr="006A51F1">
        <w:t xml:space="preserve"> is </w:t>
      </w:r>
      <w:r w:rsidRPr="006A51F1">
        <w:rPr>
          <w:b/>
        </w:rPr>
        <w:t xml:space="preserve">more </w:t>
      </w:r>
      <w:r w:rsidRPr="00B7386E">
        <w:rPr>
          <w:b/>
        </w:rPr>
        <w:t xml:space="preserve">frequently used by large enterprises </w:t>
      </w:r>
      <w:r w:rsidRPr="00B7386E">
        <w:t xml:space="preserve">than small ones. The system for administration and usage of customer information in the Czech Republic is much more used by </w:t>
      </w:r>
      <w:r w:rsidRPr="00B7386E">
        <w:rPr>
          <w:b/>
        </w:rPr>
        <w:t xml:space="preserve">IT and telecommunication enterprises </w:t>
      </w:r>
      <w:r w:rsidRPr="00B7386E">
        <w:t>(more</w:t>
      </w:r>
      <w:r w:rsidRPr="00B7386E">
        <w:rPr>
          <w:b/>
        </w:rPr>
        <w:t xml:space="preserve"> </w:t>
      </w:r>
      <w:r w:rsidRPr="00B7386E">
        <w:t>than a half of them</w:t>
      </w:r>
      <w:r w:rsidRPr="006A51F1">
        <w:t>)</w:t>
      </w:r>
      <w:r w:rsidRPr="006A51F1">
        <w:rPr>
          <w:szCs w:val="20"/>
        </w:rPr>
        <w:t>,</w:t>
      </w:r>
      <w:r w:rsidRPr="006A51F1">
        <w:t xml:space="preserve"> as well as </w:t>
      </w:r>
      <w:r w:rsidRPr="00B7386E">
        <w:t>by enterprises active in media sector (46% in 2017).</w:t>
      </w:r>
    </w:p>
    <w:p w:rsidR="009B63B1" w:rsidRDefault="009B63B1" w:rsidP="009B63B1">
      <w:pPr>
        <w:tabs>
          <w:tab w:val="left" w:pos="284"/>
        </w:tabs>
        <w:autoSpaceDE w:val="0"/>
        <w:autoSpaceDN w:val="0"/>
        <w:adjustRightInd w:val="0"/>
        <w:spacing w:after="40"/>
        <w:jc w:val="both"/>
      </w:pPr>
      <w:r w:rsidRPr="00B7386E">
        <w:rPr>
          <w:noProof/>
          <w:lang w:val="cs-CZ"/>
        </w:rPr>
        <w:drawing>
          <wp:inline distT="0" distB="0" distL="0" distR="0" wp14:anchorId="065E068A" wp14:editId="602D96E0">
            <wp:extent cx="2988000" cy="3060000"/>
            <wp:effectExtent l="0" t="0" r="3175" b="7620"/>
            <wp:docPr id="168" name="Graf 168">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B7386E">
        <w:rPr>
          <w:noProof/>
        </w:rPr>
        <w:t xml:space="preserve"> </w:t>
      </w:r>
      <w:r w:rsidRPr="00B7386E">
        <w:rPr>
          <w:noProof/>
          <w:lang w:val="cs-CZ"/>
        </w:rPr>
        <w:drawing>
          <wp:inline distT="0" distB="0" distL="0" distR="0" wp14:anchorId="5001F8CC" wp14:editId="76B299C0">
            <wp:extent cx="2988000" cy="3060000"/>
            <wp:effectExtent l="0" t="0" r="3175" b="7620"/>
            <wp:docPr id="169" name="Graf 169">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size class</w:t>
      </w:r>
    </w:p>
    <w:p w:rsidR="009B63B1" w:rsidRPr="00B7386E" w:rsidRDefault="009B63B1" w:rsidP="009B63B1">
      <w:pPr>
        <w:numPr>
          <w:ilvl w:val="0"/>
          <w:numId w:val="28"/>
        </w:numPr>
        <w:tabs>
          <w:tab w:val="left" w:pos="284"/>
        </w:tabs>
        <w:autoSpaceDE w:val="0"/>
        <w:autoSpaceDN w:val="0"/>
        <w:adjustRightInd w:val="0"/>
        <w:spacing w:after="80" w:line="264" w:lineRule="auto"/>
        <w:ind w:left="284" w:hanging="284"/>
        <w:jc w:val="both"/>
        <w:rPr>
          <w:rFonts w:cs="Arial"/>
        </w:rPr>
      </w:pPr>
      <w:r w:rsidRPr="00B7386E">
        <w:lastRenderedPageBreak/>
        <w:t xml:space="preserve">In </w:t>
      </w:r>
      <w:r w:rsidRPr="006A51F1">
        <w:t>January 2017</w:t>
      </w:r>
      <w:r w:rsidRPr="006A51F1">
        <w:rPr>
          <w:szCs w:val="20"/>
        </w:rPr>
        <w:t>,</w:t>
      </w:r>
      <w:r w:rsidRPr="006A51F1">
        <w:t xml:space="preserve"> </w:t>
      </w:r>
      <w:r w:rsidRPr="00B7386E">
        <w:t xml:space="preserve">nearly a fifth (18%) of enterprises in the Czech Republic stated </w:t>
      </w:r>
      <w:r w:rsidRPr="006A51F1">
        <w:t xml:space="preserve">that they were </w:t>
      </w:r>
      <w:r w:rsidRPr="00B7386E">
        <w:t xml:space="preserve">using </w:t>
      </w:r>
      <w:r w:rsidRPr="006A51F1">
        <w:t>the</w:t>
      </w:r>
      <w:r w:rsidRPr="006D58FE">
        <w:rPr>
          <w:color w:val="FF0000"/>
        </w:rPr>
        <w:t xml:space="preserve"> </w:t>
      </w:r>
      <w:r w:rsidRPr="00B7386E">
        <w:t xml:space="preserve">CRM system in order </w:t>
      </w:r>
      <w:r w:rsidRPr="00B7386E">
        <w:rPr>
          <w:b/>
        </w:rPr>
        <w:t xml:space="preserve">to gain, store, and access customer information </w:t>
      </w:r>
      <w:r w:rsidRPr="00B7386E">
        <w:t xml:space="preserve">for other functional areas of their enterprises. 16% of enterprises used this system in the same period </w:t>
      </w:r>
      <w:r w:rsidRPr="00B7386E">
        <w:rPr>
          <w:b/>
        </w:rPr>
        <w:t>to analyse customer data</w:t>
      </w:r>
      <w:r w:rsidRPr="00B7386E">
        <w:t xml:space="preserve">, e.g. in order to set a price policy and </w:t>
      </w:r>
      <w:r w:rsidRPr="006A51F1">
        <w:t>discounts</w:t>
      </w:r>
      <w:r w:rsidRPr="006A51F1">
        <w:rPr>
          <w:szCs w:val="20"/>
        </w:rPr>
        <w:t>,</w:t>
      </w:r>
      <w:r w:rsidRPr="006A51F1">
        <w:t xml:space="preserve"> </w:t>
      </w:r>
      <w:r w:rsidRPr="00B7386E">
        <w:t>or in order to set a suitable means of communication and promotion for a given customer group.</w:t>
      </w:r>
    </w:p>
    <w:p w:rsidR="009B63B1" w:rsidRPr="00B7386E" w:rsidRDefault="009B63B1" w:rsidP="009B63B1">
      <w:pPr>
        <w:numPr>
          <w:ilvl w:val="0"/>
          <w:numId w:val="28"/>
        </w:numPr>
        <w:autoSpaceDE w:val="0"/>
        <w:autoSpaceDN w:val="0"/>
        <w:adjustRightInd w:val="0"/>
        <w:spacing w:after="80" w:line="264" w:lineRule="auto"/>
        <w:ind w:left="284" w:hanging="284"/>
        <w:jc w:val="both"/>
        <w:rPr>
          <w:rFonts w:cs="Arial"/>
        </w:rPr>
      </w:pPr>
      <w:r w:rsidRPr="00B7386E">
        <w:t>In January 2017</w:t>
      </w:r>
      <w:r w:rsidRPr="006A51F1">
        <w:rPr>
          <w:szCs w:val="20"/>
        </w:rPr>
        <w:t>,</w:t>
      </w:r>
      <w:r w:rsidRPr="00B7386E">
        <w:t xml:space="preserve"> there were still nearly 70% of Czech enterprises which had neither used </w:t>
      </w:r>
      <w:r w:rsidRPr="006A51F1">
        <w:t xml:space="preserve">the </w:t>
      </w:r>
      <w:r w:rsidRPr="00B7386E">
        <w:t xml:space="preserve">ERP nor </w:t>
      </w:r>
      <w:r w:rsidRPr="006A51F1">
        <w:t xml:space="preserve">the </w:t>
      </w:r>
      <w:r w:rsidRPr="00B7386E">
        <w:t xml:space="preserve">CRM system. Neither of these information systems is used by small </w:t>
      </w:r>
      <w:r w:rsidRPr="006A51F1">
        <w:t>entities</w:t>
      </w:r>
      <w:r w:rsidRPr="006A51F1">
        <w:rPr>
          <w:szCs w:val="20"/>
        </w:rPr>
        <w:t>,</w:t>
      </w:r>
      <w:r w:rsidRPr="00B7386E">
        <w:t xml:space="preserve"> or enterprises providing food and beverage services (more than 90% of those). They are also hardly used in the </w:t>
      </w:r>
      <w:r w:rsidRPr="006A51F1">
        <w:t xml:space="preserve">construction </w:t>
      </w:r>
      <w:r w:rsidRPr="00B7386E">
        <w:t xml:space="preserve">sector, </w:t>
      </w:r>
      <w:r w:rsidRPr="006A51F1">
        <w:t>in t</w:t>
      </w:r>
      <w:r w:rsidRPr="00B7386E">
        <w:t>ransport and storage, retail trade, accommodation, real estate activities or administrative</w:t>
      </w:r>
      <w:r w:rsidRPr="006A51F1">
        <w:rPr>
          <w:szCs w:val="20"/>
        </w:rPr>
        <w:t>,</w:t>
      </w:r>
      <w:r w:rsidRPr="006A51F1">
        <w:t xml:space="preserve"> </w:t>
      </w:r>
      <w:r w:rsidRPr="00B7386E">
        <w:t xml:space="preserve">and support activities. The reason for this may be the fact that these systems </w:t>
      </w:r>
      <w:r>
        <w:t>are very expensive to purchase.</w:t>
      </w:r>
    </w:p>
    <w:p w:rsidR="009B63B1" w:rsidRPr="00B7386E" w:rsidRDefault="009B63B1" w:rsidP="009B63B1">
      <w:pPr>
        <w:pStyle w:val="Zkladntext"/>
        <w:numPr>
          <w:ilvl w:val="0"/>
          <w:numId w:val="28"/>
        </w:numPr>
        <w:spacing w:before="0" w:after="80" w:line="264" w:lineRule="auto"/>
        <w:ind w:left="284" w:hanging="284"/>
        <w:rPr>
          <w:rFonts w:cs="Arial"/>
          <w:sz w:val="20"/>
          <w:lang w:val="en-GB"/>
        </w:rPr>
      </w:pPr>
      <w:r w:rsidRPr="00B7386E">
        <w:rPr>
          <w:sz w:val="20"/>
          <w:lang w:val="en-GB"/>
        </w:rPr>
        <w:t xml:space="preserve">With respect to using the aforementioned information systems, the Czech Republic </w:t>
      </w:r>
      <w:r w:rsidRPr="006A51F1">
        <w:rPr>
          <w:sz w:val="20"/>
          <w:lang w:val="en-GB"/>
        </w:rPr>
        <w:t xml:space="preserve">finds itself </w:t>
      </w:r>
      <w:r w:rsidRPr="00B7386E">
        <w:rPr>
          <w:sz w:val="20"/>
          <w:lang w:val="en-GB"/>
        </w:rPr>
        <w:t xml:space="preserve">below the EU average. In January 2017, </w:t>
      </w:r>
      <w:r w:rsidRPr="006A51F1">
        <w:rPr>
          <w:sz w:val="20"/>
          <w:szCs w:val="20"/>
          <w:lang w:val="en-GB"/>
        </w:rPr>
        <w:t>ERP</w:t>
      </w:r>
      <w:r w:rsidRPr="006A51F1">
        <w:rPr>
          <w:sz w:val="20"/>
          <w:szCs w:val="20"/>
        </w:rPr>
        <w:t>,</w:t>
      </w:r>
      <w:r w:rsidRPr="006A51F1">
        <w:rPr>
          <w:sz w:val="20"/>
          <w:szCs w:val="20"/>
          <w:lang w:val="en-GB"/>
        </w:rPr>
        <w:t xml:space="preserve"> </w:t>
      </w:r>
      <w:r w:rsidRPr="006D58FE">
        <w:rPr>
          <w:sz w:val="20"/>
          <w:szCs w:val="20"/>
          <w:lang w:val="en-GB"/>
        </w:rPr>
        <w:t xml:space="preserve">as well as </w:t>
      </w:r>
      <w:r w:rsidRPr="006A51F1">
        <w:rPr>
          <w:sz w:val="20"/>
          <w:szCs w:val="20"/>
          <w:lang w:val="en-GB"/>
        </w:rPr>
        <w:t>CRM</w:t>
      </w:r>
      <w:r w:rsidRPr="006A51F1">
        <w:rPr>
          <w:sz w:val="20"/>
          <w:szCs w:val="20"/>
        </w:rPr>
        <w:t>,</w:t>
      </w:r>
      <w:r w:rsidRPr="006A51F1">
        <w:rPr>
          <w:sz w:val="20"/>
          <w:szCs w:val="20"/>
          <w:lang w:val="en-GB"/>
        </w:rPr>
        <w:t xml:space="preserve"> </w:t>
      </w:r>
      <w:r w:rsidRPr="006D58FE">
        <w:rPr>
          <w:sz w:val="20"/>
          <w:szCs w:val="20"/>
          <w:lang w:val="en-GB"/>
        </w:rPr>
        <w:t>were</w:t>
      </w:r>
      <w:r w:rsidRPr="00B7386E">
        <w:rPr>
          <w:sz w:val="20"/>
          <w:lang w:val="en-GB"/>
        </w:rPr>
        <w:t xml:space="preserve"> used approximately by a third of enterprises with 10+ employees in the EU. In comparison – in 2010, each of these systems was used by approximately a fifth of enterprises. </w:t>
      </w:r>
    </w:p>
    <w:p w:rsidR="009B63B1" w:rsidRPr="00B7386E" w:rsidRDefault="009B63B1" w:rsidP="009B63B1">
      <w:pPr>
        <w:pStyle w:val="Zkladntext"/>
        <w:numPr>
          <w:ilvl w:val="0"/>
          <w:numId w:val="28"/>
        </w:numPr>
        <w:spacing w:before="0" w:after="80" w:line="264" w:lineRule="auto"/>
        <w:ind w:left="284" w:hanging="284"/>
        <w:rPr>
          <w:rFonts w:cs="Arial"/>
          <w:sz w:val="20"/>
          <w:lang w:val="en-GB"/>
        </w:rPr>
      </w:pPr>
      <w:r w:rsidRPr="006A51F1">
        <w:rPr>
          <w:sz w:val="20"/>
          <w:lang w:val="en-GB"/>
        </w:rPr>
        <w:t>The</w:t>
      </w:r>
      <w:r>
        <w:rPr>
          <w:color w:val="FF0000"/>
          <w:sz w:val="20"/>
          <w:lang w:val="en-GB"/>
        </w:rPr>
        <w:t xml:space="preserve"> </w:t>
      </w:r>
      <w:r w:rsidRPr="00B7386E">
        <w:rPr>
          <w:sz w:val="20"/>
          <w:lang w:val="en-GB"/>
        </w:rPr>
        <w:t>ERP system is most frequently used in Belgium</w:t>
      </w:r>
      <w:r w:rsidRPr="006A51F1">
        <w:rPr>
          <w:sz w:val="20"/>
          <w:lang w:val="en-GB"/>
        </w:rPr>
        <w:t xml:space="preserve">, while the highest usage of CRM is found in Germany. </w:t>
      </w:r>
      <w:r w:rsidRPr="00B7386E">
        <w:rPr>
          <w:sz w:val="20"/>
          <w:lang w:val="en-GB"/>
        </w:rPr>
        <w:t>The least frequent usage of both systems is recorded in Hungary and Romania.</w:t>
      </w:r>
    </w:p>
    <w:p w:rsidR="009B63B1" w:rsidRPr="00B7386E" w:rsidRDefault="009B63B1" w:rsidP="009B63B1">
      <w:pPr>
        <w:pStyle w:val="Zkladntext"/>
        <w:numPr>
          <w:ilvl w:val="0"/>
          <w:numId w:val="28"/>
        </w:numPr>
        <w:spacing w:before="0" w:after="80" w:line="264" w:lineRule="auto"/>
        <w:ind w:left="284" w:hanging="284"/>
        <w:rPr>
          <w:rFonts w:cs="Arial"/>
          <w:sz w:val="20"/>
          <w:lang w:val="en-GB"/>
        </w:rPr>
      </w:pPr>
      <w:r w:rsidRPr="00B7386E">
        <w:rPr>
          <w:sz w:val="20"/>
          <w:lang w:val="en-GB"/>
        </w:rPr>
        <w:t>In the Czech Republic, as well as in other EU countries, it applies that these information systems are mostly spread among large enterprises. In January 2017</w:t>
      </w:r>
      <w:r w:rsidRPr="006A51F1">
        <w:rPr>
          <w:sz w:val="20"/>
          <w:lang w:val="en-GB"/>
        </w:rPr>
        <w:t xml:space="preserve">, the </w:t>
      </w:r>
      <w:r w:rsidRPr="00B7386E">
        <w:rPr>
          <w:sz w:val="20"/>
          <w:lang w:val="en-GB"/>
        </w:rPr>
        <w:t>ERP system was used approximately by three quarters of large enterprises operating in the Czech Republic (77</w:t>
      </w:r>
      <w:r w:rsidRPr="00D47467">
        <w:rPr>
          <w:sz w:val="20"/>
          <w:lang w:val="en-GB"/>
        </w:rPr>
        <w:t>%</w:t>
      </w:r>
      <w:r w:rsidRPr="00D47467">
        <w:rPr>
          <w:sz w:val="20"/>
          <w:szCs w:val="20"/>
          <w:lang w:val="en-GB"/>
        </w:rPr>
        <w:t>)</w:t>
      </w:r>
      <w:r w:rsidRPr="00D47467">
        <w:rPr>
          <w:sz w:val="20"/>
          <w:szCs w:val="20"/>
        </w:rPr>
        <w:t>,</w:t>
      </w:r>
      <w:r w:rsidRPr="00D47467">
        <w:rPr>
          <w:sz w:val="20"/>
          <w:szCs w:val="20"/>
          <w:lang w:val="en-GB"/>
        </w:rPr>
        <w:t xml:space="preserve"> </w:t>
      </w:r>
      <w:r w:rsidRPr="00B7386E">
        <w:rPr>
          <w:sz w:val="20"/>
          <w:lang w:val="en-GB"/>
        </w:rPr>
        <w:t xml:space="preserve">and a very similar average share is found </w:t>
      </w:r>
      <w:r w:rsidRPr="00D47467">
        <w:rPr>
          <w:sz w:val="20"/>
          <w:lang w:val="en-GB"/>
        </w:rPr>
        <w:t>within</w:t>
      </w:r>
      <w:r w:rsidRPr="006D58FE">
        <w:rPr>
          <w:color w:val="FF0000"/>
          <w:sz w:val="20"/>
          <w:lang w:val="en-GB"/>
        </w:rPr>
        <w:t xml:space="preserve"> </w:t>
      </w:r>
      <w:r w:rsidRPr="00B7386E">
        <w:rPr>
          <w:sz w:val="20"/>
          <w:lang w:val="en-GB"/>
        </w:rPr>
        <w:t xml:space="preserve">large entities in the EU28 (76%). </w:t>
      </w:r>
    </w:p>
    <w:p w:rsidR="009B63B1" w:rsidRPr="00B7386E" w:rsidRDefault="009B63B1" w:rsidP="009B63B1">
      <w:pPr>
        <w:pStyle w:val="Zkladntext"/>
        <w:spacing w:before="0" w:line="264" w:lineRule="auto"/>
        <w:rPr>
          <w:rFonts w:cs="Arial"/>
          <w:sz w:val="20"/>
          <w:lang w:val="en-GB"/>
        </w:rPr>
      </w:pPr>
      <w:r w:rsidRPr="00B7386E">
        <w:rPr>
          <w:noProof/>
        </w:rPr>
        <w:drawing>
          <wp:inline distT="0" distB="0" distL="0" distR="0" wp14:anchorId="3CC14D51" wp14:editId="5EBFEBEC">
            <wp:extent cx="5972400" cy="3600000"/>
            <wp:effectExtent l="0" t="0" r="0" b="635"/>
            <wp:docPr id="170" name="Graf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B7386E">
        <w:rPr>
          <w:sz w:val="20"/>
          <w:lang w:val="en-GB"/>
        </w:rPr>
        <w:t xml:space="preserve"> </w:t>
      </w:r>
    </w:p>
    <w:p w:rsidR="009B63B1" w:rsidRPr="00B7386E" w:rsidRDefault="009B63B1" w:rsidP="009B63B1">
      <w:pPr>
        <w:numPr>
          <w:ilvl w:val="0"/>
          <w:numId w:val="28"/>
        </w:numPr>
        <w:autoSpaceDE w:val="0"/>
        <w:autoSpaceDN w:val="0"/>
        <w:adjustRightInd w:val="0"/>
        <w:spacing w:after="80" w:line="264" w:lineRule="auto"/>
        <w:ind w:left="284" w:hanging="284"/>
        <w:jc w:val="both"/>
        <w:rPr>
          <w:rFonts w:cs="Arial"/>
        </w:rPr>
      </w:pPr>
      <w:r w:rsidRPr="00B7386E">
        <w:t xml:space="preserve">The </w:t>
      </w:r>
      <w:r w:rsidRPr="00B7386E">
        <w:rPr>
          <w:b/>
        </w:rPr>
        <w:t>SCM</w:t>
      </w:r>
      <w:r w:rsidRPr="00D47467">
        <w:rPr>
          <w:rStyle w:val="Znakapoznpodarou"/>
        </w:rPr>
        <w:footnoteReference w:id="43"/>
      </w:r>
      <w:r w:rsidRPr="00B7386E">
        <w:rPr>
          <w:b/>
        </w:rPr>
        <w:t xml:space="preserve"> </w:t>
      </w:r>
      <w:r w:rsidRPr="00B7386E">
        <w:t>application</w:t>
      </w:r>
      <w:r w:rsidRPr="00D47467">
        <w:rPr>
          <w:szCs w:val="20"/>
        </w:rPr>
        <w:t>,</w:t>
      </w:r>
      <w:r w:rsidRPr="00D47467">
        <w:t xml:space="preserve"> </w:t>
      </w:r>
      <w:r w:rsidRPr="00B7386E">
        <w:t>or the information system</w:t>
      </w:r>
      <w:r w:rsidRPr="00D47467">
        <w:rPr>
          <w:szCs w:val="20"/>
        </w:rPr>
        <w:t>,</w:t>
      </w:r>
      <w:r w:rsidRPr="00D47467">
        <w:t xml:space="preserve"> </w:t>
      </w:r>
      <w:r w:rsidRPr="00B7386E">
        <w:t xml:space="preserve">was only used by a fraction of Czech enterprises (2.4%) at the beginning of 2017. Once again, the supply chain management system is most frequently used by large entities (9% in January 2017). With respect to sectors, it was most frequently used by enterprises operating in </w:t>
      </w:r>
      <w:r w:rsidRPr="00B7386E">
        <w:rPr>
          <w:b/>
        </w:rPr>
        <w:t>trading</w:t>
      </w:r>
      <w:r w:rsidRPr="00B7386E">
        <w:t xml:space="preserve"> (10%), </w:t>
      </w:r>
      <w:r w:rsidRPr="00D47467">
        <w:t xml:space="preserve">as well as </w:t>
      </w:r>
      <w:r w:rsidRPr="00B7386E">
        <w:t xml:space="preserve">in selected areas of process industry, especially in </w:t>
      </w:r>
      <w:r w:rsidRPr="00B7386E">
        <w:rPr>
          <w:b/>
        </w:rPr>
        <w:t>the production of cars, computers</w:t>
      </w:r>
      <w:r>
        <w:t>, electronic and optic devices</w:t>
      </w:r>
      <w:r w:rsidRPr="00D47467">
        <w:t xml:space="preserve">, and also for </w:t>
      </w:r>
      <w:r w:rsidRPr="00B7386E">
        <w:t>electrical appliances and machines.</w:t>
      </w:r>
    </w:p>
    <w:p w:rsidR="009B63B1" w:rsidRPr="00354A2B" w:rsidRDefault="009B63B1" w:rsidP="002875D6">
      <w:pPr>
        <w:pStyle w:val="Nadpis2"/>
        <w:pageBreakBefore/>
        <w:spacing w:before="0"/>
      </w:pPr>
      <w:bookmarkStart w:id="133" w:name="_Toc533697533"/>
      <w:bookmarkStart w:id="134" w:name="_Toc534712032"/>
      <w:r>
        <w:lastRenderedPageBreak/>
        <w:t xml:space="preserve">D.5 </w:t>
      </w:r>
      <w:r w:rsidRPr="005007AE">
        <w:t xml:space="preserve">Enterprises using </w:t>
      </w:r>
      <w:r>
        <w:t>electronic i</w:t>
      </w:r>
      <w:r w:rsidRPr="00354A2B">
        <w:t>nvoicing</w:t>
      </w:r>
      <w:r>
        <w:t xml:space="preserve"> and commerce</w:t>
      </w:r>
      <w:bookmarkEnd w:id="133"/>
      <w:bookmarkEnd w:id="134"/>
    </w:p>
    <w:p w:rsidR="009B63B1" w:rsidRDefault="009B63B1" w:rsidP="009B63B1">
      <w:pPr>
        <w:pStyle w:val="Zkladntext"/>
        <w:spacing w:before="0" w:after="80" w:line="264" w:lineRule="auto"/>
        <w:rPr>
          <w:bCs/>
          <w:i/>
          <w:sz w:val="20"/>
          <w:szCs w:val="20"/>
          <w:lang w:val="en-GB"/>
        </w:rPr>
      </w:pPr>
      <w:r w:rsidRPr="00B7386E">
        <w:rPr>
          <w:bCs/>
          <w:i/>
          <w:sz w:val="20"/>
          <w:lang w:val="en-GB"/>
        </w:rPr>
        <w:t xml:space="preserve">A dream of every financial director has always been to have all suppliers whatsoever send him or her </w:t>
      </w:r>
      <w:r w:rsidRPr="00FA2A41">
        <w:rPr>
          <w:bCs/>
          <w:i/>
          <w:sz w:val="20"/>
          <w:szCs w:val="20"/>
          <w:lang w:val="en-GB"/>
        </w:rPr>
        <w:t xml:space="preserve">completely error-free invoices, in a format suitable for automated processing by information </w:t>
      </w:r>
      <w:r w:rsidRPr="00D47467">
        <w:rPr>
          <w:bCs/>
          <w:i/>
          <w:sz w:val="20"/>
          <w:szCs w:val="20"/>
          <w:lang w:val="en-GB"/>
        </w:rPr>
        <w:t>systems</w:t>
      </w:r>
      <w:r w:rsidRPr="00D47467">
        <w:rPr>
          <w:i/>
          <w:sz w:val="20"/>
          <w:szCs w:val="20"/>
        </w:rPr>
        <w:t>,</w:t>
      </w:r>
      <w:r w:rsidRPr="00FA2A41">
        <w:rPr>
          <w:bCs/>
          <w:i/>
          <w:sz w:val="20"/>
          <w:szCs w:val="20"/>
          <w:lang w:val="en-GB"/>
        </w:rPr>
        <w:t xml:space="preserve"> and conclusive for tax offices and auditors. The whole process of incoming invoice processing (receipt =&gt;</w:t>
      </w:r>
      <w:r>
        <w:rPr>
          <w:bCs/>
          <w:i/>
          <w:sz w:val="20"/>
          <w:szCs w:val="20"/>
          <w:lang w:val="en-GB"/>
        </w:rPr>
        <w:t xml:space="preserve"> </w:t>
      </w:r>
      <w:r w:rsidRPr="00FA2A41">
        <w:rPr>
          <w:bCs/>
          <w:i/>
          <w:sz w:val="20"/>
          <w:szCs w:val="20"/>
          <w:lang w:val="en-GB"/>
        </w:rPr>
        <w:t>processing =&gt;</w:t>
      </w:r>
      <w:r>
        <w:rPr>
          <w:bCs/>
          <w:i/>
          <w:sz w:val="20"/>
          <w:szCs w:val="20"/>
          <w:lang w:val="en-GB"/>
        </w:rPr>
        <w:t xml:space="preserve"> </w:t>
      </w:r>
      <w:r w:rsidRPr="00FA2A41">
        <w:rPr>
          <w:bCs/>
          <w:i/>
          <w:sz w:val="20"/>
          <w:szCs w:val="20"/>
          <w:lang w:val="en-GB"/>
        </w:rPr>
        <w:t>approval =&gt;</w:t>
      </w:r>
      <w:r>
        <w:rPr>
          <w:bCs/>
          <w:i/>
          <w:sz w:val="20"/>
          <w:szCs w:val="20"/>
          <w:lang w:val="en-GB"/>
        </w:rPr>
        <w:t xml:space="preserve"> </w:t>
      </w:r>
      <w:r w:rsidRPr="00FA2A41">
        <w:rPr>
          <w:bCs/>
          <w:i/>
          <w:sz w:val="20"/>
          <w:szCs w:val="20"/>
          <w:lang w:val="en-GB"/>
        </w:rPr>
        <w:t xml:space="preserve">booking) generally has high demands for administration across the whole enterprise. Computerisation and digitalisation are natural </w:t>
      </w:r>
      <w:r w:rsidRPr="00D47467">
        <w:rPr>
          <w:bCs/>
          <w:i/>
          <w:sz w:val="20"/>
          <w:szCs w:val="20"/>
          <w:lang w:val="en-GB"/>
        </w:rPr>
        <w:t>trends</w:t>
      </w:r>
      <w:r w:rsidRPr="00D47467">
        <w:rPr>
          <w:i/>
          <w:sz w:val="20"/>
          <w:szCs w:val="20"/>
        </w:rPr>
        <w:t>,</w:t>
      </w:r>
      <w:r w:rsidRPr="00FA2A41">
        <w:rPr>
          <w:bCs/>
          <w:i/>
          <w:sz w:val="20"/>
          <w:szCs w:val="20"/>
          <w:lang w:val="en-GB"/>
        </w:rPr>
        <w:t xml:space="preserve"> and they may often facilitate the performance of obligations, decrease error rate </w:t>
      </w:r>
      <w:r w:rsidRPr="00D47467">
        <w:rPr>
          <w:bCs/>
          <w:i/>
          <w:sz w:val="20"/>
          <w:szCs w:val="20"/>
          <w:lang w:val="en-GB"/>
        </w:rPr>
        <w:t>and</w:t>
      </w:r>
      <w:r>
        <w:rPr>
          <w:bCs/>
          <w:i/>
          <w:color w:val="FF0000"/>
          <w:sz w:val="20"/>
          <w:szCs w:val="20"/>
          <w:lang w:val="en-GB"/>
        </w:rPr>
        <w:t xml:space="preserve"> </w:t>
      </w:r>
      <w:r w:rsidRPr="00FA2A41">
        <w:rPr>
          <w:bCs/>
          <w:i/>
          <w:sz w:val="20"/>
          <w:szCs w:val="20"/>
          <w:lang w:val="en-GB"/>
        </w:rPr>
        <w:t>lower costs.</w:t>
      </w:r>
    </w:p>
    <w:p w:rsidR="009B63B1" w:rsidRPr="00975788" w:rsidRDefault="009B63B1" w:rsidP="009B63B1">
      <w:pPr>
        <w:pStyle w:val="Zkladntext"/>
        <w:spacing w:before="0" w:after="80" w:line="264" w:lineRule="auto"/>
        <w:rPr>
          <w:bCs/>
          <w:i/>
          <w:sz w:val="20"/>
          <w:lang w:val="en-GB"/>
        </w:rPr>
      </w:pPr>
      <w:r w:rsidRPr="00975788">
        <w:rPr>
          <w:bCs/>
          <w:i/>
          <w:sz w:val="20"/>
          <w:lang w:val="en-GB"/>
        </w:rPr>
        <w:t xml:space="preserve">The number of firms carrying out business transactions (placing or receiving orders) over the internet has increased dramatically over the last decade. The Internet has effectively made transactions such as ordering goods and services more efficient and less expensive. At the same time, the internet facilitates new transactions that could not have occurred without its existence (e.g. the use of the internet by SMEs to sell goods globally). </w:t>
      </w:r>
    </w:p>
    <w:p w:rsidR="009B63B1" w:rsidRPr="00354A2B" w:rsidRDefault="009B63B1" w:rsidP="009B63B1">
      <w:pPr>
        <w:pStyle w:val="Nadpis3"/>
      </w:pPr>
      <w:bookmarkStart w:id="135" w:name="_Toc533697534"/>
      <w:bookmarkStart w:id="136" w:name="_Toc534712033"/>
      <w:r>
        <w:t>Use of e</w:t>
      </w:r>
      <w:r w:rsidRPr="00354A2B">
        <w:t xml:space="preserve">lectronic </w:t>
      </w:r>
      <w:r>
        <w:t xml:space="preserve">invoicing by </w:t>
      </w:r>
      <w:r w:rsidRPr="00354A2B">
        <w:t>enterprises</w:t>
      </w:r>
      <w:bookmarkEnd w:id="135"/>
      <w:bookmarkEnd w:id="136"/>
      <w:r w:rsidRPr="00354A2B">
        <w:t xml:space="preserve"> </w:t>
      </w:r>
    </w:p>
    <w:p w:rsidR="009B63B1" w:rsidRPr="00FA2A41" w:rsidRDefault="009B63B1" w:rsidP="009B63B1">
      <w:pPr>
        <w:pStyle w:val="Zkladntext"/>
        <w:spacing w:before="0" w:after="80" w:line="264" w:lineRule="auto"/>
        <w:rPr>
          <w:bCs/>
          <w:i/>
          <w:sz w:val="20"/>
          <w:szCs w:val="20"/>
          <w:lang w:val="en-GB"/>
        </w:rPr>
      </w:pPr>
      <w:r w:rsidRPr="00FA2A41">
        <w:rPr>
          <w:bCs/>
          <w:i/>
          <w:sz w:val="20"/>
          <w:szCs w:val="20"/>
          <w:lang w:val="en-GB"/>
        </w:rPr>
        <w:t xml:space="preserve">In Czech enterprises, a very common issue is still the sending of “electronic invoices” in PDF format, which de facto solely transfers the printing costs from the supplier to the client. A full electronic </w:t>
      </w:r>
      <w:r w:rsidRPr="00D47467">
        <w:rPr>
          <w:bCs/>
          <w:i/>
          <w:sz w:val="20"/>
          <w:szCs w:val="20"/>
          <w:lang w:val="en-GB"/>
        </w:rPr>
        <w:t>invoice</w:t>
      </w:r>
      <w:r w:rsidRPr="00D47467">
        <w:rPr>
          <w:i/>
          <w:sz w:val="20"/>
          <w:szCs w:val="20"/>
        </w:rPr>
        <w:t>,</w:t>
      </w:r>
      <w:r w:rsidRPr="00FA2A41">
        <w:rPr>
          <w:bCs/>
          <w:i/>
          <w:sz w:val="20"/>
          <w:szCs w:val="20"/>
          <w:lang w:val="en-GB"/>
        </w:rPr>
        <w:t xml:space="preserve"> within the meaning of computerization and advantages arising </w:t>
      </w:r>
      <w:r w:rsidRPr="00D47467">
        <w:rPr>
          <w:bCs/>
          <w:i/>
          <w:sz w:val="20"/>
          <w:szCs w:val="20"/>
          <w:lang w:val="en-GB"/>
        </w:rPr>
        <w:t>therefrom</w:t>
      </w:r>
      <w:r w:rsidRPr="00D47467">
        <w:rPr>
          <w:i/>
          <w:sz w:val="20"/>
          <w:szCs w:val="20"/>
        </w:rPr>
        <w:t>,</w:t>
      </w:r>
      <w:r w:rsidRPr="00FA2A41">
        <w:rPr>
          <w:bCs/>
          <w:i/>
          <w:sz w:val="20"/>
          <w:szCs w:val="20"/>
          <w:lang w:val="en-GB"/>
        </w:rPr>
        <w:t xml:space="preserve"> is solely such an invoice where all data is transferred automatically (by </w:t>
      </w:r>
      <w:r w:rsidRPr="00D47467">
        <w:rPr>
          <w:bCs/>
          <w:i/>
          <w:sz w:val="20"/>
          <w:szCs w:val="20"/>
          <w:lang w:val="en-GB"/>
        </w:rPr>
        <w:t xml:space="preserve">machine), and </w:t>
      </w:r>
      <w:r w:rsidRPr="00FA2A41">
        <w:rPr>
          <w:bCs/>
          <w:i/>
          <w:sz w:val="20"/>
          <w:szCs w:val="20"/>
          <w:lang w:val="en-GB"/>
        </w:rPr>
        <w:t xml:space="preserve">in a standard structure to the inter-company or accounting system of the </w:t>
      </w:r>
      <w:r w:rsidRPr="00D47467">
        <w:rPr>
          <w:bCs/>
          <w:i/>
          <w:sz w:val="20"/>
          <w:szCs w:val="20"/>
          <w:lang w:val="en-GB"/>
        </w:rPr>
        <w:t>counterparty</w:t>
      </w:r>
      <w:r w:rsidRPr="00D47467">
        <w:rPr>
          <w:i/>
          <w:sz w:val="20"/>
          <w:szCs w:val="20"/>
        </w:rPr>
        <w:t>,</w:t>
      </w:r>
      <w:r w:rsidRPr="00D47467">
        <w:rPr>
          <w:bCs/>
          <w:i/>
          <w:sz w:val="20"/>
          <w:szCs w:val="20"/>
          <w:lang w:val="en-GB"/>
        </w:rPr>
        <w:t xml:space="preserve"> </w:t>
      </w:r>
      <w:r w:rsidRPr="00FA2A41">
        <w:rPr>
          <w:bCs/>
          <w:i/>
          <w:sz w:val="20"/>
          <w:szCs w:val="20"/>
          <w:lang w:val="en-GB"/>
        </w:rPr>
        <w:t>where it is once again processed electronically.</w:t>
      </w:r>
    </w:p>
    <w:p w:rsidR="009B63B1" w:rsidRPr="00B7386E" w:rsidRDefault="009B63B1" w:rsidP="009B63B1">
      <w:pPr>
        <w:pStyle w:val="Zkladntext"/>
        <w:numPr>
          <w:ilvl w:val="0"/>
          <w:numId w:val="28"/>
        </w:numPr>
        <w:tabs>
          <w:tab w:val="left" w:pos="284"/>
        </w:tabs>
        <w:autoSpaceDE w:val="0"/>
        <w:autoSpaceDN w:val="0"/>
        <w:adjustRightInd w:val="0"/>
        <w:spacing w:before="0" w:after="80" w:line="264" w:lineRule="auto"/>
        <w:ind w:left="284" w:hanging="284"/>
        <w:rPr>
          <w:rFonts w:cs="Arial"/>
          <w:lang w:val="en-GB"/>
        </w:rPr>
      </w:pPr>
      <w:r w:rsidRPr="00B7386E">
        <w:rPr>
          <w:sz w:val="20"/>
          <w:lang w:val="en-GB"/>
        </w:rPr>
        <w:t xml:space="preserve">In January 2017, three quarters of </w:t>
      </w:r>
      <w:r w:rsidRPr="00D47467">
        <w:rPr>
          <w:sz w:val="20"/>
          <w:lang w:val="en-GB"/>
        </w:rPr>
        <w:t>enterprises</w:t>
      </w:r>
      <w:r w:rsidRPr="00D47467">
        <w:rPr>
          <w:sz w:val="20"/>
          <w:szCs w:val="20"/>
        </w:rPr>
        <w:t>,</w:t>
      </w:r>
      <w:r w:rsidRPr="00D47467">
        <w:rPr>
          <w:sz w:val="20"/>
          <w:szCs w:val="20"/>
          <w:lang w:val="en-GB"/>
        </w:rPr>
        <w:t xml:space="preserve"> </w:t>
      </w:r>
      <w:r w:rsidRPr="00FA2A41">
        <w:rPr>
          <w:sz w:val="20"/>
          <w:szCs w:val="20"/>
          <w:lang w:val="en-GB"/>
        </w:rPr>
        <w:t xml:space="preserve">with 10+ employees in the Czech </w:t>
      </w:r>
      <w:r w:rsidRPr="00D47467">
        <w:rPr>
          <w:sz w:val="20"/>
          <w:szCs w:val="20"/>
          <w:lang w:val="en-GB"/>
        </w:rPr>
        <w:t>Republic</w:t>
      </w:r>
      <w:r w:rsidRPr="00D47467">
        <w:rPr>
          <w:sz w:val="20"/>
          <w:szCs w:val="20"/>
        </w:rPr>
        <w:t>,</w:t>
      </w:r>
      <w:r w:rsidRPr="00B7386E">
        <w:rPr>
          <w:sz w:val="20"/>
          <w:lang w:val="en-GB"/>
        </w:rPr>
        <w:t xml:space="preserve"> issued and sent </w:t>
      </w:r>
      <w:r w:rsidRPr="00B7386E">
        <w:rPr>
          <w:b/>
          <w:sz w:val="20"/>
          <w:lang w:val="en-GB"/>
        </w:rPr>
        <w:t>an invoice electronically</w:t>
      </w:r>
      <w:r w:rsidRPr="00283615">
        <w:rPr>
          <w:rStyle w:val="Znakapoznpodarou"/>
          <w:b/>
          <w:sz w:val="20"/>
          <w:lang w:val="en-GB"/>
        </w:rPr>
        <w:footnoteReference w:id="44"/>
      </w:r>
      <w:r w:rsidRPr="00B7386E">
        <w:rPr>
          <w:sz w:val="20"/>
          <w:lang w:val="en-GB"/>
        </w:rPr>
        <w:t xml:space="preserve">. A more common form of electronic invoices issuance is, however, a </w:t>
      </w:r>
      <w:r w:rsidRPr="00B7386E">
        <w:rPr>
          <w:b/>
          <w:sz w:val="20"/>
          <w:lang w:val="en-GB"/>
        </w:rPr>
        <w:t>structure not suitable for automated processing</w:t>
      </w:r>
      <w:r w:rsidRPr="00B7386E">
        <w:rPr>
          <w:sz w:val="20"/>
          <w:lang w:val="en-GB"/>
        </w:rPr>
        <w:t>, e.g. email attachment as a PDF file – in January this option was used by more than two thirds (69%) of Czech enterprises.</w:t>
      </w:r>
    </w:p>
    <w:p w:rsidR="009B63B1" w:rsidRPr="00B7386E" w:rsidRDefault="009B63B1" w:rsidP="009B63B1">
      <w:pPr>
        <w:numPr>
          <w:ilvl w:val="0"/>
          <w:numId w:val="28"/>
        </w:numPr>
        <w:tabs>
          <w:tab w:val="left" w:pos="284"/>
        </w:tabs>
        <w:autoSpaceDE w:val="0"/>
        <w:autoSpaceDN w:val="0"/>
        <w:adjustRightInd w:val="0"/>
        <w:spacing w:after="80" w:line="264" w:lineRule="auto"/>
        <w:ind w:left="284" w:hanging="284"/>
        <w:jc w:val="both"/>
        <w:rPr>
          <w:rFonts w:cs="Arial"/>
        </w:rPr>
      </w:pPr>
      <w:r w:rsidRPr="00B7386E">
        <w:rPr>
          <w:b/>
        </w:rPr>
        <w:t>Fully a</w:t>
      </w:r>
      <w:r>
        <w:rPr>
          <w:b/>
        </w:rPr>
        <w:t>utomated invoices (so called e-i</w:t>
      </w:r>
      <w:r w:rsidRPr="00B7386E">
        <w:rPr>
          <w:b/>
        </w:rPr>
        <w:t>nvoices)</w:t>
      </w:r>
      <w:r w:rsidRPr="00B7386E">
        <w:t xml:space="preserve"> were sent by less than a fifth (18%) of enterprises at the beginning of 2017, i.e. approximately </w:t>
      </w:r>
      <w:r w:rsidRPr="00B7386E">
        <w:rPr>
          <w:b/>
        </w:rPr>
        <w:t>four times less frequently</w:t>
      </w:r>
      <w:r w:rsidRPr="00B7386E">
        <w:t xml:space="preserve"> than the aforementioned electronic invoices not suitable for automated processing (e.g. as a PDF file). </w:t>
      </w:r>
    </w:p>
    <w:p w:rsidR="009B63B1" w:rsidRDefault="009B63B1" w:rsidP="009B63B1">
      <w:pPr>
        <w:tabs>
          <w:tab w:val="left" w:pos="284"/>
        </w:tabs>
        <w:autoSpaceDE w:val="0"/>
        <w:autoSpaceDN w:val="0"/>
        <w:adjustRightInd w:val="0"/>
        <w:spacing w:after="60"/>
        <w:jc w:val="both"/>
      </w:pPr>
      <w:r w:rsidRPr="00B7386E">
        <w:rPr>
          <w:noProof/>
          <w:lang w:val="cs-CZ"/>
        </w:rPr>
        <w:drawing>
          <wp:inline distT="0" distB="0" distL="0" distR="0" wp14:anchorId="03CAB23A" wp14:editId="1224075B">
            <wp:extent cx="3168000" cy="2700000"/>
            <wp:effectExtent l="0" t="0" r="13970" b="5715"/>
            <wp:docPr id="171" name="Graf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B7386E">
        <w:rPr>
          <w:noProof/>
          <w:lang w:val="cs-CZ"/>
        </w:rPr>
        <w:drawing>
          <wp:inline distT="0" distB="0" distL="0" distR="0" wp14:anchorId="0B3AEEF3" wp14:editId="6EED9F4A">
            <wp:extent cx="2857500" cy="2700000"/>
            <wp:effectExtent l="0" t="0" r="0" b="5715"/>
            <wp:docPr id="172" name="Graf 17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B63B1" w:rsidRPr="00B7386E" w:rsidRDefault="009B63B1" w:rsidP="009B63B1">
      <w:pPr>
        <w:spacing w:line="240" w:lineRule="auto"/>
        <w:jc w:val="center"/>
        <w:rPr>
          <w:rFonts w:cs="Arial"/>
          <w:color w:val="000000"/>
          <w:sz w:val="16"/>
          <w:szCs w:val="16"/>
        </w:rPr>
      </w:pPr>
      <w:r w:rsidRPr="00B7386E">
        <w:rPr>
          <w:rFonts w:cs="Arial"/>
          <w:color w:val="000000"/>
          <w:sz w:val="16"/>
          <w:szCs w:val="16"/>
        </w:rPr>
        <w:t>* as a percentage of all enterprises with 10+ employees in a given industry, resp. size class</w:t>
      </w:r>
    </w:p>
    <w:p w:rsidR="009B63B1" w:rsidRPr="00B7386E" w:rsidRDefault="009B63B1" w:rsidP="009B63B1">
      <w:pPr>
        <w:numPr>
          <w:ilvl w:val="0"/>
          <w:numId w:val="28"/>
        </w:numPr>
        <w:tabs>
          <w:tab w:val="left" w:pos="284"/>
        </w:tabs>
        <w:autoSpaceDE w:val="0"/>
        <w:autoSpaceDN w:val="0"/>
        <w:adjustRightInd w:val="0"/>
        <w:spacing w:after="80" w:line="264" w:lineRule="auto"/>
        <w:ind w:left="284" w:hanging="284"/>
        <w:jc w:val="both"/>
        <w:rPr>
          <w:rFonts w:cs="Arial"/>
        </w:rPr>
      </w:pPr>
      <w:r w:rsidRPr="00B7386E">
        <w:lastRenderedPageBreak/>
        <w:t>In January 2017, e-</w:t>
      </w:r>
      <w:r>
        <w:t>i</w:t>
      </w:r>
      <w:r w:rsidRPr="00B7386E">
        <w:t xml:space="preserve">nvoices were sent more frequently by large </w:t>
      </w:r>
      <w:r w:rsidRPr="00177E91">
        <w:t>enterprises</w:t>
      </w:r>
      <w:r w:rsidRPr="00177E91">
        <w:rPr>
          <w:szCs w:val="20"/>
        </w:rPr>
        <w:t>,</w:t>
      </w:r>
      <w:r w:rsidRPr="00B7386E">
        <w:t xml:space="preserve"> with 250+ employees; with respect to sectors, these were most commonly issued by entities in </w:t>
      </w:r>
      <w:r w:rsidRPr="00177E91">
        <w:t>the</w:t>
      </w:r>
      <w:r>
        <w:rPr>
          <w:color w:val="FF0000"/>
        </w:rPr>
        <w:t xml:space="preserve"> </w:t>
      </w:r>
      <w:r w:rsidRPr="00B7386E">
        <w:t>automotive industry, telecommunications, wholesale or in computer programming and related activities (in all these sectors it was more than a fifth).</w:t>
      </w:r>
    </w:p>
    <w:p w:rsidR="009B63B1" w:rsidRPr="00B7386E" w:rsidRDefault="009B63B1" w:rsidP="009B63B1">
      <w:pPr>
        <w:pStyle w:val="Odstavecseseznamem"/>
        <w:numPr>
          <w:ilvl w:val="0"/>
          <w:numId w:val="28"/>
        </w:numPr>
        <w:spacing w:after="80" w:line="264" w:lineRule="auto"/>
        <w:ind w:left="284" w:hanging="284"/>
        <w:jc w:val="both"/>
        <w:rPr>
          <w:rFonts w:ascii="Arial" w:hAnsi="Arial" w:cs="Arial"/>
          <w:sz w:val="20"/>
          <w:lang w:val="en-GB"/>
        </w:rPr>
      </w:pPr>
      <w:r w:rsidRPr="00B7386E">
        <w:rPr>
          <w:rFonts w:ascii="Arial" w:hAnsi="Arial" w:cs="Arial"/>
          <w:sz w:val="20"/>
          <w:lang w:val="en-GB"/>
        </w:rPr>
        <w:t xml:space="preserve">Relatively many enterprises operating in the Czech Republic still issue their invoices in a </w:t>
      </w:r>
      <w:r w:rsidRPr="00B7386E">
        <w:rPr>
          <w:rFonts w:ascii="Arial" w:hAnsi="Arial" w:cs="Arial"/>
          <w:b/>
          <w:sz w:val="20"/>
          <w:lang w:val="en-GB"/>
        </w:rPr>
        <w:t xml:space="preserve">standard paper structure </w:t>
      </w:r>
      <w:r w:rsidRPr="00B80523">
        <w:rPr>
          <w:rFonts w:ascii="Arial" w:hAnsi="Arial" w:cs="Arial"/>
          <w:sz w:val="20"/>
          <w:lang w:val="en-GB"/>
        </w:rPr>
        <w:t>–</w:t>
      </w:r>
      <w:r w:rsidRPr="00B7386E">
        <w:rPr>
          <w:rFonts w:ascii="Arial" w:hAnsi="Arial" w:cs="Arial"/>
          <w:sz w:val="20"/>
          <w:lang w:val="en-GB"/>
        </w:rPr>
        <w:t xml:space="preserve"> in January 2017</w:t>
      </w:r>
      <w:r w:rsidRPr="00177E91">
        <w:rPr>
          <w:sz w:val="20"/>
          <w:szCs w:val="20"/>
        </w:rPr>
        <w:t>,</w:t>
      </w:r>
      <w:r w:rsidRPr="00177E91">
        <w:rPr>
          <w:rFonts w:ascii="Arial" w:hAnsi="Arial" w:cs="Arial"/>
          <w:sz w:val="20"/>
          <w:lang w:val="en-GB"/>
        </w:rPr>
        <w:t xml:space="preserve"> t</w:t>
      </w:r>
      <w:r w:rsidRPr="00B7386E">
        <w:rPr>
          <w:rFonts w:ascii="Arial" w:hAnsi="Arial" w:cs="Arial"/>
          <w:sz w:val="20"/>
          <w:lang w:val="en-GB"/>
        </w:rPr>
        <w:t xml:space="preserve">here was nearly a quarter of </w:t>
      </w:r>
      <w:r w:rsidRPr="00177E91">
        <w:rPr>
          <w:rFonts w:ascii="Arial" w:hAnsi="Arial" w:cs="Arial"/>
          <w:sz w:val="20"/>
          <w:lang w:val="en-GB"/>
        </w:rPr>
        <w:t>them</w:t>
      </w:r>
      <w:r w:rsidRPr="00FA2A41">
        <w:rPr>
          <w:rFonts w:ascii="Arial" w:hAnsi="Arial" w:cs="Arial"/>
          <w:color w:val="FF0000"/>
          <w:sz w:val="20"/>
          <w:lang w:val="en-GB"/>
        </w:rPr>
        <w:t xml:space="preserve"> </w:t>
      </w:r>
      <w:r w:rsidRPr="00B7386E">
        <w:rPr>
          <w:rFonts w:ascii="Arial" w:hAnsi="Arial" w:cs="Arial"/>
          <w:sz w:val="20"/>
          <w:lang w:val="en-GB"/>
        </w:rPr>
        <w:t xml:space="preserve">(23%). This mostly involves small entities; with respect to the prevailing economic </w:t>
      </w:r>
      <w:r w:rsidRPr="00177E91">
        <w:rPr>
          <w:rFonts w:ascii="Arial" w:hAnsi="Arial" w:cs="Arial"/>
          <w:sz w:val="20"/>
          <w:lang w:val="en-GB"/>
        </w:rPr>
        <w:t>activities</w:t>
      </w:r>
      <w:r w:rsidRPr="00177E91">
        <w:rPr>
          <w:sz w:val="20"/>
          <w:szCs w:val="20"/>
        </w:rPr>
        <w:t>,</w:t>
      </w:r>
      <w:r w:rsidRPr="00177E91">
        <w:rPr>
          <w:rFonts w:ascii="Arial" w:hAnsi="Arial" w:cs="Arial"/>
          <w:sz w:val="20"/>
          <w:lang w:val="en-GB"/>
        </w:rPr>
        <w:t xml:space="preserve"> those </w:t>
      </w:r>
      <w:r w:rsidRPr="00B7386E">
        <w:rPr>
          <w:rFonts w:ascii="Arial" w:hAnsi="Arial" w:cs="Arial"/>
          <w:sz w:val="20"/>
          <w:lang w:val="en-GB"/>
        </w:rPr>
        <w:t>are entities operating in food and beverage services (36%)</w:t>
      </w:r>
      <w:r w:rsidRPr="00177E91">
        <w:rPr>
          <w:sz w:val="20"/>
          <w:szCs w:val="20"/>
        </w:rPr>
        <w:t>,</w:t>
      </w:r>
      <w:r w:rsidRPr="00177E91">
        <w:rPr>
          <w:rFonts w:ascii="Arial" w:hAnsi="Arial" w:cs="Arial"/>
          <w:sz w:val="20"/>
          <w:lang w:val="en-GB"/>
        </w:rPr>
        <w:t xml:space="preserve"> </w:t>
      </w:r>
      <w:r w:rsidRPr="00B7386E">
        <w:rPr>
          <w:rFonts w:ascii="Arial" w:hAnsi="Arial" w:cs="Arial"/>
          <w:sz w:val="20"/>
          <w:lang w:val="en-GB"/>
        </w:rPr>
        <w:t xml:space="preserve">and in retail trade (33%). </w:t>
      </w:r>
    </w:p>
    <w:p w:rsidR="009B63B1" w:rsidRPr="00B7386E" w:rsidRDefault="009B63B1" w:rsidP="009B63B1">
      <w:pPr>
        <w:numPr>
          <w:ilvl w:val="0"/>
          <w:numId w:val="28"/>
        </w:numPr>
        <w:tabs>
          <w:tab w:val="left" w:pos="284"/>
        </w:tabs>
        <w:autoSpaceDE w:val="0"/>
        <w:autoSpaceDN w:val="0"/>
        <w:adjustRightInd w:val="0"/>
        <w:spacing w:after="80" w:line="264" w:lineRule="auto"/>
        <w:ind w:left="284" w:hanging="284"/>
        <w:jc w:val="both"/>
        <w:rPr>
          <w:rFonts w:cs="Arial"/>
        </w:rPr>
      </w:pPr>
      <w:r w:rsidRPr="00B7386E">
        <w:t xml:space="preserve">In January </w:t>
      </w:r>
      <w:r w:rsidRPr="00177E91">
        <w:t>2017</w:t>
      </w:r>
      <w:r w:rsidRPr="00177E91">
        <w:rPr>
          <w:szCs w:val="20"/>
        </w:rPr>
        <w:t>,</w:t>
      </w:r>
      <w:r w:rsidRPr="00177E91">
        <w:t xml:space="preserve"> </w:t>
      </w:r>
      <w:r w:rsidRPr="00B7386E">
        <w:t xml:space="preserve">only 5.6% of all enterprises used a </w:t>
      </w:r>
      <w:r w:rsidRPr="00B7386E">
        <w:rPr>
          <w:b/>
        </w:rPr>
        <w:t>Data Box</w:t>
      </w:r>
      <w:r w:rsidRPr="00177E91">
        <w:rPr>
          <w:szCs w:val="20"/>
        </w:rPr>
        <w:t>,</w:t>
      </w:r>
      <w:r w:rsidRPr="00177E91">
        <w:t xml:space="preserve"> </w:t>
      </w:r>
      <w:r w:rsidRPr="00B7386E">
        <w:t xml:space="preserve">in order to send an invoice; this mainly concerned large entities (11%). Nevertheless, in comparison with previous years, the share of Data Boxes used in order to send electronic invoices </w:t>
      </w:r>
      <w:r w:rsidRPr="00177E91">
        <w:t>has been increasing slightly</w:t>
      </w:r>
      <w:r w:rsidRPr="00B7386E">
        <w:t xml:space="preserve">. In 2017, invoices were </w:t>
      </w:r>
      <w:r w:rsidRPr="00177E91">
        <w:t>mainly</w:t>
      </w:r>
      <w:r>
        <w:rPr>
          <w:color w:val="FF0000"/>
        </w:rPr>
        <w:t xml:space="preserve"> </w:t>
      </w:r>
      <w:r w:rsidRPr="00B7386E">
        <w:t>sent by means of Data Boxes by enterprises operating in telecommunication services (21%).</w:t>
      </w:r>
    </w:p>
    <w:p w:rsidR="009B63B1" w:rsidRPr="00B7386E" w:rsidRDefault="009B63B1" w:rsidP="009B63B1">
      <w:pPr>
        <w:pStyle w:val="Zkladntext"/>
        <w:numPr>
          <w:ilvl w:val="0"/>
          <w:numId w:val="28"/>
        </w:numPr>
        <w:spacing w:before="0" w:after="80" w:line="264" w:lineRule="auto"/>
        <w:ind w:left="284" w:hanging="284"/>
        <w:rPr>
          <w:rFonts w:cs="Arial"/>
          <w:sz w:val="20"/>
          <w:lang w:val="en-GB"/>
        </w:rPr>
      </w:pPr>
      <w:r w:rsidRPr="00177E91">
        <w:rPr>
          <w:sz w:val="20"/>
          <w:lang w:val="en-GB"/>
        </w:rPr>
        <w:t xml:space="preserve">In regard to </w:t>
      </w:r>
      <w:r w:rsidRPr="00B7386E">
        <w:rPr>
          <w:sz w:val="20"/>
          <w:lang w:val="en-GB"/>
        </w:rPr>
        <w:t xml:space="preserve">sending invoices </w:t>
      </w:r>
      <w:r w:rsidRPr="00177E91">
        <w:rPr>
          <w:sz w:val="20"/>
          <w:lang w:val="en-GB"/>
        </w:rPr>
        <w:t>electronically</w:t>
      </w:r>
      <w:r w:rsidRPr="00177E91">
        <w:rPr>
          <w:sz w:val="20"/>
          <w:szCs w:val="20"/>
        </w:rPr>
        <w:t>,</w:t>
      </w:r>
      <w:r w:rsidRPr="00177E91">
        <w:rPr>
          <w:sz w:val="20"/>
          <w:lang w:val="en-GB"/>
        </w:rPr>
        <w:t xml:space="preserve"> in </w:t>
      </w:r>
      <w:r w:rsidRPr="00B7386E">
        <w:rPr>
          <w:sz w:val="20"/>
          <w:lang w:val="en-GB"/>
        </w:rPr>
        <w:t>January 2017, in international compariso</w:t>
      </w:r>
      <w:r w:rsidRPr="00177E91">
        <w:rPr>
          <w:sz w:val="20"/>
          <w:lang w:val="en-GB"/>
        </w:rPr>
        <w:t>n</w:t>
      </w:r>
      <w:r w:rsidRPr="00177E91">
        <w:rPr>
          <w:sz w:val="20"/>
          <w:szCs w:val="20"/>
        </w:rPr>
        <w:t>,</w:t>
      </w:r>
      <w:r w:rsidRPr="00177E91">
        <w:rPr>
          <w:sz w:val="20"/>
          <w:lang w:val="en-GB"/>
        </w:rPr>
        <w:t xml:space="preserve"> </w:t>
      </w:r>
      <w:r w:rsidRPr="00B7386E">
        <w:rPr>
          <w:sz w:val="20"/>
          <w:lang w:val="en-GB"/>
        </w:rPr>
        <w:t xml:space="preserve">Czech enterprises are highly </w:t>
      </w:r>
      <w:r w:rsidRPr="00B7386E">
        <w:rPr>
          <w:b/>
          <w:sz w:val="20"/>
          <w:lang w:val="en-GB"/>
        </w:rPr>
        <w:t>above the average (6th place)</w:t>
      </w:r>
      <w:r w:rsidRPr="00B7386E">
        <w:rPr>
          <w:sz w:val="20"/>
          <w:lang w:val="en-GB"/>
        </w:rPr>
        <w:t>. However, should we form the comparison solely out of fully</w:t>
      </w:r>
      <w:r>
        <w:rPr>
          <w:sz w:val="20"/>
          <w:lang w:val="en-GB"/>
        </w:rPr>
        <w:t xml:space="preserve"> automated e-i</w:t>
      </w:r>
      <w:r w:rsidRPr="00B7386E">
        <w:rPr>
          <w:sz w:val="20"/>
          <w:lang w:val="en-GB"/>
        </w:rPr>
        <w:t xml:space="preserve">nvoices, in EU28 </w:t>
      </w:r>
      <w:r w:rsidRPr="00177E91">
        <w:rPr>
          <w:sz w:val="20"/>
          <w:lang w:val="en-GB"/>
        </w:rPr>
        <w:t>comparison</w:t>
      </w:r>
      <w:r w:rsidRPr="00177E91">
        <w:rPr>
          <w:sz w:val="20"/>
          <w:szCs w:val="20"/>
        </w:rPr>
        <w:t>,</w:t>
      </w:r>
      <w:r w:rsidRPr="00B7386E">
        <w:rPr>
          <w:sz w:val="20"/>
          <w:lang w:val="en-GB"/>
        </w:rPr>
        <w:t xml:space="preserve"> such usage by Czech enterprises would be</w:t>
      </w:r>
      <w:r>
        <w:rPr>
          <w:sz w:val="20"/>
          <w:lang w:val="en-GB"/>
        </w:rPr>
        <w:t xml:space="preserve"> approximately average. Most e-i</w:t>
      </w:r>
      <w:r w:rsidRPr="00B7386E">
        <w:rPr>
          <w:sz w:val="20"/>
          <w:lang w:val="en-GB"/>
        </w:rPr>
        <w:t>nvoices are issued by enterprises in Finland, Denmark, and in Slovenia.</w:t>
      </w:r>
    </w:p>
    <w:p w:rsidR="009B63B1" w:rsidRDefault="009B63B1" w:rsidP="009B63B1">
      <w:pPr>
        <w:pStyle w:val="Zkladntext"/>
        <w:widowControl w:val="0"/>
        <w:spacing w:before="160" w:after="100" w:line="264" w:lineRule="auto"/>
        <w:rPr>
          <w:rFonts w:cs="Arial"/>
          <w:sz w:val="20"/>
          <w:lang w:val="en-GB"/>
        </w:rPr>
      </w:pPr>
      <w:r>
        <w:rPr>
          <w:noProof/>
        </w:rPr>
        <w:drawing>
          <wp:inline distT="0" distB="0" distL="0" distR="0" wp14:anchorId="2D04D0DF" wp14:editId="2CCDBF93">
            <wp:extent cx="5972400" cy="3960000"/>
            <wp:effectExtent l="0" t="0" r="0" b="254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B63B1" w:rsidRPr="00354A2B" w:rsidRDefault="009B63B1" w:rsidP="002875D6">
      <w:pPr>
        <w:pStyle w:val="Nadpis3"/>
        <w:pageBreakBefore/>
        <w:spacing w:before="0"/>
      </w:pPr>
      <w:bookmarkStart w:id="137" w:name="_Toc533697535"/>
      <w:bookmarkStart w:id="138" w:name="_Toc534712034"/>
      <w:r>
        <w:lastRenderedPageBreak/>
        <w:t>Enterprises buying online and value of their e</w:t>
      </w:r>
      <w:r w:rsidRPr="00354A2B">
        <w:t>lectronic purchases</w:t>
      </w:r>
      <w:bookmarkEnd w:id="137"/>
      <w:bookmarkEnd w:id="138"/>
      <w:r w:rsidRPr="00354A2B">
        <w:t xml:space="preserve"> </w:t>
      </w:r>
    </w:p>
    <w:p w:rsidR="009B63B1" w:rsidRPr="00FA2A41" w:rsidRDefault="009B63B1" w:rsidP="009B63B1">
      <w:pPr>
        <w:pStyle w:val="Zkladntext"/>
        <w:spacing w:before="0" w:after="80" w:line="264" w:lineRule="auto"/>
        <w:rPr>
          <w:bCs/>
          <w:i/>
          <w:sz w:val="20"/>
          <w:lang w:val="en-GB"/>
        </w:rPr>
      </w:pPr>
      <w:r w:rsidRPr="00FA2A41">
        <w:rPr>
          <w:bCs/>
          <w:i/>
          <w:sz w:val="20"/>
          <w:lang w:val="en-GB"/>
        </w:rPr>
        <w:t xml:space="preserve">On a long-term basis, Czech enterprises have been very successful within the monitored </w:t>
      </w:r>
      <w:r w:rsidRPr="009F1098">
        <w:rPr>
          <w:bCs/>
          <w:i/>
          <w:sz w:val="20"/>
          <w:lang w:val="en-GB"/>
        </w:rPr>
        <w:t>indicators</w:t>
      </w:r>
      <w:r w:rsidRPr="00975788">
        <w:rPr>
          <w:bCs/>
          <w:i/>
          <w:sz w:val="20"/>
          <w:lang w:val="en-GB"/>
        </w:rPr>
        <w:t>,</w:t>
      </w:r>
      <w:r w:rsidRPr="00FA2A41">
        <w:rPr>
          <w:bCs/>
          <w:i/>
          <w:sz w:val="20"/>
          <w:lang w:val="en-GB"/>
        </w:rPr>
        <w:t xml:space="preserve"> in the area of e-commerce</w:t>
      </w:r>
      <w:r w:rsidRPr="007071F7">
        <w:rPr>
          <w:sz w:val="20"/>
          <w:szCs w:val="20"/>
          <w:vertAlign w:val="superscript"/>
        </w:rPr>
        <w:footnoteReference w:id="45"/>
      </w:r>
      <w:r w:rsidR="00895063">
        <w:rPr>
          <w:bCs/>
          <w:i/>
          <w:sz w:val="20"/>
          <w:lang w:val="en-GB"/>
        </w:rPr>
        <w:t>.</w:t>
      </w:r>
      <w:r w:rsidRPr="00975788">
        <w:rPr>
          <w:bCs/>
          <w:i/>
          <w:sz w:val="20"/>
          <w:vertAlign w:val="superscript"/>
          <w:lang w:val="en-GB"/>
        </w:rPr>
        <w:t>.</w:t>
      </w:r>
      <w:r w:rsidRPr="00FA2A41">
        <w:rPr>
          <w:bCs/>
          <w:i/>
          <w:sz w:val="20"/>
          <w:lang w:val="en-GB"/>
        </w:rPr>
        <w:t xml:space="preserve">Not only is the number of enterprises conducting electronic purchases increasing, but, above all, the value of e-purchases is increasing. </w:t>
      </w:r>
      <w:r w:rsidRPr="00F453D8">
        <w:rPr>
          <w:bCs/>
          <w:i/>
          <w:sz w:val="20"/>
          <w:lang w:val="en-GB"/>
        </w:rPr>
        <w:t>It is a fact that for many y</w:t>
      </w:r>
      <w:r w:rsidRPr="00FA2A41">
        <w:rPr>
          <w:bCs/>
          <w:i/>
          <w:sz w:val="20"/>
          <w:lang w:val="en-GB"/>
        </w:rPr>
        <w:t>ears</w:t>
      </w:r>
      <w:r w:rsidRPr="00F453D8">
        <w:rPr>
          <w:i/>
          <w:sz w:val="20"/>
          <w:szCs w:val="20"/>
        </w:rPr>
        <w:t>,</w:t>
      </w:r>
      <w:r w:rsidRPr="00FA2A41">
        <w:rPr>
          <w:bCs/>
          <w:i/>
          <w:color w:val="FF0000"/>
          <w:sz w:val="20"/>
          <w:lang w:val="en-GB"/>
        </w:rPr>
        <w:t xml:space="preserve"> </w:t>
      </w:r>
      <w:r w:rsidRPr="00FA2A41">
        <w:rPr>
          <w:bCs/>
          <w:i/>
          <w:sz w:val="20"/>
          <w:lang w:val="en-GB"/>
        </w:rPr>
        <w:t>with respect to e-purchase</w:t>
      </w:r>
      <w:r w:rsidRPr="00F453D8">
        <w:rPr>
          <w:bCs/>
          <w:i/>
          <w:sz w:val="20"/>
          <w:lang w:val="en-GB"/>
        </w:rPr>
        <w:t>s</w:t>
      </w:r>
      <w:r w:rsidRPr="00FA2A41">
        <w:rPr>
          <w:bCs/>
          <w:i/>
          <w:sz w:val="20"/>
          <w:lang w:val="en-GB"/>
        </w:rPr>
        <w:t xml:space="preserve">, enterprises prefer purchasing via websites over purchasing via EDI messages. On a long-term basis, despite the fact that enterprises make frequent purchases via website, the value of such purchases is relatively low. Higher amounts of money are spent via EDI messages.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In 2016, 57% of enterprises in the Czech Republic – twice as many as eight years ago – </w:t>
      </w:r>
      <w:r w:rsidRPr="00B7386E">
        <w:rPr>
          <w:b/>
          <w:sz w:val="20"/>
          <w:lang w:val="en-GB"/>
        </w:rPr>
        <w:t>placed an electronic order</w:t>
      </w:r>
      <w:r w:rsidRPr="00B7386E">
        <w:rPr>
          <w:sz w:val="20"/>
          <w:lang w:val="en-GB"/>
        </w:rPr>
        <w:t xml:space="preserve"> via the </w:t>
      </w:r>
      <w:r w:rsidRPr="00F453D8">
        <w:rPr>
          <w:sz w:val="20"/>
          <w:lang w:val="en-GB"/>
        </w:rPr>
        <w:t>internet</w:t>
      </w:r>
      <w:r w:rsidRPr="00F453D8">
        <w:rPr>
          <w:sz w:val="20"/>
          <w:szCs w:val="20"/>
        </w:rPr>
        <w:t>,</w:t>
      </w:r>
      <w:r w:rsidRPr="00B7386E">
        <w:rPr>
          <w:sz w:val="20"/>
          <w:lang w:val="en-GB"/>
        </w:rPr>
        <w:t xml:space="preserve"> or another computer network. </w:t>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iCs/>
          <w:szCs w:val="20"/>
        </w:rPr>
      </w:pPr>
      <w:r w:rsidRPr="00B7386E">
        <w:t xml:space="preserve">Electronic purchases are preferred by large enterprises (in 2016, these were realised by 54% of small enterprises and by 80% of large ones). </w:t>
      </w:r>
      <w:r w:rsidRPr="00B7386E">
        <w:rPr>
          <w:b/>
        </w:rPr>
        <w:t>With respect to industries</w:t>
      </w:r>
      <w:r w:rsidRPr="00B7386E">
        <w:t xml:space="preserve">, e-purchases are mostly used by entities providing telecommunication </w:t>
      </w:r>
      <w:r w:rsidRPr="00F453D8">
        <w:t>services</w:t>
      </w:r>
      <w:r w:rsidRPr="00F453D8">
        <w:rPr>
          <w:szCs w:val="20"/>
        </w:rPr>
        <w:t>,</w:t>
      </w:r>
      <w:r w:rsidRPr="00F453D8">
        <w:rPr>
          <w:b/>
        </w:rPr>
        <w:t xml:space="preserve"> </w:t>
      </w:r>
      <w:r w:rsidRPr="00B7386E">
        <w:t xml:space="preserve">where e-orders are placed by over 90% of entities. </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Over the past few years, the</w:t>
      </w:r>
      <w:r w:rsidRPr="00B7386E">
        <w:rPr>
          <w:b/>
          <w:sz w:val="20"/>
          <w:lang w:val="en-GB"/>
        </w:rPr>
        <w:t xml:space="preserve"> value of Czech enterprises' e-</w:t>
      </w:r>
      <w:r w:rsidRPr="00F453D8">
        <w:rPr>
          <w:b/>
          <w:sz w:val="20"/>
          <w:lang w:val="en-GB"/>
        </w:rPr>
        <w:t>purchasing</w:t>
      </w:r>
      <w:r w:rsidRPr="00F453D8">
        <w:rPr>
          <w:sz w:val="20"/>
          <w:szCs w:val="20"/>
        </w:rPr>
        <w:t>,</w:t>
      </w:r>
      <w:r w:rsidRPr="00B7386E">
        <w:rPr>
          <w:sz w:val="20"/>
          <w:lang w:val="en-GB"/>
        </w:rPr>
        <w:t xml:space="preserve"> realised via orders placed in computer </w:t>
      </w:r>
      <w:r w:rsidRPr="00F453D8">
        <w:rPr>
          <w:sz w:val="20"/>
          <w:lang w:val="en-GB"/>
        </w:rPr>
        <w:t>networks</w:t>
      </w:r>
      <w:r w:rsidRPr="00F453D8">
        <w:rPr>
          <w:sz w:val="20"/>
          <w:szCs w:val="20"/>
        </w:rPr>
        <w:t>,</w:t>
      </w:r>
      <w:r w:rsidRPr="00B7386E">
        <w:rPr>
          <w:sz w:val="20"/>
          <w:lang w:val="en-GB"/>
        </w:rPr>
        <w:t xml:space="preserve"> has been increasing. Whereas in 2010</w:t>
      </w:r>
      <w:r w:rsidRPr="001756A6">
        <w:rPr>
          <w:sz w:val="20"/>
          <w:szCs w:val="20"/>
        </w:rPr>
        <w:t>,</w:t>
      </w:r>
      <w:r w:rsidRPr="00B7386E">
        <w:rPr>
          <w:sz w:val="20"/>
          <w:lang w:val="en-GB"/>
        </w:rPr>
        <w:t xml:space="preserve"> the share of this e-purchasing reached 25% of their total volume, in 2016</w:t>
      </w:r>
      <w:r w:rsidRPr="00F453D8">
        <w:rPr>
          <w:sz w:val="20"/>
          <w:szCs w:val="20"/>
        </w:rPr>
        <w:t>,</w:t>
      </w:r>
      <w:r w:rsidRPr="00F453D8">
        <w:rPr>
          <w:sz w:val="20"/>
          <w:lang w:val="en-GB"/>
        </w:rPr>
        <w:t xml:space="preserve"> </w:t>
      </w:r>
      <w:r w:rsidRPr="00B7386E">
        <w:rPr>
          <w:sz w:val="20"/>
          <w:lang w:val="en-GB"/>
        </w:rPr>
        <w:t>the share was already</w:t>
      </w:r>
      <w:r>
        <w:rPr>
          <w:sz w:val="20"/>
          <w:lang w:val="en-GB"/>
        </w:rPr>
        <w:t xml:space="preserve"> </w:t>
      </w:r>
      <w:r w:rsidRPr="00F453D8">
        <w:rPr>
          <w:sz w:val="20"/>
          <w:lang w:val="en-GB"/>
        </w:rPr>
        <w:t>at</w:t>
      </w:r>
      <w:r w:rsidRPr="00B7386E">
        <w:rPr>
          <w:sz w:val="20"/>
          <w:lang w:val="en-GB"/>
        </w:rPr>
        <w:t xml:space="preserve"> 41%.</w:t>
      </w:r>
    </w:p>
    <w:p w:rsidR="009B63B1" w:rsidRDefault="009B63B1" w:rsidP="007B46EA">
      <w:pPr>
        <w:keepNext/>
        <w:numPr>
          <w:ilvl w:val="0"/>
          <w:numId w:val="15"/>
        </w:numPr>
        <w:tabs>
          <w:tab w:val="clear" w:pos="360"/>
          <w:tab w:val="num" w:pos="284"/>
        </w:tabs>
        <w:autoSpaceDE w:val="0"/>
        <w:autoSpaceDN w:val="0"/>
        <w:adjustRightInd w:val="0"/>
        <w:spacing w:after="40" w:line="264" w:lineRule="auto"/>
        <w:ind w:left="284" w:hanging="284"/>
        <w:jc w:val="both"/>
      </w:pPr>
      <w:r w:rsidRPr="00B7386E">
        <w:t xml:space="preserve">On a long-term </w:t>
      </w:r>
      <w:r w:rsidRPr="00F453D8">
        <w:t>basis</w:t>
      </w:r>
      <w:r w:rsidRPr="001756A6">
        <w:rPr>
          <w:szCs w:val="20"/>
        </w:rPr>
        <w:t>,</w:t>
      </w:r>
      <w:r w:rsidRPr="00B7386E">
        <w:t xml:space="preserve"> when purchasing electronically, enterprises prefer purchases </w:t>
      </w:r>
      <w:r w:rsidRPr="001756A6">
        <w:rPr>
          <w:b/>
        </w:rPr>
        <w:t xml:space="preserve">via website </w:t>
      </w:r>
      <w:r w:rsidRPr="00B7386E">
        <w:t xml:space="preserve">over </w:t>
      </w:r>
      <w:r w:rsidRPr="001756A6">
        <w:rPr>
          <w:b/>
        </w:rPr>
        <w:t>EDI messages</w:t>
      </w:r>
      <w:r w:rsidRPr="00B80523">
        <w:rPr>
          <w:rStyle w:val="Znakapoznpodarou"/>
          <w:b/>
        </w:rPr>
        <w:footnoteReference w:id="46"/>
      </w:r>
      <w:r w:rsidRPr="00B7386E">
        <w:t>. In 2016, more than a half of enterprises (55%) in the Czech Republic claimed to have made purchases via website</w:t>
      </w:r>
      <w:r w:rsidRPr="001756A6">
        <w:rPr>
          <w:szCs w:val="20"/>
        </w:rPr>
        <w:t>,</w:t>
      </w:r>
      <w:r w:rsidRPr="00B7386E">
        <w:t xml:space="preserve"> as opposed to approximately a fifth of them (21%)</w:t>
      </w:r>
      <w:r w:rsidRPr="005860C6">
        <w:rPr>
          <w:szCs w:val="20"/>
        </w:rPr>
        <w:t>,</w:t>
      </w:r>
      <w:r w:rsidRPr="00B7386E">
        <w:t xml:space="preserve"> th</w:t>
      </w:r>
      <w:r w:rsidR="001756A6">
        <w:t>at used so called EDI messages.</w:t>
      </w:r>
      <w:r w:rsidRPr="00B7386E">
        <w:rPr>
          <w:noProof/>
        </w:rPr>
        <w:t xml:space="preserve"> </w:t>
      </w:r>
    </w:p>
    <w:p w:rsidR="009B63B1" w:rsidRPr="00B7386E" w:rsidRDefault="001756A6" w:rsidP="009B63B1">
      <w:pPr>
        <w:autoSpaceDE w:val="0"/>
        <w:autoSpaceDN w:val="0"/>
        <w:adjustRightInd w:val="0"/>
        <w:spacing w:after="40"/>
        <w:jc w:val="both"/>
        <w:rPr>
          <w:noProof/>
        </w:rPr>
      </w:pPr>
      <w:r w:rsidRPr="00B7386E">
        <w:rPr>
          <w:noProof/>
          <w:lang w:val="cs-CZ"/>
        </w:rPr>
        <w:drawing>
          <wp:anchor distT="0" distB="0" distL="114300" distR="114300" simplePos="0" relativeHeight="251606528" behindDoc="1" locked="0" layoutInCell="1" allowOverlap="1">
            <wp:simplePos x="0" y="0"/>
            <wp:positionH relativeFrom="column">
              <wp:posOffset>146685</wp:posOffset>
            </wp:positionH>
            <wp:positionV relativeFrom="paragraph">
              <wp:posOffset>13335</wp:posOffset>
            </wp:positionV>
            <wp:extent cx="2987675" cy="3059430"/>
            <wp:effectExtent l="0" t="0" r="3175" b="7620"/>
            <wp:wrapTight wrapText="bothSides">
              <wp:wrapPolygon edited="0">
                <wp:start x="0" y="0"/>
                <wp:lineTo x="0" y="21519"/>
                <wp:lineTo x="21485" y="21519"/>
                <wp:lineTo x="21485" y="0"/>
                <wp:lineTo x="0" y="0"/>
              </wp:wrapPolygon>
            </wp:wrapTight>
            <wp:docPr id="174" name="Graf 174">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r w:rsidR="009B63B1" w:rsidRPr="00B7386E">
        <w:rPr>
          <w:noProof/>
          <w:lang w:val="cs-CZ"/>
        </w:rPr>
        <w:drawing>
          <wp:inline distT="0" distB="0" distL="0" distR="0" wp14:anchorId="0381BA5A" wp14:editId="22D6BDC1">
            <wp:extent cx="3060000" cy="3060000"/>
            <wp:effectExtent l="0" t="0" r="7620" b="7620"/>
            <wp:docPr id="175" name="Graf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B63B1" w:rsidRPr="00B7386E" w:rsidRDefault="009B63B1" w:rsidP="009B63B1">
      <w:pPr>
        <w:spacing w:line="240" w:lineRule="auto"/>
        <w:jc w:val="both"/>
        <w:rPr>
          <w:rFonts w:cs="Arial"/>
          <w:color w:val="000000"/>
          <w:sz w:val="16"/>
          <w:szCs w:val="16"/>
        </w:rPr>
      </w:pPr>
      <w:r w:rsidRPr="00B7386E">
        <w:rPr>
          <w:rFonts w:cs="Arial"/>
          <w:color w:val="000000"/>
          <w:sz w:val="16"/>
          <w:szCs w:val="16"/>
        </w:rPr>
        <w:t xml:space="preserve">* as a percentage </w:t>
      </w:r>
      <w:r w:rsidRPr="00B7386E">
        <w:rPr>
          <w:rFonts w:cs="Arial"/>
          <w:color w:val="000000"/>
          <w:sz w:val="16"/>
          <w:szCs w:val="16"/>
          <w:u w:val="single"/>
        </w:rPr>
        <w:t>of all enterprises</w:t>
      </w:r>
      <w:r>
        <w:rPr>
          <w:rFonts w:cs="Arial"/>
          <w:color w:val="000000"/>
          <w:sz w:val="16"/>
          <w:szCs w:val="16"/>
        </w:rPr>
        <w:t xml:space="preserve"> with 10+ employees </w:t>
      </w:r>
      <w:r>
        <w:rPr>
          <w:rFonts w:cs="Arial"/>
          <w:color w:val="000000"/>
          <w:sz w:val="16"/>
          <w:szCs w:val="16"/>
        </w:rPr>
        <w:tab/>
      </w:r>
      <w:r>
        <w:rPr>
          <w:rFonts w:cs="Arial"/>
          <w:color w:val="000000"/>
          <w:sz w:val="16"/>
          <w:szCs w:val="16"/>
        </w:rPr>
        <w:tab/>
        <w:t>*</w:t>
      </w:r>
      <w:r w:rsidRPr="00B7386E">
        <w:rPr>
          <w:rFonts w:cs="Arial"/>
          <w:color w:val="000000"/>
          <w:sz w:val="16"/>
          <w:szCs w:val="16"/>
        </w:rPr>
        <w:t xml:space="preserve"> as a percentage </w:t>
      </w:r>
      <w:r w:rsidRPr="00B7386E">
        <w:rPr>
          <w:rFonts w:cs="Arial"/>
          <w:color w:val="000000"/>
          <w:sz w:val="16"/>
          <w:szCs w:val="16"/>
          <w:u w:val="single"/>
        </w:rPr>
        <w:t>of total purchases' value</w:t>
      </w:r>
      <w:r w:rsidRPr="00B7386E">
        <w:rPr>
          <w:rFonts w:cs="Arial"/>
          <w:color w:val="000000"/>
          <w:sz w:val="16"/>
          <w:szCs w:val="16"/>
        </w:rPr>
        <w:t xml:space="preserve"> of enterprises with in a given size class</w:t>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t>10+ employees</w:t>
      </w:r>
    </w:p>
    <w:p w:rsidR="001756A6" w:rsidRDefault="001756A6" w:rsidP="009B63B1">
      <w:pPr>
        <w:numPr>
          <w:ilvl w:val="0"/>
          <w:numId w:val="15"/>
        </w:numPr>
        <w:tabs>
          <w:tab w:val="clear" w:pos="360"/>
          <w:tab w:val="num" w:pos="284"/>
        </w:tabs>
        <w:autoSpaceDE w:val="0"/>
        <w:autoSpaceDN w:val="0"/>
        <w:adjustRightInd w:val="0"/>
        <w:spacing w:after="80" w:line="264" w:lineRule="auto"/>
        <w:ind w:left="284" w:hanging="284"/>
        <w:jc w:val="both"/>
        <w:sectPr w:rsidR="001756A6" w:rsidSect="001756A6">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134" w:right="1134" w:bottom="1418" w:left="1134" w:header="680" w:footer="680" w:gutter="0"/>
          <w:cols w:space="708"/>
          <w:docGrid w:linePitch="360"/>
        </w:sectPr>
      </w:pP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iCs/>
          <w:szCs w:val="20"/>
        </w:rPr>
      </w:pPr>
      <w:r w:rsidRPr="00B7386E">
        <w:lastRenderedPageBreak/>
        <w:t>Despite the fact that electronic purchasing via website</w:t>
      </w:r>
      <w:r w:rsidRPr="00981A8B">
        <w:t>s</w:t>
      </w:r>
      <w:r w:rsidRPr="00B7386E">
        <w:t xml:space="preserve"> is much more common for enterprises in the Czech Republic, the </w:t>
      </w:r>
      <w:r w:rsidRPr="00B7386E">
        <w:rPr>
          <w:b/>
        </w:rPr>
        <w:t xml:space="preserve">frequency of e-purchases </w:t>
      </w:r>
      <w:r w:rsidRPr="00B7386E">
        <w:t xml:space="preserve">(i.e. the value share of e-purchases over the total value of enterprises’ purchases) realised via EDI messages (26% in 2016), most frequently used for trading between the enterprises within a supply chain, is higher by two </w:t>
      </w:r>
      <w:r w:rsidRPr="00981A8B">
        <w:t>thirds</w:t>
      </w:r>
      <w:r w:rsidRPr="00981A8B">
        <w:rPr>
          <w:szCs w:val="20"/>
        </w:rPr>
        <w:t>,</w:t>
      </w:r>
      <w:r w:rsidRPr="00981A8B">
        <w:t xml:space="preserve"> compared </w:t>
      </w:r>
      <w:r w:rsidRPr="00B7386E">
        <w:t>to the frequency of enterprises’ e-purchases via website</w:t>
      </w:r>
      <w:r w:rsidRPr="00981A8B">
        <w:t>s</w:t>
      </w:r>
      <w:r w:rsidRPr="00B7386E">
        <w:t xml:space="preserve"> (15% in 2016).</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szCs w:val="20"/>
          <w:lang w:val="en-GB"/>
        </w:rPr>
      </w:pPr>
      <w:r w:rsidRPr="00B7386E">
        <w:rPr>
          <w:iCs/>
          <w:sz w:val="20"/>
          <w:szCs w:val="20"/>
          <w:lang w:val="en-GB"/>
        </w:rPr>
        <w:t xml:space="preserve">In 2016, the highest frequency of e-purchases realised </w:t>
      </w:r>
      <w:r w:rsidRPr="00B7386E">
        <w:rPr>
          <w:b/>
          <w:iCs/>
          <w:sz w:val="20"/>
          <w:szCs w:val="20"/>
          <w:lang w:val="en-GB"/>
        </w:rPr>
        <w:t>via</w:t>
      </w:r>
      <w:r w:rsidRPr="00B7386E">
        <w:rPr>
          <w:iCs/>
          <w:sz w:val="20"/>
          <w:szCs w:val="20"/>
          <w:lang w:val="en-GB"/>
        </w:rPr>
        <w:t xml:space="preserve"> </w:t>
      </w:r>
      <w:r w:rsidRPr="00981A8B">
        <w:rPr>
          <w:b/>
          <w:iCs/>
          <w:sz w:val="20"/>
          <w:szCs w:val="20"/>
          <w:lang w:val="en-GB"/>
        </w:rPr>
        <w:t>websites</w:t>
      </w:r>
      <w:r w:rsidRPr="00981A8B">
        <w:rPr>
          <w:sz w:val="20"/>
          <w:szCs w:val="20"/>
        </w:rPr>
        <w:t>,</w:t>
      </w:r>
      <w:r w:rsidRPr="00981A8B">
        <w:rPr>
          <w:iCs/>
          <w:sz w:val="20"/>
          <w:szCs w:val="20"/>
          <w:lang w:val="en-GB"/>
        </w:rPr>
        <w:t xml:space="preserve"> </w:t>
      </w:r>
      <w:r w:rsidRPr="00B7386E">
        <w:rPr>
          <w:iCs/>
          <w:sz w:val="20"/>
          <w:szCs w:val="20"/>
          <w:lang w:val="en-GB"/>
        </w:rPr>
        <w:t>was recorded</w:t>
      </w:r>
      <w:r w:rsidRPr="00B7386E">
        <w:rPr>
          <w:b/>
          <w:iCs/>
          <w:sz w:val="20"/>
          <w:szCs w:val="20"/>
          <w:lang w:val="en-GB"/>
        </w:rPr>
        <w:t xml:space="preserve"> </w:t>
      </w:r>
      <w:r w:rsidRPr="00B7386E">
        <w:rPr>
          <w:iCs/>
          <w:sz w:val="20"/>
          <w:szCs w:val="20"/>
          <w:lang w:val="en-GB"/>
        </w:rPr>
        <w:t>by enterprises</w:t>
      </w:r>
      <w:r w:rsidRPr="00B7386E">
        <w:rPr>
          <w:b/>
          <w:iCs/>
          <w:sz w:val="20"/>
          <w:szCs w:val="20"/>
          <w:lang w:val="en-GB"/>
        </w:rPr>
        <w:t xml:space="preserve"> </w:t>
      </w:r>
      <w:r w:rsidRPr="00B7386E">
        <w:rPr>
          <w:iCs/>
          <w:sz w:val="20"/>
          <w:szCs w:val="20"/>
          <w:lang w:val="en-GB"/>
        </w:rPr>
        <w:t>active in computer programming and related activities</w:t>
      </w:r>
      <w:r w:rsidRPr="00981A8B">
        <w:rPr>
          <w:sz w:val="20"/>
          <w:szCs w:val="20"/>
        </w:rPr>
        <w:t>,</w:t>
      </w:r>
      <w:r w:rsidRPr="00B7386E">
        <w:rPr>
          <w:b/>
          <w:iCs/>
          <w:sz w:val="20"/>
          <w:szCs w:val="20"/>
          <w:lang w:val="en-GB"/>
        </w:rPr>
        <w:t xml:space="preserve"> </w:t>
      </w:r>
      <w:r w:rsidRPr="00B7386E">
        <w:rPr>
          <w:iCs/>
          <w:sz w:val="20"/>
          <w:szCs w:val="20"/>
          <w:lang w:val="en-GB"/>
        </w:rPr>
        <w:t xml:space="preserve">where these electronic commercial transactions took 41% share in the financial value of their total purchases. </w:t>
      </w:r>
      <w:r w:rsidRPr="00B7386E">
        <w:rPr>
          <w:sz w:val="20"/>
          <w:szCs w:val="20"/>
          <w:lang w:val="en-GB"/>
        </w:rPr>
        <w:t xml:space="preserve">With respect to industries, the frequency of </w:t>
      </w:r>
      <w:r w:rsidRPr="00B7386E">
        <w:rPr>
          <w:sz w:val="20"/>
          <w:szCs w:val="20"/>
          <w:lang w:val="en-GB"/>
        </w:rPr>
        <w:br/>
        <w:t xml:space="preserve">e-purchases realised via </w:t>
      </w:r>
      <w:r w:rsidRPr="00981A8B">
        <w:rPr>
          <w:sz w:val="20"/>
          <w:szCs w:val="20"/>
          <w:lang w:val="en-GB"/>
        </w:rPr>
        <w:t>website</w:t>
      </w:r>
      <w:r w:rsidRPr="00981A8B">
        <w:rPr>
          <w:sz w:val="20"/>
          <w:szCs w:val="20"/>
        </w:rPr>
        <w:t>,</w:t>
      </w:r>
      <w:r w:rsidRPr="00981A8B">
        <w:rPr>
          <w:sz w:val="20"/>
          <w:szCs w:val="20"/>
          <w:lang w:val="en-GB"/>
        </w:rPr>
        <w:t xml:space="preserve"> was the highest in enterprises active in the </w:t>
      </w:r>
      <w:r w:rsidRPr="00B7386E">
        <w:rPr>
          <w:sz w:val="20"/>
          <w:szCs w:val="20"/>
          <w:lang w:val="en-GB"/>
        </w:rPr>
        <w:t>automotive industry (31%</w:t>
      </w:r>
      <w:r w:rsidRPr="00981A8B">
        <w:rPr>
          <w:sz w:val="20"/>
          <w:szCs w:val="20"/>
          <w:lang w:val="en-GB"/>
        </w:rPr>
        <w:t>)</w:t>
      </w:r>
      <w:r w:rsidRPr="00981A8B">
        <w:rPr>
          <w:sz w:val="20"/>
          <w:szCs w:val="20"/>
        </w:rPr>
        <w:t>,</w:t>
      </w:r>
      <w:r w:rsidRPr="00981A8B">
        <w:rPr>
          <w:sz w:val="20"/>
          <w:szCs w:val="20"/>
          <w:lang w:val="en-GB"/>
        </w:rPr>
        <w:t xml:space="preserve"> </w:t>
      </w:r>
      <w:r w:rsidRPr="00B7386E">
        <w:rPr>
          <w:sz w:val="20"/>
          <w:szCs w:val="20"/>
          <w:lang w:val="en-GB"/>
        </w:rPr>
        <w:t>or enterprises involved in the media sector (29%).</w:t>
      </w:r>
    </w:p>
    <w:p w:rsidR="009B63B1" w:rsidRPr="00B7386E" w:rsidRDefault="009B63B1" w:rsidP="009B63B1">
      <w:pPr>
        <w:numPr>
          <w:ilvl w:val="0"/>
          <w:numId w:val="15"/>
        </w:numPr>
        <w:tabs>
          <w:tab w:val="clear" w:pos="360"/>
        </w:tabs>
        <w:autoSpaceDE w:val="0"/>
        <w:autoSpaceDN w:val="0"/>
        <w:adjustRightInd w:val="0"/>
        <w:spacing w:after="80" w:line="264" w:lineRule="auto"/>
        <w:ind w:left="284" w:hanging="284"/>
        <w:jc w:val="both"/>
        <w:rPr>
          <w:rFonts w:cs="Arial"/>
        </w:rPr>
      </w:pPr>
      <w:r w:rsidRPr="00B7386E">
        <w:t xml:space="preserve">In 2016, the highest </w:t>
      </w:r>
      <w:r w:rsidRPr="00B7386E">
        <w:rPr>
          <w:b/>
        </w:rPr>
        <w:t>frequency</w:t>
      </w:r>
      <w:r w:rsidRPr="00B7386E">
        <w:t xml:space="preserve"> of e-purchases via EDI </w:t>
      </w:r>
      <w:r w:rsidRPr="00981A8B">
        <w:t>messages</w:t>
      </w:r>
      <w:r w:rsidRPr="00981A8B">
        <w:rPr>
          <w:szCs w:val="20"/>
        </w:rPr>
        <w:t>,</w:t>
      </w:r>
      <w:r w:rsidRPr="00B7386E">
        <w:t xml:space="preserve"> in the Czech </w:t>
      </w:r>
      <w:r w:rsidRPr="00981A8B">
        <w:t>Republic</w:t>
      </w:r>
      <w:r w:rsidRPr="00981A8B">
        <w:rPr>
          <w:szCs w:val="20"/>
        </w:rPr>
        <w:t>,</w:t>
      </w:r>
      <w:r w:rsidRPr="00981A8B">
        <w:t xml:space="preserve"> </w:t>
      </w:r>
      <w:r w:rsidRPr="00B7386E">
        <w:t xml:space="preserve">within individual </w:t>
      </w:r>
      <w:r w:rsidRPr="00981A8B">
        <w:t>industries</w:t>
      </w:r>
      <w:r w:rsidRPr="00981A8B">
        <w:rPr>
          <w:szCs w:val="20"/>
        </w:rPr>
        <w:t>,</w:t>
      </w:r>
      <w:r w:rsidRPr="00981A8B">
        <w:t xml:space="preserve"> </w:t>
      </w:r>
      <w:r w:rsidRPr="00B7386E">
        <w:t>was recorded</w:t>
      </w:r>
      <w:r w:rsidRPr="00B7386E">
        <w:rPr>
          <w:b/>
        </w:rPr>
        <w:t xml:space="preserve"> </w:t>
      </w:r>
      <w:r w:rsidRPr="00B7386E">
        <w:t>by enterprises specialised in the production and distribution of energy, gas, water or heat (CZ NACE D</w:t>
      </w:r>
      <w:r w:rsidRPr="00981A8B">
        <w:t>)</w:t>
      </w:r>
      <w:r w:rsidRPr="00981A8B">
        <w:rPr>
          <w:szCs w:val="20"/>
        </w:rPr>
        <w:t>,</w:t>
      </w:r>
      <w:r w:rsidRPr="00B7386E">
        <w:t xml:space="preserve"> where these purchases concerned a half of the financial value of their total purchases. Within the process industry, this frequency was the highest with enterprises involved in computer production</w:t>
      </w:r>
      <w:r w:rsidRPr="00981A8B">
        <w:rPr>
          <w:szCs w:val="20"/>
        </w:rPr>
        <w:t>,</w:t>
      </w:r>
      <w:r w:rsidRPr="00981A8B">
        <w:t xml:space="preserve"> and the </w:t>
      </w:r>
      <w:r w:rsidRPr="00B7386E">
        <w:t xml:space="preserve">production of other electronic appliances and devices, </w:t>
      </w:r>
      <w:r w:rsidRPr="00981A8B">
        <w:t xml:space="preserve">as well as in the </w:t>
      </w:r>
      <w:r w:rsidRPr="00B7386E">
        <w:t>automotive industry. Besides the industrial area, the frequency was also high in telecommunication services or in trading.</w:t>
      </w:r>
    </w:p>
    <w:p w:rsidR="009B63B1" w:rsidRPr="00B7386E" w:rsidRDefault="009B63B1" w:rsidP="009B63B1">
      <w:pPr>
        <w:pStyle w:val="Zkladntext"/>
        <w:numPr>
          <w:ilvl w:val="0"/>
          <w:numId w:val="15"/>
        </w:numPr>
        <w:tabs>
          <w:tab w:val="clear" w:pos="360"/>
          <w:tab w:val="num" w:pos="284"/>
        </w:tabs>
        <w:spacing w:before="0" w:after="80" w:line="264" w:lineRule="auto"/>
        <w:ind w:left="284" w:hanging="284"/>
        <w:rPr>
          <w:sz w:val="20"/>
          <w:lang w:val="en-GB"/>
        </w:rPr>
      </w:pPr>
      <w:r w:rsidRPr="00B7386E">
        <w:rPr>
          <w:sz w:val="20"/>
          <w:lang w:val="en-GB"/>
        </w:rPr>
        <w:t xml:space="preserve">The share of </w:t>
      </w:r>
      <w:r w:rsidRPr="00981A8B">
        <w:rPr>
          <w:sz w:val="20"/>
          <w:lang w:val="en-GB"/>
        </w:rPr>
        <w:t>enterprises</w:t>
      </w:r>
      <w:r w:rsidRPr="00981A8B">
        <w:rPr>
          <w:sz w:val="20"/>
          <w:szCs w:val="20"/>
        </w:rPr>
        <w:t>,</w:t>
      </w:r>
      <w:r w:rsidRPr="00981A8B">
        <w:rPr>
          <w:sz w:val="20"/>
          <w:lang w:val="en-GB"/>
        </w:rPr>
        <w:t xml:space="preserve"> conducting </w:t>
      </w:r>
      <w:r w:rsidRPr="00B7386E">
        <w:rPr>
          <w:sz w:val="20"/>
          <w:lang w:val="en-GB"/>
        </w:rPr>
        <w:t xml:space="preserve">e-purchasing in the Czech </w:t>
      </w:r>
      <w:r w:rsidRPr="00981A8B">
        <w:rPr>
          <w:sz w:val="20"/>
          <w:lang w:val="en-GB"/>
        </w:rPr>
        <w:t>Republic</w:t>
      </w:r>
      <w:r w:rsidRPr="00981A8B">
        <w:rPr>
          <w:sz w:val="20"/>
          <w:szCs w:val="20"/>
        </w:rPr>
        <w:t xml:space="preserve">, </w:t>
      </w:r>
      <w:r w:rsidRPr="00981A8B">
        <w:rPr>
          <w:sz w:val="20"/>
          <w:lang w:val="en-GB"/>
        </w:rPr>
        <w:t xml:space="preserve">was </w:t>
      </w:r>
      <w:r w:rsidRPr="00B7386E">
        <w:rPr>
          <w:sz w:val="20"/>
          <w:lang w:val="en-GB"/>
        </w:rPr>
        <w:t xml:space="preserve">the second highest of all </w:t>
      </w:r>
      <w:r w:rsidRPr="00B7386E">
        <w:rPr>
          <w:b/>
          <w:sz w:val="20"/>
          <w:lang w:val="en-GB"/>
        </w:rPr>
        <w:t>EU countries</w:t>
      </w:r>
      <w:r w:rsidRPr="00B7386E">
        <w:rPr>
          <w:sz w:val="20"/>
          <w:lang w:val="en-GB"/>
        </w:rPr>
        <w:t xml:space="preserve"> in the year 2016. Along with Portugal, Germany, Spain, Malta, Great Britain, Finland, and Sweden, we belong to countries with more than five enterprises out of ten</w:t>
      </w:r>
      <w:r w:rsidRPr="00FA2A41">
        <w:rPr>
          <w:color w:val="FF0000"/>
          <w:sz w:val="20"/>
          <w:szCs w:val="20"/>
        </w:rPr>
        <w:t xml:space="preserve"> </w:t>
      </w:r>
      <w:r w:rsidRPr="009769CA">
        <w:rPr>
          <w:sz w:val="20"/>
          <w:szCs w:val="20"/>
          <w:lang w:val="en-GB"/>
        </w:rPr>
        <w:t>that</w:t>
      </w:r>
      <w:r w:rsidRPr="00981A8B">
        <w:rPr>
          <w:sz w:val="20"/>
          <w:lang w:val="en-GB"/>
        </w:rPr>
        <w:t xml:space="preserve"> </w:t>
      </w:r>
      <w:r w:rsidRPr="00B7386E">
        <w:rPr>
          <w:sz w:val="20"/>
          <w:lang w:val="en-GB"/>
        </w:rPr>
        <w:t xml:space="preserve">conducted purchasing via the internet or another computer network. </w:t>
      </w:r>
      <w:r w:rsidRPr="00981A8B">
        <w:rPr>
          <w:sz w:val="20"/>
          <w:lang w:val="en-GB"/>
        </w:rPr>
        <w:t xml:space="preserve">In contrast, </w:t>
      </w:r>
      <w:r w:rsidRPr="00B7386E">
        <w:rPr>
          <w:sz w:val="20"/>
          <w:lang w:val="en-GB"/>
        </w:rPr>
        <w:t>in Romania, Bulgaria, and Austria there were less than 15% of enterprises purchasing via the internet or another computer network.</w:t>
      </w:r>
    </w:p>
    <w:p w:rsidR="009B63B1" w:rsidRPr="00B7386E" w:rsidRDefault="009B63B1" w:rsidP="009B63B1">
      <w:pPr>
        <w:pStyle w:val="Zkladntext"/>
        <w:spacing w:before="0" w:after="100" w:line="264" w:lineRule="auto"/>
        <w:rPr>
          <w:sz w:val="20"/>
          <w:lang w:val="en-GB"/>
        </w:rPr>
      </w:pPr>
      <w:r>
        <w:rPr>
          <w:noProof/>
        </w:rPr>
        <w:drawing>
          <wp:inline distT="0" distB="0" distL="0" distR="0" wp14:anchorId="233A4B4A" wp14:editId="0E6715E0">
            <wp:extent cx="6084000" cy="3600000"/>
            <wp:effectExtent l="0" t="0" r="0" b="635"/>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B63B1" w:rsidRPr="00354A2B" w:rsidRDefault="009B63B1" w:rsidP="002875D6">
      <w:pPr>
        <w:pStyle w:val="Nadpis3"/>
        <w:pageBreakBefore/>
        <w:spacing w:before="0"/>
      </w:pPr>
      <w:bookmarkStart w:id="139" w:name="_Toc533697536"/>
      <w:bookmarkStart w:id="140" w:name="_Toc534712035"/>
      <w:r>
        <w:lastRenderedPageBreak/>
        <w:t>Enterprises selling online and value of their e</w:t>
      </w:r>
      <w:r w:rsidRPr="00354A2B">
        <w:t xml:space="preserve">lectronic </w:t>
      </w:r>
      <w:r>
        <w:t>sales</w:t>
      </w:r>
      <w:bookmarkEnd w:id="139"/>
      <w:bookmarkEnd w:id="140"/>
      <w:r w:rsidRPr="00354A2B">
        <w:t xml:space="preserve"> </w:t>
      </w:r>
    </w:p>
    <w:p w:rsidR="009B63B1" w:rsidRPr="00015E29" w:rsidRDefault="009B63B1" w:rsidP="009B63B1">
      <w:pPr>
        <w:pStyle w:val="Zkladntext"/>
        <w:spacing w:before="0" w:after="80" w:line="264" w:lineRule="auto"/>
        <w:rPr>
          <w:bCs/>
          <w:i/>
          <w:sz w:val="20"/>
          <w:lang w:val="en-GB"/>
        </w:rPr>
      </w:pPr>
      <w:r w:rsidRPr="00015E29">
        <w:rPr>
          <w:bCs/>
          <w:i/>
          <w:sz w:val="20"/>
          <w:lang w:val="en-GB"/>
        </w:rPr>
        <w:t xml:space="preserve">As mentioned in the previous chapter, the popularity of electronic trading in the Czech Republic is increasing on a year-by-year basis. In 2016, a quarter of enterprises conducted electronic </w:t>
      </w:r>
      <w:r w:rsidRPr="0031258F">
        <w:rPr>
          <w:bCs/>
          <w:i/>
          <w:sz w:val="20"/>
          <w:lang w:val="en-GB"/>
        </w:rPr>
        <w:t>sales</w:t>
      </w:r>
      <w:r w:rsidRPr="0031258F">
        <w:rPr>
          <w:i/>
          <w:sz w:val="20"/>
          <w:szCs w:val="20"/>
        </w:rPr>
        <w:t>,</w:t>
      </w:r>
      <w:r w:rsidRPr="0031258F">
        <w:rPr>
          <w:bCs/>
          <w:i/>
          <w:sz w:val="20"/>
          <w:lang w:val="en-GB"/>
        </w:rPr>
        <w:t xml:space="preserve"> </w:t>
      </w:r>
      <w:r w:rsidRPr="00015E29">
        <w:rPr>
          <w:bCs/>
          <w:i/>
          <w:sz w:val="20"/>
          <w:lang w:val="en-GB"/>
        </w:rPr>
        <w:t xml:space="preserve">and such sales formed nearly a third of the enterprise’s total turnover in that year. In the previous decade, the share of enterprises conducting electronic sales has </w:t>
      </w:r>
      <w:r w:rsidRPr="00DF1600">
        <w:rPr>
          <w:bCs/>
          <w:i/>
          <w:sz w:val="20"/>
          <w:lang w:val="en-GB"/>
        </w:rPr>
        <w:t>doubled</w:t>
      </w:r>
      <w:r w:rsidRPr="00DF1600">
        <w:rPr>
          <w:i/>
          <w:sz w:val="20"/>
          <w:szCs w:val="20"/>
        </w:rPr>
        <w:t>,</w:t>
      </w:r>
      <w:r w:rsidRPr="00015E29">
        <w:rPr>
          <w:bCs/>
          <w:i/>
          <w:sz w:val="20"/>
          <w:lang w:val="en-GB"/>
        </w:rPr>
        <w:t xml:space="preserve"> and the frequency of electronic sales (% of the enterprise’s total turnover) is nearly four times as high. Enterprises conducting sales via the </w:t>
      </w:r>
      <w:r w:rsidRPr="00DF1600">
        <w:rPr>
          <w:bCs/>
          <w:i/>
          <w:sz w:val="20"/>
          <w:lang w:val="en-GB"/>
        </w:rPr>
        <w:t>internet</w:t>
      </w:r>
      <w:r w:rsidRPr="00DF1600">
        <w:rPr>
          <w:i/>
          <w:sz w:val="20"/>
          <w:szCs w:val="20"/>
        </w:rPr>
        <w:t>,</w:t>
      </w:r>
      <w:r w:rsidRPr="00DF1600">
        <w:rPr>
          <w:bCs/>
          <w:i/>
          <w:sz w:val="20"/>
          <w:lang w:val="en-GB"/>
        </w:rPr>
        <w:t xml:space="preserve"> </w:t>
      </w:r>
      <w:r w:rsidRPr="00015E29">
        <w:rPr>
          <w:bCs/>
          <w:i/>
          <w:sz w:val="20"/>
          <w:lang w:val="en-GB"/>
        </w:rPr>
        <w:t xml:space="preserve">or another computer </w:t>
      </w:r>
      <w:r w:rsidRPr="00DF1600">
        <w:rPr>
          <w:bCs/>
          <w:i/>
          <w:sz w:val="20"/>
          <w:lang w:val="en-GB"/>
        </w:rPr>
        <w:t>network</w:t>
      </w:r>
      <w:r w:rsidRPr="00DF1600">
        <w:rPr>
          <w:i/>
          <w:sz w:val="20"/>
          <w:szCs w:val="20"/>
        </w:rPr>
        <w:t>,</w:t>
      </w:r>
      <w:r w:rsidRPr="00DF1600">
        <w:rPr>
          <w:bCs/>
          <w:i/>
          <w:sz w:val="20"/>
          <w:lang w:val="en-GB"/>
        </w:rPr>
        <w:t xml:space="preserve"> use this method to access </w:t>
      </w:r>
      <w:r w:rsidRPr="00015E29">
        <w:rPr>
          <w:bCs/>
          <w:i/>
          <w:sz w:val="20"/>
          <w:lang w:val="en-GB"/>
        </w:rPr>
        <w:t xml:space="preserve">foreign markets – a half of </w:t>
      </w:r>
      <w:r w:rsidRPr="00DF1600">
        <w:rPr>
          <w:bCs/>
          <w:i/>
          <w:sz w:val="20"/>
          <w:lang w:val="en-GB"/>
        </w:rPr>
        <w:t>enterprises</w:t>
      </w:r>
      <w:r w:rsidRPr="00DF1600">
        <w:rPr>
          <w:i/>
          <w:sz w:val="20"/>
          <w:szCs w:val="20"/>
        </w:rPr>
        <w:t>,</w:t>
      </w:r>
      <w:r w:rsidRPr="00DF1600">
        <w:rPr>
          <w:bCs/>
          <w:i/>
          <w:sz w:val="20"/>
          <w:lang w:val="en-GB"/>
        </w:rPr>
        <w:t xml:space="preserve"> </w:t>
      </w:r>
      <w:r w:rsidRPr="00015E29">
        <w:rPr>
          <w:bCs/>
          <w:i/>
          <w:sz w:val="20"/>
          <w:lang w:val="en-GB"/>
        </w:rPr>
        <w:t xml:space="preserve">selling via website in </w:t>
      </w:r>
      <w:r w:rsidRPr="00DF1600">
        <w:rPr>
          <w:bCs/>
          <w:i/>
          <w:sz w:val="20"/>
          <w:lang w:val="en-GB"/>
        </w:rPr>
        <w:t>2016</w:t>
      </w:r>
      <w:r w:rsidRPr="00DF1600">
        <w:rPr>
          <w:i/>
          <w:sz w:val="20"/>
          <w:szCs w:val="20"/>
        </w:rPr>
        <w:t>,</w:t>
      </w:r>
      <w:r w:rsidRPr="00DF1600">
        <w:rPr>
          <w:bCs/>
          <w:i/>
          <w:sz w:val="20"/>
          <w:lang w:val="en-GB"/>
        </w:rPr>
        <w:t xml:space="preserve"> </w:t>
      </w:r>
      <w:r w:rsidRPr="00015E29">
        <w:rPr>
          <w:bCs/>
          <w:i/>
          <w:sz w:val="20"/>
          <w:lang w:val="en-GB"/>
        </w:rPr>
        <w:t>received an order from non-EU customers (apart from the Czech Republic)</w:t>
      </w:r>
      <w:r w:rsidRPr="00DF1600">
        <w:rPr>
          <w:i/>
          <w:sz w:val="20"/>
          <w:szCs w:val="20"/>
        </w:rPr>
        <w:t>,</w:t>
      </w:r>
      <w:r w:rsidRPr="00015E29">
        <w:rPr>
          <w:bCs/>
          <w:i/>
          <w:sz w:val="20"/>
          <w:lang w:val="en-GB"/>
        </w:rPr>
        <w:t xml:space="preserve"> and nearly another fifth of them conducted sales outside the EU28 in that year.</w:t>
      </w:r>
    </w:p>
    <w:p w:rsidR="009B63B1" w:rsidRPr="00B7386E" w:rsidRDefault="009B63B1" w:rsidP="009B63B1">
      <w:pPr>
        <w:pStyle w:val="Odstavecseseznamem"/>
        <w:numPr>
          <w:ilvl w:val="0"/>
          <w:numId w:val="15"/>
        </w:numPr>
        <w:tabs>
          <w:tab w:val="clear" w:pos="360"/>
          <w:tab w:val="num" w:pos="284"/>
        </w:tabs>
        <w:spacing w:after="80" w:line="264" w:lineRule="auto"/>
        <w:ind w:left="284" w:hanging="284"/>
        <w:contextualSpacing w:val="0"/>
        <w:jc w:val="both"/>
        <w:rPr>
          <w:rFonts w:ascii="Arial" w:hAnsi="Arial" w:cs="Arial"/>
          <w:sz w:val="20"/>
          <w:lang w:val="en-GB"/>
        </w:rPr>
      </w:pPr>
      <w:r w:rsidRPr="00B7386E">
        <w:rPr>
          <w:rFonts w:ascii="Arial" w:hAnsi="Arial" w:cs="Arial"/>
          <w:sz w:val="20"/>
          <w:lang w:val="en-GB"/>
        </w:rPr>
        <w:t>In 2016, nearly a fourth (24%) of enterprises</w:t>
      </w:r>
      <w:r w:rsidRPr="00DF1600">
        <w:rPr>
          <w:sz w:val="20"/>
          <w:szCs w:val="20"/>
        </w:rPr>
        <w:t>,</w:t>
      </w:r>
      <w:r w:rsidRPr="00DF1600">
        <w:rPr>
          <w:rFonts w:ascii="Arial" w:hAnsi="Arial" w:cs="Arial"/>
          <w:sz w:val="20"/>
          <w:lang w:val="en-GB"/>
        </w:rPr>
        <w:t xml:space="preserve"> with </w:t>
      </w:r>
      <w:r w:rsidRPr="00B7386E">
        <w:rPr>
          <w:rFonts w:ascii="Arial" w:hAnsi="Arial" w:cs="Arial"/>
          <w:sz w:val="20"/>
          <w:lang w:val="en-GB"/>
        </w:rPr>
        <w:t xml:space="preserve">10+ employees in the Czech </w:t>
      </w:r>
      <w:r w:rsidRPr="00DF1600">
        <w:rPr>
          <w:rFonts w:ascii="Arial" w:hAnsi="Arial" w:cs="Arial"/>
          <w:sz w:val="20"/>
          <w:lang w:val="en-GB"/>
        </w:rPr>
        <w:t>Republic</w:t>
      </w:r>
      <w:r w:rsidRPr="00DF1600">
        <w:rPr>
          <w:sz w:val="20"/>
          <w:szCs w:val="20"/>
        </w:rPr>
        <w:t>,</w:t>
      </w:r>
      <w:r w:rsidRPr="00DF1600">
        <w:rPr>
          <w:rFonts w:ascii="Arial" w:hAnsi="Arial" w:cs="Arial"/>
          <w:sz w:val="20"/>
          <w:lang w:val="en-GB"/>
        </w:rPr>
        <w:t xml:space="preserve"> claimed </w:t>
      </w:r>
      <w:r w:rsidRPr="00B7386E">
        <w:rPr>
          <w:rFonts w:ascii="Arial" w:hAnsi="Arial" w:cs="Arial"/>
          <w:sz w:val="20"/>
          <w:lang w:val="en-GB"/>
        </w:rPr>
        <w:t>to have received at least one electronic order via the internet</w:t>
      </w:r>
      <w:r w:rsidRPr="00DF1600">
        <w:rPr>
          <w:sz w:val="20"/>
          <w:szCs w:val="20"/>
        </w:rPr>
        <w:t>,</w:t>
      </w:r>
      <w:r w:rsidRPr="00DF1600">
        <w:rPr>
          <w:rFonts w:ascii="Arial" w:hAnsi="Arial" w:cs="Arial"/>
          <w:sz w:val="20"/>
          <w:lang w:val="en-GB"/>
        </w:rPr>
        <w:t xml:space="preserve"> </w:t>
      </w:r>
      <w:r w:rsidRPr="00B7386E">
        <w:rPr>
          <w:rFonts w:ascii="Arial" w:hAnsi="Arial" w:cs="Arial"/>
          <w:sz w:val="20"/>
          <w:lang w:val="en-GB"/>
        </w:rPr>
        <w:t xml:space="preserve">or another (private inter-company) computer </w:t>
      </w:r>
      <w:r w:rsidRPr="00DF1600">
        <w:rPr>
          <w:rFonts w:ascii="Arial" w:hAnsi="Arial" w:cs="Arial"/>
          <w:sz w:val="20"/>
          <w:lang w:val="en-GB"/>
        </w:rPr>
        <w:t>network</w:t>
      </w:r>
      <w:r w:rsidRPr="00DF1600">
        <w:rPr>
          <w:sz w:val="20"/>
          <w:szCs w:val="20"/>
        </w:rPr>
        <w:t>,</w:t>
      </w:r>
      <w:r w:rsidRPr="00DF1600">
        <w:rPr>
          <w:rFonts w:ascii="Arial" w:hAnsi="Arial" w:cs="Arial"/>
          <w:sz w:val="20"/>
          <w:lang w:val="en-GB"/>
        </w:rPr>
        <w:t xml:space="preserve"> via </w:t>
      </w:r>
      <w:r w:rsidRPr="00B7386E">
        <w:rPr>
          <w:rFonts w:ascii="Arial" w:hAnsi="Arial" w:cs="Arial"/>
          <w:sz w:val="20"/>
          <w:lang w:val="en-GB"/>
        </w:rPr>
        <w:t>website or EDI messages</w:t>
      </w:r>
      <w:r w:rsidRPr="00DF1600">
        <w:rPr>
          <w:sz w:val="20"/>
          <w:szCs w:val="20"/>
        </w:rPr>
        <w:t>,</w:t>
      </w:r>
      <w:r w:rsidRPr="00DF1600">
        <w:rPr>
          <w:rFonts w:ascii="Arial" w:hAnsi="Arial" w:cs="Arial"/>
          <w:sz w:val="20"/>
          <w:lang w:val="en-GB"/>
        </w:rPr>
        <w:t xml:space="preserve"> </w:t>
      </w:r>
      <w:r w:rsidRPr="00B7386E">
        <w:rPr>
          <w:rFonts w:ascii="Arial" w:hAnsi="Arial" w:cs="Arial"/>
          <w:sz w:val="20"/>
          <w:lang w:val="en-GB"/>
        </w:rPr>
        <w:t xml:space="preserve">and with respect to any goods or services. In the same year, the turnover from these </w:t>
      </w:r>
      <w:r w:rsidRPr="00B7386E">
        <w:rPr>
          <w:rFonts w:ascii="Arial" w:hAnsi="Arial" w:cs="Arial"/>
          <w:b/>
          <w:sz w:val="20"/>
          <w:lang w:val="en-GB"/>
        </w:rPr>
        <w:t>electronic sales</w:t>
      </w:r>
      <w:r w:rsidRPr="00B7386E">
        <w:rPr>
          <w:rFonts w:ascii="Arial" w:hAnsi="Arial" w:cs="Arial"/>
          <w:sz w:val="20"/>
          <w:lang w:val="en-GB"/>
        </w:rPr>
        <w:t xml:space="preserve"> formed nearly a third (31%) of the total turnover of enterprises with 10+ employees. Although the share of enterprises selling electronically has almost been at a standstill over the past five years, the turnover share in electronic sales</w:t>
      </w:r>
      <w:r w:rsidRPr="00DF1600">
        <w:rPr>
          <w:sz w:val="20"/>
          <w:szCs w:val="20"/>
        </w:rPr>
        <w:t>,</w:t>
      </w:r>
      <w:r w:rsidRPr="00DF1600">
        <w:rPr>
          <w:rFonts w:ascii="Arial" w:hAnsi="Arial" w:cs="Arial"/>
          <w:sz w:val="20"/>
          <w:lang w:val="en-GB"/>
        </w:rPr>
        <w:t xml:space="preserve"> </w:t>
      </w:r>
      <w:r w:rsidRPr="00B7386E">
        <w:rPr>
          <w:rFonts w:ascii="Arial" w:hAnsi="Arial" w:cs="Arial"/>
          <w:sz w:val="20"/>
          <w:lang w:val="en-GB"/>
        </w:rPr>
        <w:t>with respect to the total turnover of enterprises</w:t>
      </w:r>
      <w:r w:rsidRPr="00DF1600">
        <w:rPr>
          <w:sz w:val="20"/>
          <w:szCs w:val="20"/>
        </w:rPr>
        <w:t>,</w:t>
      </w:r>
      <w:r w:rsidRPr="00DF1600">
        <w:rPr>
          <w:rFonts w:ascii="Arial" w:hAnsi="Arial" w:cs="Arial"/>
          <w:sz w:val="20"/>
          <w:lang w:val="en-GB"/>
        </w:rPr>
        <w:t xml:space="preserve"> has been gradually increasing</w:t>
      </w:r>
      <w:r w:rsidRPr="00B7386E">
        <w:rPr>
          <w:rFonts w:ascii="Arial" w:hAnsi="Arial" w:cs="Arial"/>
          <w:sz w:val="20"/>
          <w:lang w:val="en-GB"/>
        </w:rPr>
        <w:t>.</w:t>
      </w:r>
    </w:p>
    <w:p w:rsidR="009B63B1" w:rsidRPr="00B7386E" w:rsidRDefault="009B63B1" w:rsidP="009B63B1">
      <w:pPr>
        <w:pStyle w:val="Odstavecseseznamem"/>
        <w:numPr>
          <w:ilvl w:val="0"/>
          <w:numId w:val="15"/>
        </w:numPr>
        <w:tabs>
          <w:tab w:val="clear" w:pos="360"/>
          <w:tab w:val="num" w:pos="284"/>
        </w:tabs>
        <w:spacing w:after="80" w:line="264" w:lineRule="auto"/>
        <w:ind w:left="284" w:hanging="284"/>
        <w:contextualSpacing w:val="0"/>
        <w:jc w:val="both"/>
        <w:rPr>
          <w:rFonts w:ascii="Arial" w:hAnsi="Arial" w:cs="Arial"/>
          <w:sz w:val="20"/>
          <w:lang w:val="en-GB"/>
        </w:rPr>
      </w:pPr>
      <w:r w:rsidRPr="00B7386E">
        <w:rPr>
          <w:rFonts w:ascii="Arial" w:hAnsi="Arial" w:cs="Arial"/>
          <w:sz w:val="20"/>
          <w:lang w:val="en-GB"/>
        </w:rPr>
        <w:t xml:space="preserve">With respect to </w:t>
      </w:r>
      <w:r w:rsidRPr="00B7386E">
        <w:rPr>
          <w:rFonts w:ascii="Arial" w:hAnsi="Arial" w:cs="Arial"/>
          <w:b/>
          <w:sz w:val="20"/>
          <w:lang w:val="en-GB"/>
        </w:rPr>
        <w:t>size category of enterprises</w:t>
      </w:r>
      <w:r w:rsidRPr="00B7386E">
        <w:rPr>
          <w:rFonts w:ascii="Arial" w:hAnsi="Arial" w:cs="Arial"/>
          <w:sz w:val="20"/>
          <w:lang w:val="en-GB"/>
        </w:rPr>
        <w:t xml:space="preserve"> conducting electronic sales, large enterprises prevail. In 2016, a half of them sold electronically</w:t>
      </w:r>
      <w:r w:rsidRPr="00DF1600">
        <w:rPr>
          <w:sz w:val="20"/>
          <w:szCs w:val="20"/>
        </w:rPr>
        <w:t>,</w:t>
      </w:r>
      <w:r w:rsidRPr="00B7386E">
        <w:rPr>
          <w:rFonts w:ascii="Arial" w:hAnsi="Arial" w:cs="Arial"/>
          <w:sz w:val="20"/>
          <w:lang w:val="en-GB"/>
        </w:rPr>
        <w:t xml:space="preserve"> and more than two fifths of their total turnover (43%) originated precisely from these e-sales.</w:t>
      </w:r>
    </w:p>
    <w:p w:rsidR="009B63B1" w:rsidRDefault="009B63B1" w:rsidP="009B63B1">
      <w:pPr>
        <w:pStyle w:val="Titulek"/>
        <w:keepNext/>
        <w:jc w:val="both"/>
        <w:rPr>
          <w:color w:val="FFFFFF" w:themeColor="background1"/>
          <w:sz w:val="4"/>
          <w:szCs w:val="4"/>
          <w:lang w:val="en-GB"/>
        </w:rPr>
        <w:sectPr w:rsidR="009B63B1" w:rsidSect="007B46EA">
          <w:type w:val="continuous"/>
          <w:pgSz w:w="11906" w:h="16838" w:code="9"/>
          <w:pgMar w:top="1134" w:right="1134" w:bottom="1418" w:left="1134" w:header="680" w:footer="680" w:gutter="0"/>
          <w:cols w:space="708"/>
          <w:docGrid w:linePitch="360"/>
        </w:sectPr>
      </w:pPr>
    </w:p>
    <w:p w:rsidR="009B63B1" w:rsidRDefault="009B63B1" w:rsidP="009B63B1">
      <w:pPr>
        <w:pStyle w:val="Odstavecseseznamem"/>
        <w:tabs>
          <w:tab w:val="left" w:pos="284"/>
        </w:tabs>
        <w:spacing w:after="120"/>
        <w:ind w:left="0"/>
        <w:contextualSpacing w:val="0"/>
        <w:jc w:val="both"/>
      </w:pPr>
      <w:r w:rsidRPr="00B7386E">
        <w:rPr>
          <w:noProof/>
        </w:rPr>
        <w:drawing>
          <wp:inline distT="0" distB="0" distL="0" distR="0" wp14:anchorId="23BEEA80" wp14:editId="6E36E5D9">
            <wp:extent cx="2880000" cy="3060000"/>
            <wp:effectExtent l="0" t="0" r="0" b="7620"/>
            <wp:docPr id="177" name="Graf 177">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B7386E">
        <w:rPr>
          <w:noProof/>
          <w:lang w:val="en-GB"/>
        </w:rPr>
        <w:t xml:space="preserve"> </w:t>
      </w:r>
    </w:p>
    <w:p w:rsidR="009B63B1" w:rsidRPr="00B7386E" w:rsidRDefault="009B63B1" w:rsidP="0026358E">
      <w:pPr>
        <w:pStyle w:val="Titulek"/>
        <w:keepNext/>
        <w:jc w:val="both"/>
        <w:rPr>
          <w:noProof/>
          <w:lang w:val="en-GB"/>
        </w:rPr>
      </w:pPr>
      <w:bookmarkStart w:id="141" w:name="_Toc527107341"/>
      <w:r w:rsidRPr="000B4293">
        <w:rPr>
          <w:color w:val="FFFFFF" w:themeColor="background1"/>
          <w:sz w:val="4"/>
          <w:szCs w:val="4"/>
          <w:lang w:val="en-GB"/>
        </w:rPr>
        <w:t>Figure D</w:t>
      </w:r>
      <w:r w:rsidRPr="000B4293">
        <w:rPr>
          <w:color w:val="FFFFFF" w:themeColor="background1"/>
          <w:sz w:val="4"/>
          <w:szCs w:val="4"/>
          <w:lang w:val="en-GB"/>
        </w:rPr>
        <w:fldChar w:fldCharType="begin"/>
      </w:r>
      <w:r w:rsidRPr="000B4293">
        <w:rPr>
          <w:color w:val="FFFFFF" w:themeColor="background1"/>
          <w:sz w:val="4"/>
          <w:szCs w:val="4"/>
          <w:lang w:val="en-GB"/>
        </w:rPr>
        <w:instrText xml:space="preserve"> SEQ Figure_D \* ARABIC </w:instrText>
      </w:r>
      <w:r w:rsidRPr="000B4293">
        <w:rPr>
          <w:color w:val="FFFFFF" w:themeColor="background1"/>
          <w:sz w:val="4"/>
          <w:szCs w:val="4"/>
          <w:lang w:val="en-GB"/>
        </w:rPr>
        <w:fldChar w:fldCharType="separate"/>
      </w:r>
      <w:r w:rsidR="00EE7DB4">
        <w:rPr>
          <w:noProof/>
          <w:color w:val="FFFFFF" w:themeColor="background1"/>
          <w:sz w:val="4"/>
          <w:szCs w:val="4"/>
          <w:lang w:val="en-GB"/>
        </w:rPr>
        <w:t>1</w:t>
      </w:r>
      <w:r w:rsidRPr="000B4293">
        <w:rPr>
          <w:color w:val="FFFFFF" w:themeColor="background1"/>
          <w:sz w:val="4"/>
          <w:szCs w:val="4"/>
          <w:lang w:val="en-GB"/>
        </w:rPr>
        <w:fldChar w:fldCharType="end"/>
      </w:r>
      <w:r w:rsidRPr="000B4293">
        <w:rPr>
          <w:color w:val="FFFFFF" w:themeColor="background1"/>
          <w:sz w:val="4"/>
          <w:szCs w:val="4"/>
          <w:lang w:val="en-GB"/>
        </w:rPr>
        <w:t xml:space="preserve"> Turnover from </w:t>
      </w:r>
      <w:bookmarkEnd w:id="141"/>
      <w:r>
        <w:rPr>
          <w:noProof/>
        </w:rPr>
        <w:drawing>
          <wp:inline distT="0" distB="0" distL="0" distR="0" wp14:anchorId="4B1C9C42" wp14:editId="23A37582">
            <wp:extent cx="3060000" cy="3060000"/>
            <wp:effectExtent l="0" t="0" r="7620" b="762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B63B1" w:rsidRDefault="009B63B1" w:rsidP="009B63B1">
      <w:pPr>
        <w:jc w:val="both"/>
        <w:rPr>
          <w:rFonts w:cs="Arial"/>
          <w:color w:val="000000"/>
          <w:sz w:val="16"/>
          <w:szCs w:val="16"/>
        </w:rPr>
        <w:sectPr w:rsidR="009B63B1" w:rsidSect="007B46EA">
          <w:type w:val="continuous"/>
          <w:pgSz w:w="11906" w:h="16838" w:code="9"/>
          <w:pgMar w:top="1134" w:right="1134" w:bottom="1418" w:left="1134" w:header="680" w:footer="680" w:gutter="0"/>
          <w:cols w:num="2" w:space="2"/>
          <w:docGrid w:linePitch="360"/>
        </w:sectPr>
      </w:pPr>
    </w:p>
    <w:p w:rsidR="009B63B1" w:rsidRPr="00B7386E" w:rsidRDefault="009B63B1" w:rsidP="009B63B1">
      <w:pPr>
        <w:spacing w:after="0"/>
        <w:jc w:val="both"/>
        <w:rPr>
          <w:rFonts w:cs="Arial"/>
          <w:color w:val="000000"/>
          <w:sz w:val="16"/>
          <w:szCs w:val="16"/>
          <w:u w:val="single"/>
        </w:rPr>
      </w:pPr>
      <w:r w:rsidRPr="00B7386E">
        <w:rPr>
          <w:rFonts w:cs="Arial"/>
          <w:color w:val="000000"/>
          <w:sz w:val="16"/>
          <w:szCs w:val="16"/>
        </w:rPr>
        <w:t xml:space="preserve">* as a percentage </w:t>
      </w:r>
      <w:r w:rsidRPr="00B7386E">
        <w:rPr>
          <w:rFonts w:cs="Arial"/>
          <w:color w:val="000000"/>
          <w:sz w:val="16"/>
          <w:szCs w:val="16"/>
          <w:u w:val="single"/>
        </w:rPr>
        <w:t>of all enterprises</w:t>
      </w:r>
      <w:r w:rsidRPr="00B7386E">
        <w:rPr>
          <w:rFonts w:cs="Arial"/>
          <w:color w:val="000000"/>
          <w:sz w:val="16"/>
          <w:szCs w:val="16"/>
        </w:rPr>
        <w:t xml:space="preserve"> with 10+ employees </w:t>
      </w:r>
      <w:r w:rsidRPr="00B7386E">
        <w:rPr>
          <w:rFonts w:cs="Arial"/>
          <w:color w:val="000000"/>
          <w:sz w:val="16"/>
          <w:szCs w:val="16"/>
        </w:rPr>
        <w:tab/>
      </w:r>
      <w:r w:rsidRPr="00B7386E">
        <w:rPr>
          <w:rFonts w:cs="Arial"/>
          <w:color w:val="000000"/>
          <w:sz w:val="16"/>
          <w:szCs w:val="16"/>
        </w:rPr>
        <w:tab/>
        <w:t xml:space="preserve">* as a percentage </w:t>
      </w:r>
      <w:r w:rsidRPr="00B7386E">
        <w:rPr>
          <w:rFonts w:cs="Arial"/>
          <w:color w:val="000000"/>
          <w:sz w:val="16"/>
          <w:szCs w:val="16"/>
          <w:u w:val="single"/>
        </w:rPr>
        <w:t>of total enterprises' (10+) turnover</w:t>
      </w:r>
    </w:p>
    <w:p w:rsidR="009B63B1" w:rsidRDefault="009B63B1" w:rsidP="009B63B1">
      <w:pPr>
        <w:spacing w:after="0" w:line="240" w:lineRule="auto"/>
        <w:ind w:left="2124" w:hanging="2124"/>
        <w:jc w:val="both"/>
        <w:rPr>
          <w:rFonts w:cs="Arial"/>
          <w:color w:val="000000"/>
          <w:sz w:val="16"/>
          <w:szCs w:val="16"/>
        </w:rPr>
      </w:pPr>
      <w:r w:rsidRPr="00B7386E">
        <w:rPr>
          <w:rFonts w:cs="Arial"/>
          <w:color w:val="000000"/>
          <w:sz w:val="16"/>
          <w:szCs w:val="16"/>
        </w:rPr>
        <w:t>in a given size class</w:t>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t xml:space="preserve">** Electronic transmission of messages suitable for automated </w:t>
      </w:r>
    </w:p>
    <w:p w:rsidR="009B63B1" w:rsidRDefault="009B63B1" w:rsidP="009B63B1">
      <w:pPr>
        <w:spacing w:after="0" w:line="240" w:lineRule="auto"/>
        <w:ind w:left="4956"/>
        <w:jc w:val="both"/>
        <w:rPr>
          <w:rFonts w:cs="Arial"/>
          <w:color w:val="000000"/>
          <w:sz w:val="16"/>
          <w:szCs w:val="16"/>
        </w:rPr>
      </w:pPr>
      <w:r>
        <w:rPr>
          <w:rFonts w:cs="Arial"/>
          <w:color w:val="000000"/>
          <w:sz w:val="16"/>
          <w:szCs w:val="16"/>
        </w:rPr>
        <w:t xml:space="preserve">processing, i.e. using EDI, XML for business-to-business </w:t>
      </w:r>
    </w:p>
    <w:p w:rsidR="009B63B1" w:rsidRPr="00B7386E" w:rsidRDefault="009B63B1" w:rsidP="009B63B1">
      <w:pPr>
        <w:spacing w:after="0" w:line="240" w:lineRule="auto"/>
        <w:ind w:left="4956"/>
        <w:jc w:val="both"/>
        <w:rPr>
          <w:rFonts w:cs="Arial"/>
          <w:color w:val="000000"/>
          <w:sz w:val="16"/>
          <w:szCs w:val="16"/>
        </w:rPr>
      </w:pPr>
      <w:r>
        <w:rPr>
          <w:rFonts w:cs="Arial"/>
          <w:color w:val="000000"/>
          <w:sz w:val="16"/>
          <w:szCs w:val="16"/>
        </w:rPr>
        <w:t>e-Commerce</w:t>
      </w:r>
    </w:p>
    <w:p w:rsidR="009B63B1" w:rsidRPr="00B7386E" w:rsidRDefault="009B63B1" w:rsidP="009B63B1">
      <w:pPr>
        <w:spacing w:after="0" w:line="240" w:lineRule="auto"/>
        <w:jc w:val="both"/>
        <w:rPr>
          <w:rFonts w:cs="Arial"/>
          <w:color w:val="000000"/>
          <w:sz w:val="16"/>
          <w:szCs w:val="16"/>
        </w:rPr>
      </w:pP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On a long-term basis, the share of enterprises selling goods or services </w:t>
      </w:r>
      <w:r w:rsidRPr="00B7386E">
        <w:rPr>
          <w:b/>
          <w:sz w:val="20"/>
          <w:lang w:val="en-GB"/>
        </w:rPr>
        <w:t>via website (web</w:t>
      </w:r>
      <w:r w:rsidRPr="00B7386E">
        <w:rPr>
          <w:sz w:val="20"/>
          <w:lang w:val="en-GB"/>
        </w:rPr>
        <w:t xml:space="preserve"> </w:t>
      </w:r>
      <w:r w:rsidRPr="00B7386E">
        <w:rPr>
          <w:b/>
          <w:sz w:val="20"/>
          <w:lang w:val="en-GB"/>
        </w:rPr>
        <w:t>sales)</w:t>
      </w:r>
      <w:r w:rsidRPr="00FB1D12">
        <w:rPr>
          <w:rStyle w:val="Znakapoznpodarou"/>
          <w:b/>
          <w:sz w:val="20"/>
          <w:lang w:val="en-GB"/>
        </w:rPr>
        <w:footnoteReference w:id="47"/>
      </w:r>
      <w:r w:rsidRPr="00B7386E">
        <w:rPr>
          <w:sz w:val="20"/>
          <w:lang w:val="en-GB"/>
        </w:rPr>
        <w:t xml:space="preserve"> has been </w:t>
      </w:r>
      <w:r w:rsidRPr="00BC4CF6">
        <w:rPr>
          <w:sz w:val="20"/>
          <w:lang w:val="en-GB"/>
        </w:rPr>
        <w:t>higher</w:t>
      </w:r>
      <w:r w:rsidRPr="00BC4CF6">
        <w:rPr>
          <w:sz w:val="20"/>
          <w:szCs w:val="20"/>
        </w:rPr>
        <w:t>,</w:t>
      </w:r>
      <w:r w:rsidRPr="00B7386E">
        <w:rPr>
          <w:sz w:val="20"/>
          <w:lang w:val="en-GB"/>
        </w:rPr>
        <w:t xml:space="preserve"> than the one of enterprises selling goods or services </w:t>
      </w:r>
      <w:r w:rsidRPr="00B7386E">
        <w:rPr>
          <w:b/>
          <w:sz w:val="20"/>
          <w:lang w:val="en-GB"/>
        </w:rPr>
        <w:t>via EDI messages</w:t>
      </w:r>
      <w:r w:rsidRPr="00B7386E">
        <w:rPr>
          <w:sz w:val="20"/>
          <w:lang w:val="en-GB"/>
        </w:rPr>
        <w:t xml:space="preserve"> </w:t>
      </w:r>
      <w:r w:rsidRPr="00B7386E">
        <w:rPr>
          <w:b/>
          <w:sz w:val="20"/>
          <w:lang w:val="en-GB"/>
        </w:rPr>
        <w:t>(EDI sales)</w:t>
      </w:r>
      <w:r w:rsidRPr="00B7386E">
        <w:rPr>
          <w:sz w:val="20"/>
          <w:lang w:val="en-GB"/>
        </w:rPr>
        <w:t xml:space="preserve">. In 2016, approximately a fifth of enterprises in the Czech Republic conducted their sales via website; a tenth of enterprises did so via EDI messages.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lastRenderedPageBreak/>
        <w:t xml:space="preserve">The situation is the opposite </w:t>
      </w:r>
      <w:r w:rsidRPr="00BC4CF6">
        <w:rPr>
          <w:sz w:val="20"/>
          <w:lang w:val="en-GB"/>
        </w:rPr>
        <w:t>when</w:t>
      </w:r>
      <w:r>
        <w:rPr>
          <w:color w:val="FF0000"/>
          <w:sz w:val="20"/>
          <w:lang w:val="en-GB"/>
        </w:rPr>
        <w:t xml:space="preserve"> </w:t>
      </w:r>
      <w:r w:rsidRPr="00B7386E">
        <w:rPr>
          <w:sz w:val="20"/>
          <w:lang w:val="en-GB"/>
        </w:rPr>
        <w:t xml:space="preserve">regarding the </w:t>
      </w:r>
      <w:r w:rsidRPr="00B7386E">
        <w:rPr>
          <w:b/>
          <w:sz w:val="20"/>
          <w:lang w:val="en-GB"/>
        </w:rPr>
        <w:t>turnover percentage</w:t>
      </w:r>
      <w:r w:rsidRPr="00B7386E">
        <w:rPr>
          <w:sz w:val="20"/>
          <w:lang w:val="en-GB"/>
        </w:rPr>
        <w:t xml:space="preserve"> from these e-sales. The turnover from sales conducted via website only amounted to 9% of </w:t>
      </w:r>
      <w:r w:rsidRPr="00BC4CF6">
        <w:rPr>
          <w:sz w:val="20"/>
          <w:lang w:val="en-GB"/>
        </w:rPr>
        <w:t>the</w:t>
      </w:r>
      <w:r>
        <w:rPr>
          <w:color w:val="FF0000"/>
          <w:sz w:val="20"/>
          <w:lang w:val="en-GB"/>
        </w:rPr>
        <w:t xml:space="preserve"> </w:t>
      </w:r>
      <w:r w:rsidRPr="00B7386E">
        <w:rPr>
          <w:sz w:val="20"/>
          <w:lang w:val="en-GB"/>
        </w:rPr>
        <w:t xml:space="preserve">total enterprise's turnover in 2016, whereas the turnover reached via EDI messages comprised nearly a quarter (23%) of </w:t>
      </w:r>
      <w:r w:rsidRPr="00BC4CF6">
        <w:rPr>
          <w:sz w:val="20"/>
          <w:lang w:val="en-GB"/>
        </w:rPr>
        <w:t>the</w:t>
      </w:r>
      <w:r>
        <w:rPr>
          <w:color w:val="FF0000"/>
          <w:sz w:val="20"/>
          <w:lang w:val="en-GB"/>
        </w:rPr>
        <w:t xml:space="preserve"> </w:t>
      </w:r>
      <w:r w:rsidRPr="00B7386E">
        <w:rPr>
          <w:sz w:val="20"/>
          <w:lang w:val="en-GB"/>
        </w:rPr>
        <w:t xml:space="preserve">total enterprise's turnover, i.e. nearly a threefold of turnover from sales via website.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E-sales via </w:t>
      </w:r>
      <w:r w:rsidRPr="00B7386E">
        <w:rPr>
          <w:b/>
          <w:sz w:val="20"/>
          <w:lang w:val="en-GB"/>
        </w:rPr>
        <w:t>EDI messages</w:t>
      </w:r>
      <w:r w:rsidRPr="00B7386E">
        <w:rPr>
          <w:sz w:val="20"/>
          <w:lang w:val="en-GB"/>
        </w:rPr>
        <w:t xml:space="preserve"> </w:t>
      </w:r>
      <w:r>
        <w:rPr>
          <w:sz w:val="20"/>
          <w:lang w:val="en-GB"/>
        </w:rPr>
        <w:t>are</w:t>
      </w:r>
      <w:r w:rsidRPr="00B7386E">
        <w:rPr>
          <w:sz w:val="20"/>
          <w:lang w:val="en-GB"/>
        </w:rPr>
        <w:t xml:space="preserve"> typical</w:t>
      </w:r>
      <w:r w:rsidRPr="00BC4CF6">
        <w:rPr>
          <w:sz w:val="20"/>
          <w:szCs w:val="20"/>
        </w:rPr>
        <w:t>,</w:t>
      </w:r>
      <w:r w:rsidRPr="00B7386E">
        <w:rPr>
          <w:sz w:val="20"/>
          <w:lang w:val="en-GB"/>
        </w:rPr>
        <w:t xml:space="preserve"> when enterprises conduct business between each other. EDI messages are mainly used by large enterprises. In 2016</w:t>
      </w:r>
      <w:r w:rsidRPr="0046330A">
        <w:rPr>
          <w:sz w:val="20"/>
          <w:szCs w:val="20"/>
        </w:rPr>
        <w:t>,</w:t>
      </w:r>
      <w:r w:rsidRPr="00B7386E">
        <w:rPr>
          <w:sz w:val="20"/>
          <w:lang w:val="en-GB"/>
        </w:rPr>
        <w:t xml:space="preserve"> 36% of large enterprises sold their goods or services this way, but only 7% </w:t>
      </w:r>
      <w:r w:rsidRPr="0046330A">
        <w:rPr>
          <w:sz w:val="20"/>
          <w:lang w:val="en-GB"/>
        </w:rPr>
        <w:t>for small enterprises</w:t>
      </w:r>
      <w:r w:rsidRPr="00B7386E">
        <w:rPr>
          <w:sz w:val="20"/>
          <w:lang w:val="en-GB"/>
        </w:rPr>
        <w:t xml:space="preserve">.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From the </w:t>
      </w:r>
      <w:r w:rsidRPr="00B7386E">
        <w:rPr>
          <w:b/>
          <w:sz w:val="20"/>
          <w:lang w:val="en-GB"/>
        </w:rPr>
        <w:t>sectoral point of view</w:t>
      </w:r>
      <w:r w:rsidRPr="00B7386E">
        <w:rPr>
          <w:sz w:val="20"/>
          <w:lang w:val="en-GB"/>
        </w:rPr>
        <w:t xml:space="preserve">, the sales conducted via EDI messages are, on a long-term basis, conducted mainly in the process industry, particularly </w:t>
      </w:r>
      <w:r w:rsidRPr="00B7386E">
        <w:rPr>
          <w:b/>
          <w:sz w:val="20"/>
          <w:lang w:val="en-GB"/>
        </w:rPr>
        <w:t>in the automotive industry</w:t>
      </w:r>
      <w:r w:rsidRPr="0046330A">
        <w:rPr>
          <w:sz w:val="20"/>
          <w:lang w:val="en-GB"/>
        </w:rPr>
        <w:t>; in 2016</w:t>
      </w:r>
      <w:r w:rsidRPr="0046330A">
        <w:rPr>
          <w:sz w:val="20"/>
          <w:szCs w:val="20"/>
        </w:rPr>
        <w:t>,</w:t>
      </w:r>
      <w:r w:rsidRPr="0046330A">
        <w:rPr>
          <w:sz w:val="20"/>
          <w:lang w:val="en-GB"/>
        </w:rPr>
        <w:t xml:space="preserve"> </w:t>
      </w:r>
      <w:r w:rsidRPr="00B7386E">
        <w:rPr>
          <w:sz w:val="20"/>
          <w:lang w:val="en-GB"/>
        </w:rPr>
        <w:t xml:space="preserve">this way was used by nearly 39% of enterprises with 10+ </w:t>
      </w:r>
      <w:r w:rsidRPr="0046330A">
        <w:rPr>
          <w:sz w:val="20"/>
          <w:lang w:val="en-GB"/>
        </w:rPr>
        <w:t>employees</w:t>
      </w:r>
      <w:r w:rsidRPr="0046330A">
        <w:rPr>
          <w:sz w:val="20"/>
          <w:szCs w:val="20"/>
        </w:rPr>
        <w:t>,</w:t>
      </w:r>
      <w:r w:rsidRPr="00B7386E">
        <w:rPr>
          <w:sz w:val="20"/>
          <w:lang w:val="en-GB"/>
        </w:rPr>
        <w:t xml:space="preserve"> and the turnover from such sales comprised more than 50% of these enterprise's total turnover. </w:t>
      </w:r>
    </w:p>
    <w:p w:rsidR="009B63B1" w:rsidRPr="00B7386E" w:rsidRDefault="009B63B1" w:rsidP="009B63B1">
      <w:pPr>
        <w:pStyle w:val="Zkladntext"/>
        <w:numPr>
          <w:ilvl w:val="0"/>
          <w:numId w:val="15"/>
        </w:numPr>
        <w:tabs>
          <w:tab w:val="clear" w:pos="360"/>
          <w:tab w:val="left" w:pos="284"/>
        </w:tabs>
        <w:spacing w:before="0" w:after="80" w:line="264" w:lineRule="auto"/>
        <w:ind w:left="284" w:hanging="284"/>
        <w:rPr>
          <w:sz w:val="20"/>
          <w:lang w:val="en-GB"/>
        </w:rPr>
      </w:pPr>
      <w:r w:rsidRPr="00B7386E">
        <w:rPr>
          <w:sz w:val="20"/>
          <w:lang w:val="en-GB"/>
        </w:rPr>
        <w:t xml:space="preserve">On the scale of enterprises conducting e-sales, in </w:t>
      </w:r>
      <w:r w:rsidRPr="0046330A">
        <w:rPr>
          <w:sz w:val="20"/>
          <w:lang w:val="en-GB"/>
        </w:rPr>
        <w:t>2016</w:t>
      </w:r>
      <w:r w:rsidRPr="0046330A">
        <w:rPr>
          <w:sz w:val="20"/>
          <w:szCs w:val="20"/>
        </w:rPr>
        <w:t>,</w:t>
      </w:r>
      <w:r w:rsidRPr="0046330A">
        <w:rPr>
          <w:sz w:val="20"/>
          <w:lang w:val="en-GB"/>
        </w:rPr>
        <w:t xml:space="preserve"> the Czech Republic was </w:t>
      </w:r>
      <w:r w:rsidRPr="0046330A">
        <w:rPr>
          <w:b/>
          <w:sz w:val="20"/>
          <w:lang w:val="en-GB"/>
        </w:rPr>
        <w:t xml:space="preserve">in </w:t>
      </w:r>
      <w:r w:rsidRPr="00B7386E">
        <w:rPr>
          <w:b/>
          <w:sz w:val="20"/>
          <w:lang w:val="en-GB"/>
        </w:rPr>
        <w:t xml:space="preserve">ninth place </w:t>
      </w:r>
      <w:r w:rsidRPr="00B7386E">
        <w:rPr>
          <w:b/>
          <w:sz w:val="20"/>
          <w:lang w:val="en-GB"/>
        </w:rPr>
        <w:br/>
        <w:t>– above the EU28 average</w:t>
      </w:r>
      <w:r w:rsidRPr="00B7386E">
        <w:rPr>
          <w:sz w:val="20"/>
          <w:lang w:val="en-GB"/>
        </w:rPr>
        <w:t xml:space="preserve">. The Czech Republic also stands above the average with respect to e-sales conducted via EDI messages (4th place in 2016). </w:t>
      </w:r>
    </w:p>
    <w:p w:rsidR="009B63B1" w:rsidRPr="00B7386E" w:rsidRDefault="009B63B1" w:rsidP="009B63B1">
      <w:pPr>
        <w:pStyle w:val="Zkladntext"/>
        <w:spacing w:before="0" w:after="100" w:line="264" w:lineRule="auto"/>
        <w:rPr>
          <w:sz w:val="20"/>
          <w:lang w:val="en-GB"/>
        </w:rPr>
      </w:pPr>
      <w:r w:rsidRPr="00B7386E">
        <w:rPr>
          <w:noProof/>
        </w:rPr>
        <w:drawing>
          <wp:inline distT="0" distB="0" distL="0" distR="0" wp14:anchorId="50DFB46C" wp14:editId="311975EB">
            <wp:extent cx="6084000" cy="3960000"/>
            <wp:effectExtent l="0" t="0" r="0" b="2540"/>
            <wp:docPr id="179" name="Graf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B63B1" w:rsidRPr="00354A2B" w:rsidRDefault="009B63B1" w:rsidP="002875D6">
      <w:pPr>
        <w:pStyle w:val="Nadpis2"/>
        <w:pageBreakBefore/>
        <w:spacing w:before="0"/>
      </w:pPr>
      <w:bookmarkStart w:id="142" w:name="_Toc533697537"/>
      <w:bookmarkStart w:id="143" w:name="_Toc534712036"/>
      <w:r w:rsidRPr="00354A2B">
        <w:lastRenderedPageBreak/>
        <w:t>D.</w:t>
      </w:r>
      <w:r>
        <w:t>6</w:t>
      </w:r>
      <w:r w:rsidRPr="00354A2B">
        <w:t xml:space="preserve"> Employees </w:t>
      </w:r>
      <w:r>
        <w:t>and ICT</w:t>
      </w:r>
      <w:bookmarkEnd w:id="142"/>
      <w:bookmarkEnd w:id="143"/>
    </w:p>
    <w:p w:rsidR="009B63B1" w:rsidRPr="00EE18F4" w:rsidRDefault="009B63B1" w:rsidP="009B63B1">
      <w:pPr>
        <w:pStyle w:val="Zkladntext"/>
        <w:spacing w:before="0" w:after="80" w:line="264" w:lineRule="auto"/>
        <w:rPr>
          <w:bCs/>
          <w:i/>
          <w:sz w:val="20"/>
          <w:lang w:val="en-GB"/>
        </w:rPr>
      </w:pPr>
      <w:r w:rsidRPr="00EE18F4">
        <w:rPr>
          <w:bCs/>
          <w:i/>
          <w:sz w:val="20"/>
          <w:lang w:val="en-GB"/>
        </w:rPr>
        <w:t>Despite the fact that nearly all enterprises with 10+ employees (98%) in the Czech Republic use computers</w:t>
      </w:r>
      <w:r w:rsidRPr="0046330A">
        <w:rPr>
          <w:i/>
          <w:sz w:val="20"/>
          <w:szCs w:val="20"/>
        </w:rPr>
        <w:t>,</w:t>
      </w:r>
      <w:r w:rsidRPr="0046330A">
        <w:rPr>
          <w:bCs/>
          <w:i/>
          <w:sz w:val="20"/>
          <w:lang w:val="en-GB"/>
        </w:rPr>
        <w:t xml:space="preserve"> </w:t>
      </w:r>
      <w:r w:rsidRPr="00EE18F4">
        <w:rPr>
          <w:bCs/>
          <w:i/>
          <w:sz w:val="20"/>
          <w:lang w:val="en-GB"/>
        </w:rPr>
        <w:t xml:space="preserve">and practically the same share of enterprises </w:t>
      </w:r>
      <w:r w:rsidRPr="0046330A">
        <w:rPr>
          <w:bCs/>
          <w:i/>
          <w:sz w:val="20"/>
          <w:lang w:val="en-GB"/>
        </w:rPr>
        <w:t>has</w:t>
      </w:r>
      <w:r w:rsidRPr="00EE18F4">
        <w:rPr>
          <w:bCs/>
          <w:i/>
          <w:color w:val="FF0000"/>
          <w:sz w:val="20"/>
          <w:lang w:val="en-GB"/>
        </w:rPr>
        <w:t xml:space="preserve"> </w:t>
      </w:r>
      <w:r w:rsidRPr="00EE18F4">
        <w:rPr>
          <w:bCs/>
          <w:i/>
          <w:sz w:val="20"/>
          <w:lang w:val="en-GB"/>
        </w:rPr>
        <w:t xml:space="preserve">internet access, </w:t>
      </w:r>
      <w:r>
        <w:rPr>
          <w:bCs/>
          <w:i/>
          <w:sz w:val="20"/>
          <w:lang w:val="en-GB"/>
        </w:rPr>
        <w:t xml:space="preserve">only </w:t>
      </w:r>
      <w:r w:rsidRPr="00EE18F4">
        <w:rPr>
          <w:bCs/>
          <w:i/>
          <w:sz w:val="20"/>
          <w:lang w:val="en-GB"/>
        </w:rPr>
        <w:t>less than a half of all employees in such enterprises use a computer. The total low number of employees using a computer at wor</w:t>
      </w:r>
      <w:r w:rsidRPr="0046330A">
        <w:rPr>
          <w:bCs/>
          <w:i/>
          <w:sz w:val="20"/>
          <w:lang w:val="en-GB"/>
        </w:rPr>
        <w:t>k</w:t>
      </w:r>
      <w:r w:rsidRPr="0046330A">
        <w:rPr>
          <w:i/>
          <w:sz w:val="20"/>
          <w:szCs w:val="20"/>
        </w:rPr>
        <w:t>,</w:t>
      </w:r>
      <w:r w:rsidRPr="0046330A">
        <w:rPr>
          <w:bCs/>
          <w:i/>
          <w:sz w:val="20"/>
          <w:lang w:val="en-GB"/>
        </w:rPr>
        <w:t xml:space="preserve"> </w:t>
      </w:r>
      <w:r w:rsidRPr="00EE18F4">
        <w:rPr>
          <w:bCs/>
          <w:i/>
          <w:sz w:val="20"/>
          <w:lang w:val="en-GB"/>
        </w:rPr>
        <w:t>compared to other EU countries</w:t>
      </w:r>
      <w:r w:rsidRPr="0046330A">
        <w:rPr>
          <w:i/>
          <w:sz w:val="20"/>
          <w:szCs w:val="20"/>
        </w:rPr>
        <w:t>,</w:t>
      </w:r>
      <w:r w:rsidRPr="00EE18F4">
        <w:rPr>
          <w:bCs/>
          <w:i/>
          <w:sz w:val="20"/>
          <w:lang w:val="en-GB"/>
        </w:rPr>
        <w:t xml:space="preserve"> is also defined by the structure of our economy</w:t>
      </w:r>
      <w:r w:rsidRPr="0046330A">
        <w:rPr>
          <w:i/>
          <w:sz w:val="20"/>
          <w:szCs w:val="20"/>
        </w:rPr>
        <w:t>,</w:t>
      </w:r>
      <w:r w:rsidRPr="00EE18F4">
        <w:rPr>
          <w:bCs/>
          <w:i/>
          <w:sz w:val="20"/>
          <w:lang w:val="en-GB"/>
        </w:rPr>
        <w:t xml:space="preserve"> with a strong </w:t>
      </w:r>
      <w:r>
        <w:rPr>
          <w:bCs/>
          <w:i/>
          <w:sz w:val="20"/>
          <w:lang w:val="en-GB"/>
        </w:rPr>
        <w:t>manufacturing orientation</w:t>
      </w:r>
      <w:r w:rsidRPr="00EE18F4">
        <w:rPr>
          <w:bCs/>
          <w:i/>
          <w:sz w:val="20"/>
          <w:lang w:val="en-GB"/>
        </w:rPr>
        <w:t>, where the us</w:t>
      </w:r>
      <w:r>
        <w:rPr>
          <w:bCs/>
          <w:i/>
          <w:sz w:val="20"/>
          <w:lang w:val="en-GB"/>
        </w:rPr>
        <w:t>e</w:t>
      </w:r>
      <w:r w:rsidRPr="00EE18F4">
        <w:rPr>
          <w:bCs/>
          <w:i/>
          <w:sz w:val="20"/>
          <w:lang w:val="en-GB"/>
        </w:rPr>
        <w:t xml:space="preserve"> of </w:t>
      </w:r>
      <w:r>
        <w:rPr>
          <w:bCs/>
          <w:i/>
          <w:sz w:val="20"/>
          <w:lang w:val="en-GB"/>
        </w:rPr>
        <w:t>ICTs</w:t>
      </w:r>
      <w:r w:rsidRPr="0046330A">
        <w:rPr>
          <w:i/>
          <w:sz w:val="20"/>
          <w:szCs w:val="20"/>
        </w:rPr>
        <w:t>,</w:t>
      </w:r>
      <w:r w:rsidRPr="00EE18F4">
        <w:rPr>
          <w:bCs/>
          <w:i/>
          <w:sz w:val="20"/>
          <w:lang w:val="en-GB"/>
        </w:rPr>
        <w:t xml:space="preserve"> is not necessary for a large number of employees. </w:t>
      </w:r>
    </w:p>
    <w:p w:rsidR="009B63B1" w:rsidRPr="000B1AA3" w:rsidRDefault="009B63B1" w:rsidP="0026358E">
      <w:pPr>
        <w:pStyle w:val="Nadpis3"/>
        <w:rPr>
          <w:i/>
          <w:sz w:val="20"/>
        </w:rPr>
      </w:pPr>
      <w:bookmarkStart w:id="144" w:name="_Toc533697538"/>
      <w:bookmarkStart w:id="145" w:name="_Toc534712037"/>
      <w:r w:rsidRPr="000B1AA3">
        <w:t>Employees using selected information technologies</w:t>
      </w:r>
      <w:bookmarkEnd w:id="144"/>
      <w:bookmarkEnd w:id="145"/>
    </w:p>
    <w:p w:rsidR="009B63B1" w:rsidRPr="007D43B2"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 xml:space="preserve">The percentage of </w:t>
      </w:r>
      <w:r w:rsidRPr="007D43B2">
        <w:rPr>
          <w:b/>
        </w:rPr>
        <w:t>employees</w:t>
      </w:r>
      <w:r w:rsidRPr="00B7386E">
        <w:t xml:space="preserve"> using a </w:t>
      </w:r>
      <w:r w:rsidRPr="007D43B2">
        <w:rPr>
          <w:b/>
        </w:rPr>
        <w:t>computer</w:t>
      </w:r>
      <w:r w:rsidRPr="00B7386E">
        <w:t xml:space="preserve"> at work in Czech enterprises has not changed </w:t>
      </w:r>
      <w:r w:rsidRPr="0046330A">
        <w:t>significantly</w:t>
      </w:r>
      <w:r w:rsidRPr="007D43B2">
        <w:rPr>
          <w:color w:val="FF0000"/>
        </w:rPr>
        <w:t xml:space="preserve"> </w:t>
      </w:r>
      <w:r w:rsidRPr="00B7386E">
        <w:t xml:space="preserve">over the past years. Since </w:t>
      </w:r>
      <w:r w:rsidRPr="0046330A">
        <w:t>2006</w:t>
      </w:r>
      <w:r w:rsidRPr="007D43B2">
        <w:rPr>
          <w:szCs w:val="20"/>
        </w:rPr>
        <w:t>,</w:t>
      </w:r>
      <w:r w:rsidRPr="0046330A">
        <w:t xml:space="preserve"> </w:t>
      </w:r>
      <w:r w:rsidRPr="00B7386E">
        <w:t>the number has been slightly above 40%; in January 2017</w:t>
      </w:r>
      <w:r w:rsidRPr="007D43B2">
        <w:rPr>
          <w:szCs w:val="20"/>
        </w:rPr>
        <w:t>,</w:t>
      </w:r>
      <w:r w:rsidRPr="0046330A">
        <w:t xml:space="preserve"> </w:t>
      </w:r>
      <w:r w:rsidRPr="00B7386E">
        <w:t xml:space="preserve">it was precisely 49% of employees. </w:t>
      </w:r>
      <w:r w:rsidRPr="007D43B2">
        <w:rPr>
          <w:rFonts w:cs="Arial"/>
        </w:rPr>
        <w:t>The percentage of employees using a computer at work does not differ significantly with respect to size categories of enterprises; differences can rather be found between individual industries. In January 2017, most employees using a computer at work could be found in telecommunication services and IT related activities (identically 95%). In contrast, the lowest percentage was found in food and beverage manufacturing (27%)</w:t>
      </w:r>
      <w:r w:rsidRPr="007D43B2">
        <w:rPr>
          <w:szCs w:val="20"/>
        </w:rPr>
        <w:t>,</w:t>
      </w:r>
      <w:r w:rsidRPr="007D43B2">
        <w:rPr>
          <w:rFonts w:cs="Arial"/>
        </w:rPr>
        <w:t xml:space="preserve"> and in administrative and support activities, where</w:t>
      </w:r>
      <w:r w:rsidRPr="007D43B2">
        <w:rPr>
          <w:szCs w:val="20"/>
        </w:rPr>
        <w:t>,</w:t>
      </w:r>
      <w:r w:rsidRPr="007D43B2">
        <w:rPr>
          <w:rFonts w:cs="Arial"/>
        </w:rPr>
        <w:t xml:space="preserve"> in January 2017</w:t>
      </w:r>
      <w:r w:rsidRPr="007D43B2">
        <w:rPr>
          <w:szCs w:val="20"/>
        </w:rPr>
        <w:t>,</w:t>
      </w:r>
      <w:r w:rsidRPr="007D43B2">
        <w:rPr>
          <w:rFonts w:cs="Arial"/>
        </w:rPr>
        <w:t xml:space="preserve"> computers were used for work by 22% of employees. </w:t>
      </w:r>
    </w:p>
    <w:p w:rsidR="009B63B1" w:rsidRPr="007D43B2" w:rsidRDefault="009B63B1" w:rsidP="009B63B1">
      <w:pPr>
        <w:pStyle w:val="Odstavecseseznamem"/>
        <w:numPr>
          <w:ilvl w:val="0"/>
          <w:numId w:val="15"/>
        </w:numPr>
        <w:tabs>
          <w:tab w:val="clear" w:pos="360"/>
        </w:tabs>
        <w:spacing w:after="80" w:line="264" w:lineRule="auto"/>
        <w:ind w:left="284" w:hanging="284"/>
        <w:contextualSpacing w:val="0"/>
        <w:jc w:val="both"/>
        <w:rPr>
          <w:rFonts w:ascii="Arial" w:hAnsi="Arial" w:cs="Arial"/>
          <w:sz w:val="20"/>
          <w:lang w:val="en-GB"/>
        </w:rPr>
      </w:pPr>
      <w:r w:rsidRPr="007D43B2">
        <w:rPr>
          <w:rFonts w:ascii="Arial" w:hAnsi="Arial" w:cs="Arial"/>
          <w:sz w:val="20"/>
          <w:lang w:val="en-GB"/>
        </w:rPr>
        <w:t>The share of employees</w:t>
      </w:r>
      <w:r w:rsidRPr="007D43B2">
        <w:rPr>
          <w:sz w:val="20"/>
          <w:szCs w:val="20"/>
        </w:rPr>
        <w:t>,</w:t>
      </w:r>
      <w:r w:rsidRPr="007D43B2">
        <w:rPr>
          <w:rFonts w:ascii="Arial" w:hAnsi="Arial" w:cs="Arial"/>
          <w:sz w:val="20"/>
          <w:lang w:val="en-GB"/>
        </w:rPr>
        <w:t xml:space="preserve"> having </w:t>
      </w:r>
      <w:r w:rsidRPr="007D43B2">
        <w:rPr>
          <w:rFonts w:ascii="Arial" w:hAnsi="Arial" w:cs="Arial"/>
          <w:b/>
          <w:sz w:val="20"/>
          <w:lang w:val="en-GB"/>
        </w:rPr>
        <w:t xml:space="preserve">internet access from their company computer </w:t>
      </w:r>
      <w:r w:rsidRPr="007D43B2">
        <w:rPr>
          <w:rFonts w:ascii="Arial" w:hAnsi="Arial" w:cs="Arial"/>
          <w:sz w:val="20"/>
          <w:lang w:val="en-GB"/>
        </w:rPr>
        <w:t>in the Czech Republic</w:t>
      </w:r>
      <w:r w:rsidRPr="007D43B2">
        <w:rPr>
          <w:sz w:val="20"/>
          <w:szCs w:val="20"/>
        </w:rPr>
        <w:t>,</w:t>
      </w:r>
      <w:r w:rsidRPr="007D43B2">
        <w:rPr>
          <w:rFonts w:ascii="Arial" w:hAnsi="Arial" w:cs="Arial"/>
          <w:sz w:val="20"/>
          <w:lang w:val="en-GB"/>
        </w:rPr>
        <w:t xml:space="preserve"> is increasing slightly on a year-by-year basis; in January 2017</w:t>
      </w:r>
      <w:r w:rsidRPr="007D43B2">
        <w:rPr>
          <w:sz w:val="20"/>
          <w:szCs w:val="20"/>
        </w:rPr>
        <w:t>,</w:t>
      </w:r>
      <w:r w:rsidRPr="007D43B2">
        <w:rPr>
          <w:rFonts w:ascii="Arial" w:hAnsi="Arial" w:cs="Arial"/>
          <w:sz w:val="20"/>
          <w:lang w:val="en-GB"/>
        </w:rPr>
        <w:t xml:space="preserve"> the share exceeded 40% for the first time</w:t>
      </w:r>
      <w:r w:rsidRPr="007D43B2">
        <w:rPr>
          <w:rFonts w:ascii="Arial" w:hAnsi="Arial" w:cs="Arial"/>
          <w:sz w:val="20"/>
          <w:lang w:val="en-GB"/>
        </w:rPr>
        <w:br/>
        <w:t>– in 2010</w:t>
      </w:r>
      <w:r w:rsidRPr="007D43B2">
        <w:rPr>
          <w:sz w:val="20"/>
          <w:szCs w:val="20"/>
        </w:rPr>
        <w:t>,</w:t>
      </w:r>
      <w:r w:rsidRPr="007D43B2">
        <w:rPr>
          <w:rFonts w:ascii="Arial" w:hAnsi="Arial" w:cs="Arial"/>
          <w:sz w:val="20"/>
          <w:lang w:val="en-GB"/>
        </w:rPr>
        <w:t xml:space="preserve"> it was only a third. In contrast to the number of employees using a computer at work, the number of employees using an office PC to access the internet is decreasing</w:t>
      </w:r>
      <w:r w:rsidRPr="007D43B2">
        <w:rPr>
          <w:sz w:val="20"/>
          <w:szCs w:val="20"/>
        </w:rPr>
        <w:t>,</w:t>
      </w:r>
      <w:r w:rsidRPr="007D43B2">
        <w:rPr>
          <w:rFonts w:ascii="Arial" w:hAnsi="Arial" w:cs="Arial"/>
          <w:sz w:val="20"/>
          <w:lang w:val="en-GB"/>
        </w:rPr>
        <w:t xml:space="preserve"> along with the company size. The reason for this might be the restrictions in providing internet access from employees’ company computer by their employer, apparently applied more frequently in large enterprises. </w:t>
      </w:r>
    </w:p>
    <w:p w:rsidR="009B63B1" w:rsidRPr="007D43B2" w:rsidRDefault="009B63B1" w:rsidP="009B63B1">
      <w:pPr>
        <w:pStyle w:val="Zkladntext"/>
        <w:numPr>
          <w:ilvl w:val="0"/>
          <w:numId w:val="24"/>
        </w:numPr>
        <w:tabs>
          <w:tab w:val="clear" w:pos="360"/>
          <w:tab w:val="num" w:pos="284"/>
        </w:tabs>
        <w:spacing w:before="0" w:after="80" w:line="264" w:lineRule="auto"/>
        <w:ind w:left="284" w:hanging="284"/>
        <w:rPr>
          <w:sz w:val="20"/>
          <w:lang w:val="en-GB"/>
        </w:rPr>
      </w:pPr>
      <w:r w:rsidRPr="007D43B2">
        <w:rPr>
          <w:sz w:val="20"/>
          <w:lang w:val="en-GB"/>
        </w:rPr>
        <w:t>Computers with internet access are more often provided to employees in the media sector, in telecommunication services or IT (above 90%). Computers are least frequently used (similarly to the access to a computer) by employees in food service (24%)</w:t>
      </w:r>
      <w:r w:rsidRPr="007D43B2">
        <w:rPr>
          <w:sz w:val="20"/>
          <w:szCs w:val="20"/>
        </w:rPr>
        <w:t>,</w:t>
      </w:r>
      <w:r w:rsidRPr="007D43B2">
        <w:rPr>
          <w:sz w:val="20"/>
          <w:lang w:val="en-GB"/>
        </w:rPr>
        <w:t xml:space="preserve"> and in other administrative and support activities (21%). </w:t>
      </w:r>
    </w:p>
    <w:p w:rsidR="009B63B1" w:rsidRPr="007D43B2" w:rsidRDefault="009B63B1" w:rsidP="0026358E">
      <w:pPr>
        <w:pStyle w:val="Titulek"/>
        <w:keepNext/>
        <w:spacing w:after="80"/>
        <w:jc w:val="both"/>
        <w:rPr>
          <w:color w:val="auto"/>
          <w:lang w:val="en-GB"/>
        </w:rPr>
        <w:sectPr w:rsidR="009B63B1" w:rsidRPr="007D43B2" w:rsidSect="007B46EA">
          <w:type w:val="continuous"/>
          <w:pgSz w:w="11906" w:h="16838" w:code="9"/>
          <w:pgMar w:top="1134" w:right="1134" w:bottom="1418" w:left="1134" w:header="680" w:footer="680" w:gutter="0"/>
          <w:cols w:space="708"/>
          <w:docGrid w:linePitch="360"/>
        </w:sectPr>
      </w:pPr>
    </w:p>
    <w:p w:rsidR="009B63B1" w:rsidRDefault="009B63B1" w:rsidP="009B63B1">
      <w:pPr>
        <w:pStyle w:val="Zkladntext"/>
        <w:spacing w:before="0" w:after="120" w:line="264" w:lineRule="auto"/>
        <w:ind w:left="284"/>
      </w:pPr>
      <w:r w:rsidRPr="00B7386E">
        <w:rPr>
          <w:noProof/>
        </w:rPr>
        <w:drawing>
          <wp:inline distT="0" distB="0" distL="0" distR="0" wp14:anchorId="38CD7451" wp14:editId="3CF406E4">
            <wp:extent cx="2952000" cy="2520000"/>
            <wp:effectExtent l="0" t="0" r="1270" b="0"/>
            <wp:docPr id="180" name="Graf 180">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B7386E">
        <w:rPr>
          <w:noProof/>
          <w:lang w:val="en-GB"/>
        </w:rPr>
        <w:t xml:space="preserve"> </w:t>
      </w:r>
    </w:p>
    <w:p w:rsidR="009B63B1" w:rsidRPr="00B7386E" w:rsidRDefault="009B63B1" w:rsidP="009B63B1">
      <w:pPr>
        <w:pStyle w:val="Zkladntext"/>
        <w:spacing w:before="0" w:after="120" w:line="264" w:lineRule="auto"/>
        <w:ind w:left="284"/>
        <w:rPr>
          <w:noProof/>
          <w:lang w:val="en-GB"/>
        </w:rPr>
      </w:pPr>
      <w:r w:rsidRPr="00B7386E">
        <w:rPr>
          <w:noProof/>
        </w:rPr>
        <w:drawing>
          <wp:inline distT="0" distB="0" distL="0" distR="0" wp14:anchorId="78B92CE5" wp14:editId="72FC45C0">
            <wp:extent cx="2952000" cy="2556000"/>
            <wp:effectExtent l="0" t="0" r="1270" b="0"/>
            <wp:docPr id="181" name="Graf 18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B63B1" w:rsidRDefault="009B63B1" w:rsidP="009B63B1">
      <w:pPr>
        <w:ind w:left="4956" w:hanging="4956"/>
        <w:jc w:val="both"/>
        <w:rPr>
          <w:rFonts w:cs="Arial"/>
          <w:color w:val="000000"/>
          <w:sz w:val="16"/>
          <w:szCs w:val="16"/>
        </w:rPr>
        <w:sectPr w:rsidR="009B63B1" w:rsidSect="007B46EA">
          <w:type w:val="continuous"/>
          <w:pgSz w:w="11906" w:h="16838" w:code="9"/>
          <w:pgMar w:top="1134" w:right="1134" w:bottom="1418" w:left="1134" w:header="680" w:footer="680" w:gutter="0"/>
          <w:cols w:num="2" w:space="2"/>
          <w:docGrid w:linePitch="360"/>
        </w:sectPr>
      </w:pPr>
    </w:p>
    <w:p w:rsidR="009B63B1" w:rsidRPr="00B7386E" w:rsidRDefault="009B63B1" w:rsidP="009B63B1">
      <w:pPr>
        <w:spacing w:after="0"/>
        <w:ind w:left="4956" w:hanging="4956"/>
        <w:jc w:val="both"/>
        <w:rPr>
          <w:rFonts w:cs="Arial"/>
          <w:color w:val="000000"/>
          <w:sz w:val="16"/>
          <w:szCs w:val="16"/>
        </w:rPr>
      </w:pPr>
      <w:r w:rsidRPr="00B7386E">
        <w:rPr>
          <w:rFonts w:cs="Arial"/>
          <w:color w:val="000000"/>
          <w:sz w:val="16"/>
          <w:szCs w:val="16"/>
        </w:rPr>
        <w:t xml:space="preserve">* as percentage </w:t>
      </w:r>
      <w:r w:rsidRPr="00B7386E">
        <w:rPr>
          <w:rFonts w:cs="Arial"/>
          <w:color w:val="000000"/>
          <w:sz w:val="16"/>
          <w:szCs w:val="16"/>
          <w:u w:val="single"/>
        </w:rPr>
        <w:t>of all enterprises</w:t>
      </w:r>
      <w:r>
        <w:rPr>
          <w:rFonts w:cs="Arial"/>
          <w:color w:val="000000"/>
          <w:sz w:val="16"/>
          <w:szCs w:val="16"/>
        </w:rPr>
        <w:t xml:space="preserve"> with 10+ employees </w:t>
      </w:r>
      <w:r>
        <w:rPr>
          <w:rFonts w:cs="Arial"/>
          <w:color w:val="000000"/>
          <w:sz w:val="16"/>
          <w:szCs w:val="16"/>
        </w:rPr>
        <w:tab/>
        <w:t xml:space="preserve"> </w:t>
      </w:r>
      <w:r w:rsidRPr="00B7386E">
        <w:rPr>
          <w:rFonts w:cs="Arial"/>
          <w:color w:val="000000"/>
          <w:sz w:val="16"/>
          <w:szCs w:val="16"/>
        </w:rPr>
        <w:t xml:space="preserve">* as percentage </w:t>
      </w:r>
      <w:r w:rsidRPr="00B7386E">
        <w:rPr>
          <w:rFonts w:cs="Arial"/>
          <w:color w:val="000000"/>
          <w:sz w:val="16"/>
          <w:szCs w:val="16"/>
          <w:u w:val="single"/>
        </w:rPr>
        <w:t>of all employees</w:t>
      </w:r>
      <w:r w:rsidRPr="00B7386E">
        <w:rPr>
          <w:rFonts w:cs="Arial"/>
          <w:color w:val="000000"/>
          <w:sz w:val="16"/>
          <w:szCs w:val="16"/>
        </w:rPr>
        <w:t xml:space="preserve"> in enterprises with 10+ </w:t>
      </w:r>
    </w:p>
    <w:p w:rsidR="009B63B1" w:rsidRPr="00B7386E" w:rsidRDefault="009B63B1" w:rsidP="009B63B1">
      <w:pPr>
        <w:spacing w:after="120"/>
        <w:ind w:left="4956" w:hanging="4956"/>
        <w:jc w:val="both"/>
        <w:rPr>
          <w:rFonts w:cs="Arial"/>
          <w:color w:val="000000"/>
          <w:sz w:val="16"/>
          <w:szCs w:val="16"/>
        </w:rPr>
      </w:pPr>
      <w:r w:rsidRPr="00B7386E">
        <w:rPr>
          <w:rFonts w:cs="Arial"/>
          <w:color w:val="000000"/>
          <w:sz w:val="16"/>
          <w:szCs w:val="16"/>
        </w:rPr>
        <w:t xml:space="preserve">in a given size class  </w:t>
      </w:r>
      <w:r w:rsidRPr="00B7386E">
        <w:rPr>
          <w:rFonts w:cs="Arial"/>
          <w:color w:val="000000"/>
          <w:sz w:val="16"/>
          <w:szCs w:val="16"/>
        </w:rPr>
        <w:tab/>
        <w:t>employees in a given size class</w:t>
      </w:r>
      <w:r w:rsidRPr="00B7386E">
        <w:rPr>
          <w:rFonts w:cs="Arial"/>
          <w:color w:val="000000"/>
          <w:sz w:val="16"/>
          <w:szCs w:val="16"/>
        </w:rPr>
        <w:tab/>
      </w:r>
      <w:r w:rsidRPr="00B7386E">
        <w:rPr>
          <w:rFonts w:cs="Arial"/>
          <w:color w:val="000000"/>
          <w:sz w:val="16"/>
          <w:szCs w:val="16"/>
        </w:rPr>
        <w:tab/>
      </w:r>
      <w:r w:rsidRPr="00B7386E">
        <w:rPr>
          <w:rFonts w:cs="Arial"/>
          <w:color w:val="000000"/>
          <w:sz w:val="16"/>
          <w:szCs w:val="16"/>
        </w:rPr>
        <w:tab/>
      </w:r>
    </w:p>
    <w:p w:rsidR="009B63B1" w:rsidRPr="00B7386E" w:rsidRDefault="009B63B1" w:rsidP="009B63B1">
      <w:pPr>
        <w:numPr>
          <w:ilvl w:val="0"/>
          <w:numId w:val="15"/>
        </w:numPr>
        <w:tabs>
          <w:tab w:val="clear" w:pos="360"/>
          <w:tab w:val="num" w:pos="284"/>
        </w:tabs>
        <w:autoSpaceDE w:val="0"/>
        <w:autoSpaceDN w:val="0"/>
        <w:adjustRightInd w:val="0"/>
        <w:spacing w:after="80" w:line="264" w:lineRule="auto"/>
        <w:ind w:left="284" w:hanging="284"/>
        <w:jc w:val="both"/>
        <w:rPr>
          <w:rFonts w:cs="Arial"/>
        </w:rPr>
      </w:pPr>
      <w:r w:rsidRPr="00B7386E">
        <w:t>In recent years, it is increasingly common that enterprises provide their employees</w:t>
      </w:r>
      <w:r>
        <w:rPr>
          <w:color w:val="FF0000"/>
        </w:rPr>
        <w:t xml:space="preserve"> </w:t>
      </w:r>
      <w:r w:rsidRPr="0046330A">
        <w:t>with</w:t>
      </w:r>
      <w:r w:rsidRPr="00B7386E">
        <w:t xml:space="preserve"> </w:t>
      </w:r>
      <w:r w:rsidRPr="00B7386E">
        <w:rPr>
          <w:b/>
        </w:rPr>
        <w:t xml:space="preserve">portable and mobile devices </w:t>
      </w:r>
      <w:r w:rsidRPr="00B7386E">
        <w:t>for business purposes (laptops, tablets, smart phones</w:t>
      </w:r>
      <w:r w:rsidRPr="0046330A">
        <w:t>)</w:t>
      </w:r>
      <w:r w:rsidRPr="0046330A">
        <w:rPr>
          <w:szCs w:val="20"/>
        </w:rPr>
        <w:t>,</w:t>
      </w:r>
      <w:r w:rsidRPr="0046330A">
        <w:t xml:space="preserve"> with internet access</w:t>
      </w:r>
      <w:r>
        <w:t>. I</w:t>
      </w:r>
      <w:r w:rsidRPr="0046330A">
        <w:t>n 2017</w:t>
      </w:r>
      <w:r w:rsidRPr="0046330A">
        <w:rPr>
          <w:szCs w:val="20"/>
        </w:rPr>
        <w:t>,</w:t>
      </w:r>
      <w:r w:rsidRPr="0046330A">
        <w:t xml:space="preserve"> </w:t>
      </w:r>
      <w:r w:rsidRPr="00B7386E">
        <w:t xml:space="preserve">these were provided by eight enterprises out of ten. In January 2017, these portable devices were </w:t>
      </w:r>
      <w:r w:rsidRPr="00B7386E">
        <w:rPr>
          <w:b/>
        </w:rPr>
        <w:t>used at work</w:t>
      </w:r>
      <w:r w:rsidRPr="00B7386E">
        <w:t xml:space="preserve"> approximately by a quarter of their employees – more frequently by the employees of small enterprises (30</w:t>
      </w:r>
      <w:r w:rsidRPr="0046330A">
        <w:t>%)</w:t>
      </w:r>
      <w:r w:rsidRPr="0046330A">
        <w:rPr>
          <w:szCs w:val="20"/>
        </w:rPr>
        <w:t>,</w:t>
      </w:r>
      <w:r w:rsidRPr="0046330A">
        <w:t xml:space="preserve"> and</w:t>
      </w:r>
      <w:r w:rsidRPr="0046330A">
        <w:rPr>
          <w:szCs w:val="20"/>
        </w:rPr>
        <w:t>,</w:t>
      </w:r>
      <w:r w:rsidRPr="0046330A">
        <w:t xml:space="preserve"> with </w:t>
      </w:r>
      <w:r w:rsidRPr="00B7386E">
        <w:t xml:space="preserve">respect to sectors, mostly by employees in </w:t>
      </w:r>
      <w:r>
        <w:t>ICT industries</w:t>
      </w:r>
      <w:r w:rsidRPr="00B7386E">
        <w:t xml:space="preserve">. </w:t>
      </w:r>
    </w:p>
    <w:p w:rsidR="009B63B1" w:rsidRPr="00B7386E" w:rsidRDefault="009B63B1" w:rsidP="009B63B1">
      <w:pPr>
        <w:pStyle w:val="Zkladntext"/>
        <w:numPr>
          <w:ilvl w:val="0"/>
          <w:numId w:val="15"/>
        </w:numPr>
        <w:tabs>
          <w:tab w:val="clear" w:pos="360"/>
        </w:tabs>
        <w:spacing w:before="0" w:after="80" w:line="264" w:lineRule="auto"/>
        <w:ind w:left="284" w:hanging="284"/>
        <w:rPr>
          <w:sz w:val="20"/>
          <w:lang w:val="en-GB"/>
        </w:rPr>
      </w:pPr>
      <w:r w:rsidRPr="00B7386E">
        <w:rPr>
          <w:sz w:val="20"/>
          <w:lang w:val="en-GB"/>
        </w:rPr>
        <w:t xml:space="preserve">In comparison </w:t>
      </w:r>
      <w:r w:rsidRPr="0046330A">
        <w:rPr>
          <w:sz w:val="20"/>
          <w:lang w:val="en-GB"/>
        </w:rPr>
        <w:t>to o</w:t>
      </w:r>
      <w:r w:rsidRPr="00B7386E">
        <w:rPr>
          <w:sz w:val="20"/>
          <w:lang w:val="en-GB"/>
        </w:rPr>
        <w:t xml:space="preserve">ther </w:t>
      </w:r>
      <w:r w:rsidRPr="00B7386E">
        <w:rPr>
          <w:b/>
          <w:sz w:val="20"/>
          <w:lang w:val="en-GB"/>
        </w:rPr>
        <w:t>EU countries</w:t>
      </w:r>
      <w:r w:rsidRPr="00B7386E">
        <w:rPr>
          <w:sz w:val="20"/>
          <w:lang w:val="en-GB"/>
        </w:rPr>
        <w:t xml:space="preserve">, Czech enterprises report one of the lowest percentages of employees using a computer for their work, or computer with </w:t>
      </w:r>
      <w:r w:rsidRPr="00B7386E">
        <w:rPr>
          <w:b/>
          <w:sz w:val="20"/>
          <w:lang w:val="en-GB"/>
        </w:rPr>
        <w:t>internet access</w:t>
      </w:r>
      <w:r w:rsidRPr="00B7386E">
        <w:rPr>
          <w:sz w:val="20"/>
          <w:lang w:val="en-GB"/>
        </w:rPr>
        <w:t>.</w:t>
      </w:r>
      <w:r w:rsidRPr="00B7386E">
        <w:rPr>
          <w:b/>
          <w:sz w:val="20"/>
          <w:lang w:val="en-GB"/>
        </w:rPr>
        <w:t xml:space="preserve"> </w:t>
      </w:r>
      <w:r w:rsidRPr="00B7386E">
        <w:rPr>
          <w:sz w:val="20"/>
          <w:lang w:val="en-GB"/>
        </w:rPr>
        <w:t xml:space="preserve">In January 2017, the Czech Republic was the seventh </w:t>
      </w:r>
      <w:r w:rsidRPr="0046330A">
        <w:rPr>
          <w:sz w:val="20"/>
          <w:lang w:val="en-GB"/>
        </w:rPr>
        <w:t xml:space="preserve">to last </w:t>
      </w:r>
      <w:r w:rsidRPr="00B7386E">
        <w:rPr>
          <w:sz w:val="20"/>
          <w:lang w:val="en-GB"/>
        </w:rPr>
        <w:t xml:space="preserve">in EU comparison. The number of employees using the internet </w:t>
      </w:r>
      <w:r w:rsidRPr="00B7386E">
        <w:rPr>
          <w:sz w:val="20"/>
          <w:lang w:val="en-GB"/>
        </w:rPr>
        <w:lastRenderedPageBreak/>
        <w:t xml:space="preserve">for </w:t>
      </w:r>
      <w:r w:rsidR="007904A3">
        <w:rPr>
          <w:sz w:val="20"/>
          <w:lang w:val="en-GB"/>
        </w:rPr>
        <w:t>business</w:t>
      </w:r>
      <w:r w:rsidRPr="00B7386E">
        <w:rPr>
          <w:sz w:val="20"/>
          <w:lang w:val="en-GB"/>
        </w:rPr>
        <w:t xml:space="preserve"> purposes is the highest in enterprises of Nordic </w:t>
      </w:r>
      <w:r w:rsidRPr="0046330A">
        <w:rPr>
          <w:sz w:val="20"/>
          <w:lang w:val="en-GB"/>
        </w:rPr>
        <w:t>countries</w:t>
      </w:r>
      <w:r w:rsidRPr="0046330A">
        <w:rPr>
          <w:sz w:val="20"/>
          <w:szCs w:val="20"/>
        </w:rPr>
        <w:t>,</w:t>
      </w:r>
      <w:r w:rsidRPr="0046330A">
        <w:rPr>
          <w:sz w:val="20"/>
          <w:lang w:val="en-GB"/>
        </w:rPr>
        <w:t xml:space="preserve"> where</w:t>
      </w:r>
      <w:r w:rsidRPr="0046330A">
        <w:rPr>
          <w:sz w:val="20"/>
          <w:szCs w:val="20"/>
        </w:rPr>
        <w:t>,</w:t>
      </w:r>
      <w:r w:rsidRPr="0046330A">
        <w:rPr>
          <w:sz w:val="20"/>
          <w:lang w:val="en-GB"/>
        </w:rPr>
        <w:t xml:space="preserve"> in 2017</w:t>
      </w:r>
      <w:r w:rsidRPr="0046330A">
        <w:rPr>
          <w:sz w:val="20"/>
          <w:szCs w:val="20"/>
        </w:rPr>
        <w:t>,</w:t>
      </w:r>
      <w:r w:rsidRPr="0046330A">
        <w:rPr>
          <w:sz w:val="20"/>
          <w:lang w:val="en-GB"/>
        </w:rPr>
        <w:t xml:space="preserve"> </w:t>
      </w:r>
      <w:r w:rsidRPr="00B7386E">
        <w:rPr>
          <w:sz w:val="20"/>
          <w:lang w:val="en-GB"/>
        </w:rPr>
        <w:t xml:space="preserve">the </w:t>
      </w:r>
      <w:r w:rsidRPr="0046330A">
        <w:rPr>
          <w:sz w:val="20"/>
          <w:lang w:val="en-GB"/>
        </w:rPr>
        <w:t xml:space="preserve">internet was used by seven enterprises out of ten for this purpose. </w:t>
      </w:r>
    </w:p>
    <w:p w:rsidR="009B63B1" w:rsidRPr="000B1AA3" w:rsidRDefault="009B63B1" w:rsidP="009B63B1">
      <w:pPr>
        <w:pStyle w:val="Nadpis3"/>
      </w:pPr>
      <w:bookmarkStart w:id="146" w:name="_Toc533697539"/>
      <w:bookmarkStart w:id="147" w:name="_Toc534712038"/>
      <w:r w:rsidRPr="00354A2B">
        <w:t>ICT training provided to employees</w:t>
      </w:r>
      <w:bookmarkEnd w:id="146"/>
      <w:bookmarkEnd w:id="147"/>
    </w:p>
    <w:p w:rsidR="009B63B1" w:rsidRPr="00B7386E" w:rsidRDefault="009B63B1" w:rsidP="009B63B1">
      <w:pPr>
        <w:pStyle w:val="Zkladntext"/>
        <w:spacing w:before="0" w:after="80" w:line="264" w:lineRule="auto"/>
        <w:rPr>
          <w:bCs/>
          <w:i/>
          <w:sz w:val="20"/>
          <w:lang w:val="en-GB"/>
        </w:rPr>
      </w:pPr>
      <w:r w:rsidRPr="001F562A">
        <w:rPr>
          <w:bCs/>
          <w:i/>
          <w:sz w:val="20"/>
          <w:lang w:val="en-GB"/>
        </w:rPr>
        <w:t xml:space="preserve">Besides the aforementioned information technologies, enterprises may also provide their employees with training focused on </w:t>
      </w:r>
      <w:r w:rsidRPr="00405A8B">
        <w:rPr>
          <w:bCs/>
          <w:i/>
          <w:sz w:val="20"/>
          <w:lang w:val="en-GB"/>
        </w:rPr>
        <w:t>gaining</w:t>
      </w:r>
      <w:r w:rsidRPr="00405A8B">
        <w:rPr>
          <w:i/>
          <w:sz w:val="20"/>
          <w:szCs w:val="20"/>
        </w:rPr>
        <w:t>,</w:t>
      </w:r>
      <w:r w:rsidRPr="00405A8B">
        <w:rPr>
          <w:bCs/>
          <w:i/>
          <w:sz w:val="20"/>
          <w:lang w:val="en-GB"/>
        </w:rPr>
        <w:t xml:space="preserve"> or improving</w:t>
      </w:r>
      <w:r w:rsidRPr="00405A8B">
        <w:rPr>
          <w:i/>
          <w:sz w:val="20"/>
          <w:szCs w:val="20"/>
        </w:rPr>
        <w:t>,</w:t>
      </w:r>
      <w:r w:rsidRPr="00405A8B">
        <w:rPr>
          <w:bCs/>
          <w:i/>
          <w:sz w:val="20"/>
          <w:lang w:val="en-GB"/>
        </w:rPr>
        <w:t xml:space="preserve"> their </w:t>
      </w:r>
      <w:r w:rsidRPr="001F562A">
        <w:rPr>
          <w:bCs/>
          <w:i/>
          <w:sz w:val="20"/>
          <w:lang w:val="en-GB"/>
        </w:rPr>
        <w:t>computer skills. In 2016, approximately a quarter of employees of enterprises with 10+ employees in the Czech Republic had the opportunity to undergo such training</w:t>
      </w:r>
      <w:r w:rsidRPr="00B7386E">
        <w:rPr>
          <w:bCs/>
          <w:i/>
          <w:sz w:val="20"/>
          <w:lang w:val="en-GB"/>
        </w:rPr>
        <w:t>.</w:t>
      </w:r>
    </w:p>
    <w:p w:rsidR="009B63B1" w:rsidRPr="00B7386E" w:rsidRDefault="009B63B1" w:rsidP="009B63B1">
      <w:pPr>
        <w:pStyle w:val="Zkladntext"/>
        <w:numPr>
          <w:ilvl w:val="0"/>
          <w:numId w:val="24"/>
        </w:numPr>
        <w:tabs>
          <w:tab w:val="clear" w:pos="360"/>
          <w:tab w:val="num" w:pos="284"/>
        </w:tabs>
        <w:spacing w:before="0" w:after="80" w:line="264" w:lineRule="auto"/>
        <w:ind w:left="284" w:hanging="284"/>
        <w:rPr>
          <w:sz w:val="20"/>
          <w:lang w:val="en-GB"/>
        </w:rPr>
      </w:pPr>
      <w:r w:rsidRPr="00B7386E">
        <w:rPr>
          <w:sz w:val="20"/>
          <w:lang w:val="en-GB"/>
        </w:rPr>
        <w:t xml:space="preserve">In 2016, approximately a quarter (23%) of enterprises in the Czech Republic provided their employees with a possibility of </w:t>
      </w:r>
      <w:r w:rsidRPr="00405A8B">
        <w:rPr>
          <w:b/>
          <w:sz w:val="20"/>
          <w:lang w:val="en-GB"/>
        </w:rPr>
        <w:t>training</w:t>
      </w:r>
      <w:r w:rsidRPr="00405A8B">
        <w:rPr>
          <w:sz w:val="20"/>
          <w:szCs w:val="20"/>
        </w:rPr>
        <w:t>,</w:t>
      </w:r>
      <w:r w:rsidRPr="00405A8B">
        <w:rPr>
          <w:sz w:val="20"/>
          <w:lang w:val="en-GB"/>
        </w:rPr>
        <w:t xml:space="preserve"> in </w:t>
      </w:r>
      <w:r w:rsidRPr="00B7386E">
        <w:rPr>
          <w:sz w:val="20"/>
          <w:lang w:val="en-GB"/>
        </w:rPr>
        <w:t>order to gain or improve their computer skills. The opportunity to undergo such computer training was much more frequently offered to employees of medium-sized enterprises (43%</w:t>
      </w:r>
      <w:r w:rsidRPr="00405A8B">
        <w:rPr>
          <w:sz w:val="20"/>
          <w:lang w:val="en-GB"/>
        </w:rPr>
        <w:t>)</w:t>
      </w:r>
      <w:r w:rsidRPr="00405A8B">
        <w:rPr>
          <w:sz w:val="20"/>
          <w:szCs w:val="20"/>
        </w:rPr>
        <w:t>,</w:t>
      </w:r>
      <w:r w:rsidRPr="00405A8B">
        <w:rPr>
          <w:sz w:val="20"/>
          <w:lang w:val="en-GB"/>
        </w:rPr>
        <w:t xml:space="preserve"> </w:t>
      </w:r>
      <w:r w:rsidRPr="00B7386E">
        <w:rPr>
          <w:sz w:val="20"/>
          <w:lang w:val="en-GB"/>
        </w:rPr>
        <w:t>and particularly of large enterprises (78%); with respect to sectors</w:t>
      </w:r>
      <w:r w:rsidRPr="00405A8B">
        <w:rPr>
          <w:sz w:val="20"/>
          <w:szCs w:val="20"/>
        </w:rPr>
        <w:t>,</w:t>
      </w:r>
      <w:r w:rsidRPr="00B7386E">
        <w:rPr>
          <w:sz w:val="20"/>
          <w:lang w:val="en-GB"/>
        </w:rPr>
        <w:t xml:space="preserve"> this mainly involved the employees involved in IT (76%) and telecommunications (67%).</w:t>
      </w:r>
    </w:p>
    <w:p w:rsidR="009B63B1" w:rsidRPr="00B7386E" w:rsidRDefault="009B63B1" w:rsidP="009B63B1">
      <w:pPr>
        <w:pStyle w:val="Zkladntext"/>
        <w:numPr>
          <w:ilvl w:val="0"/>
          <w:numId w:val="24"/>
        </w:numPr>
        <w:tabs>
          <w:tab w:val="clear" w:pos="360"/>
          <w:tab w:val="num" w:pos="284"/>
        </w:tabs>
        <w:spacing w:before="0" w:after="80" w:line="264" w:lineRule="auto"/>
        <w:ind w:left="284" w:hanging="284"/>
        <w:rPr>
          <w:sz w:val="20"/>
          <w:lang w:val="en-GB"/>
        </w:rPr>
      </w:pPr>
      <w:r w:rsidRPr="00405A8B">
        <w:rPr>
          <w:sz w:val="20"/>
          <w:lang w:val="en-GB"/>
        </w:rPr>
        <w:t>From</w:t>
      </w:r>
      <w:r w:rsidRPr="001F562A">
        <w:rPr>
          <w:color w:val="FF0000"/>
          <w:sz w:val="20"/>
          <w:lang w:val="en-GB"/>
        </w:rPr>
        <w:t xml:space="preserve"> </w:t>
      </w:r>
      <w:r w:rsidRPr="00B7386E">
        <w:rPr>
          <w:sz w:val="20"/>
          <w:lang w:val="en-GB"/>
        </w:rPr>
        <w:t>an international point of view, Czech enterprises</w:t>
      </w:r>
      <w:r>
        <w:rPr>
          <w:sz w:val="20"/>
          <w:lang w:val="en-GB"/>
        </w:rPr>
        <w:t xml:space="preserve"> </w:t>
      </w:r>
      <w:r w:rsidRPr="00405A8B">
        <w:rPr>
          <w:sz w:val="20"/>
          <w:lang w:val="en-GB"/>
        </w:rPr>
        <w:t>that</w:t>
      </w:r>
      <w:r w:rsidRPr="00B7386E">
        <w:rPr>
          <w:sz w:val="20"/>
          <w:lang w:val="en-GB"/>
        </w:rPr>
        <w:t xml:space="preserve"> provide their employees with training are above the EU28 average. In comparison with large </w:t>
      </w:r>
      <w:r w:rsidRPr="00405A8B">
        <w:rPr>
          <w:sz w:val="20"/>
          <w:lang w:val="en-GB"/>
        </w:rPr>
        <w:t>enterprises</w:t>
      </w:r>
      <w:r w:rsidRPr="00405A8B">
        <w:rPr>
          <w:sz w:val="20"/>
          <w:szCs w:val="20"/>
        </w:rPr>
        <w:t>,</w:t>
      </w:r>
      <w:r w:rsidRPr="00B7386E">
        <w:rPr>
          <w:sz w:val="20"/>
          <w:lang w:val="en-GB"/>
        </w:rPr>
        <w:t xml:space="preserve"> providing their employees with training, Czech enterprises with 250+ employees </w:t>
      </w:r>
      <w:r w:rsidRPr="00405A8B">
        <w:rPr>
          <w:sz w:val="20"/>
          <w:lang w:val="en-GB"/>
        </w:rPr>
        <w:t xml:space="preserve">can even be found in </w:t>
      </w:r>
      <w:r w:rsidRPr="00B7386E">
        <w:rPr>
          <w:sz w:val="20"/>
          <w:lang w:val="en-GB"/>
        </w:rPr>
        <w:t xml:space="preserve">first places – along with enterprises from Finland, Belgium, and Austria we </w:t>
      </w:r>
      <w:r w:rsidRPr="00405A8B">
        <w:rPr>
          <w:sz w:val="20"/>
          <w:lang w:val="en-GB"/>
        </w:rPr>
        <w:t>belong to countries</w:t>
      </w:r>
      <w:r w:rsidRPr="00405A8B">
        <w:rPr>
          <w:sz w:val="20"/>
          <w:szCs w:val="20"/>
        </w:rPr>
        <w:t>,</w:t>
      </w:r>
      <w:r w:rsidRPr="00405A8B">
        <w:rPr>
          <w:sz w:val="20"/>
          <w:lang w:val="en-GB"/>
        </w:rPr>
        <w:t xml:space="preserve"> </w:t>
      </w:r>
      <w:r w:rsidRPr="00B7386E">
        <w:rPr>
          <w:sz w:val="20"/>
          <w:lang w:val="en-GB"/>
        </w:rPr>
        <w:t>where three quarters of large entities provide their employees with computer training.</w:t>
      </w:r>
    </w:p>
    <w:p w:rsidR="009B63B1" w:rsidRPr="00B7386E" w:rsidRDefault="009B63B1" w:rsidP="009B63B1">
      <w:pPr>
        <w:pStyle w:val="Zkladntext"/>
        <w:spacing w:before="0" w:after="100" w:line="264" w:lineRule="auto"/>
        <w:rPr>
          <w:sz w:val="20"/>
          <w:lang w:val="en-GB"/>
        </w:rPr>
      </w:pPr>
      <w:r w:rsidRPr="00B7386E">
        <w:rPr>
          <w:noProof/>
        </w:rPr>
        <w:drawing>
          <wp:inline distT="0" distB="0" distL="0" distR="0" wp14:anchorId="530CBAA1" wp14:editId="2A609146">
            <wp:extent cx="5972175" cy="3240000"/>
            <wp:effectExtent l="0" t="0" r="0" b="0"/>
            <wp:docPr id="182" name="Graf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B63B1" w:rsidRPr="00354A2B" w:rsidRDefault="009B63B1" w:rsidP="009B63B1">
      <w:pPr>
        <w:pStyle w:val="Nadpis3"/>
      </w:pPr>
      <w:bookmarkStart w:id="148" w:name="_Toc533697540"/>
      <w:bookmarkStart w:id="149" w:name="_Toc534712039"/>
      <w:r w:rsidRPr="00354A2B">
        <w:t>Enterprises employing ICT specialists</w:t>
      </w:r>
      <w:bookmarkEnd w:id="148"/>
      <w:bookmarkEnd w:id="149"/>
    </w:p>
    <w:p w:rsidR="009B63B1" w:rsidRPr="00D51F31" w:rsidRDefault="009B63B1" w:rsidP="009B63B1">
      <w:pPr>
        <w:spacing w:after="80" w:line="264" w:lineRule="auto"/>
        <w:jc w:val="both"/>
        <w:rPr>
          <w:bCs/>
          <w:i/>
        </w:rPr>
      </w:pPr>
      <w:r w:rsidRPr="00D51F31">
        <w:rPr>
          <w:bCs/>
          <w:i/>
        </w:rPr>
        <w:t xml:space="preserve">The growing digitalisation of </w:t>
      </w:r>
      <w:r w:rsidRPr="00405A8B">
        <w:rPr>
          <w:bCs/>
          <w:i/>
        </w:rPr>
        <w:t>the</w:t>
      </w:r>
      <w:r w:rsidRPr="00D51F31">
        <w:rPr>
          <w:bCs/>
          <w:i/>
          <w:color w:val="FF0000"/>
        </w:rPr>
        <w:t xml:space="preserve"> </w:t>
      </w:r>
      <w:r w:rsidRPr="00D51F31">
        <w:rPr>
          <w:bCs/>
          <w:i/>
        </w:rPr>
        <w:t>economy requires an increasing number of ICT specialists. In the past 10</w:t>
      </w:r>
      <w:r>
        <w:rPr>
          <w:bCs/>
          <w:i/>
        </w:rPr>
        <w:t> </w:t>
      </w:r>
      <w:r w:rsidRPr="00D51F31">
        <w:rPr>
          <w:bCs/>
          <w:i/>
        </w:rPr>
        <w:t xml:space="preserve">years, the percentage of ICT </w:t>
      </w:r>
      <w:r w:rsidRPr="00405A8B">
        <w:rPr>
          <w:bCs/>
          <w:i/>
        </w:rPr>
        <w:t>specialists</w:t>
      </w:r>
      <w:r w:rsidRPr="00405A8B">
        <w:rPr>
          <w:i/>
          <w:szCs w:val="20"/>
        </w:rPr>
        <w:t>,</w:t>
      </w:r>
      <w:r w:rsidRPr="00D51F31">
        <w:rPr>
          <w:bCs/>
          <w:i/>
        </w:rPr>
        <w:t xml:space="preserve"> out of the total number of employees in the Czech Republic</w:t>
      </w:r>
      <w:r w:rsidRPr="00405A8B">
        <w:rPr>
          <w:i/>
          <w:szCs w:val="20"/>
        </w:rPr>
        <w:t>,</w:t>
      </w:r>
      <w:r w:rsidRPr="00405A8B">
        <w:rPr>
          <w:bCs/>
          <w:i/>
        </w:rPr>
        <w:t xml:space="preserve"> </w:t>
      </w:r>
      <w:r w:rsidRPr="00D51F31">
        <w:rPr>
          <w:bCs/>
          <w:i/>
        </w:rPr>
        <w:t xml:space="preserve">has doubled, however, the number is still insufficient. Out of enterprises employing ICT specialists, 29% of them claimed to have had jobs available in </w:t>
      </w:r>
      <w:r w:rsidRPr="00405A8B">
        <w:rPr>
          <w:bCs/>
          <w:i/>
        </w:rPr>
        <w:t>2016</w:t>
      </w:r>
      <w:r w:rsidRPr="00405A8B">
        <w:rPr>
          <w:i/>
          <w:szCs w:val="20"/>
        </w:rPr>
        <w:t>,</w:t>
      </w:r>
      <w:r w:rsidRPr="00405A8B">
        <w:rPr>
          <w:bCs/>
          <w:i/>
        </w:rPr>
        <w:t xml:space="preserve"> for which it has </w:t>
      </w:r>
      <w:r w:rsidRPr="00D51F31">
        <w:rPr>
          <w:bCs/>
          <w:i/>
        </w:rPr>
        <w:t>been hard to find an ICT specialist(</w:t>
      </w:r>
      <w:r w:rsidRPr="00405A8B">
        <w:rPr>
          <w:bCs/>
          <w:i/>
        </w:rPr>
        <w:t>s)</w:t>
      </w:r>
      <w:r w:rsidRPr="00405A8B">
        <w:rPr>
          <w:i/>
          <w:szCs w:val="20"/>
        </w:rPr>
        <w:t>,</w:t>
      </w:r>
      <w:r w:rsidRPr="00405A8B">
        <w:rPr>
          <w:bCs/>
          <w:i/>
        </w:rPr>
        <w:t xml:space="preserve"> </w:t>
      </w:r>
      <w:r w:rsidRPr="00D51F31">
        <w:rPr>
          <w:bCs/>
          <w:i/>
        </w:rPr>
        <w:t xml:space="preserve">with appropriate knowledge and skills. These problems were more frequent </w:t>
      </w:r>
      <w:r w:rsidRPr="00405A8B">
        <w:rPr>
          <w:bCs/>
          <w:i/>
        </w:rPr>
        <w:t xml:space="preserve">within </w:t>
      </w:r>
      <w:r w:rsidRPr="00D51F31">
        <w:rPr>
          <w:bCs/>
          <w:i/>
        </w:rPr>
        <w:t xml:space="preserve">large enterprises, especially the ones from the ICT </w:t>
      </w:r>
      <w:r>
        <w:rPr>
          <w:bCs/>
          <w:i/>
        </w:rPr>
        <w:t>industries</w:t>
      </w:r>
      <w:r w:rsidRPr="00D51F31">
        <w:rPr>
          <w:bCs/>
          <w:i/>
        </w:rPr>
        <w:t>.</w:t>
      </w:r>
    </w:p>
    <w:p w:rsidR="009B63B1" w:rsidRPr="00DE6BD6" w:rsidRDefault="009B63B1" w:rsidP="009B63B1">
      <w:pPr>
        <w:pStyle w:val="Zkladntext"/>
        <w:numPr>
          <w:ilvl w:val="0"/>
          <w:numId w:val="24"/>
        </w:numPr>
        <w:tabs>
          <w:tab w:val="clear" w:pos="360"/>
          <w:tab w:val="num" w:pos="284"/>
        </w:tabs>
        <w:spacing w:before="0" w:after="80" w:line="264" w:lineRule="auto"/>
        <w:ind w:left="284" w:hanging="284"/>
        <w:rPr>
          <w:sz w:val="20"/>
          <w:lang w:val="en-GB"/>
        </w:rPr>
      </w:pPr>
      <w:r w:rsidRPr="00DE6BD6">
        <w:rPr>
          <w:rFonts w:cs="Arial"/>
          <w:sz w:val="20"/>
          <w:lang w:val="en-GB"/>
        </w:rPr>
        <w:t>In January 2017, ICT specialists</w:t>
      </w:r>
      <w:r w:rsidRPr="00DE6BD6">
        <w:rPr>
          <w:sz w:val="20"/>
          <w:szCs w:val="20"/>
          <w:vertAlign w:val="superscript"/>
        </w:rPr>
        <w:footnoteReference w:id="48"/>
      </w:r>
      <w:r w:rsidRPr="00DE6BD6">
        <w:rPr>
          <w:rFonts w:cs="Arial"/>
          <w:sz w:val="20"/>
          <w:lang w:val="en-GB"/>
        </w:rPr>
        <w:t xml:space="preserve"> were employed by a fifth of enterprises. ICT specialists formed 2.8% of all employees in the relevant business sector. It may not come as a surprise that most I</w:t>
      </w:r>
      <w:r>
        <w:rPr>
          <w:rFonts w:cs="Arial"/>
          <w:sz w:val="20"/>
          <w:lang w:val="en-GB"/>
        </w:rPr>
        <w:t>C</w:t>
      </w:r>
      <w:r w:rsidRPr="00DE6BD6">
        <w:rPr>
          <w:rFonts w:cs="Arial"/>
          <w:sz w:val="20"/>
          <w:lang w:val="en-GB"/>
        </w:rPr>
        <w:t>T specialists can be found in the sector CZ NACE J Information and communication activities</w:t>
      </w:r>
      <w:r>
        <w:rPr>
          <w:rFonts w:cs="Arial"/>
          <w:sz w:val="20"/>
          <w:lang w:val="en-GB"/>
        </w:rPr>
        <w:t>.</w:t>
      </w:r>
    </w:p>
    <w:p w:rsidR="009B63B1" w:rsidRPr="0026358E" w:rsidRDefault="00150F8A" w:rsidP="007B46EA">
      <w:pPr>
        <w:pStyle w:val="Zkladntext"/>
        <w:widowControl w:val="0"/>
        <w:numPr>
          <w:ilvl w:val="0"/>
          <w:numId w:val="24"/>
        </w:numPr>
        <w:tabs>
          <w:tab w:val="clear" w:pos="360"/>
          <w:tab w:val="num" w:pos="284"/>
        </w:tabs>
        <w:spacing w:before="0"/>
        <w:ind w:left="284" w:hanging="284"/>
        <w:rPr>
          <w:color w:val="FFFFFF" w:themeColor="background1"/>
          <w:sz w:val="4"/>
          <w:szCs w:val="4"/>
          <w:lang w:val="en-GB"/>
        </w:rPr>
      </w:pPr>
      <w:r w:rsidRPr="00B7386E">
        <w:rPr>
          <w:noProof/>
        </w:rPr>
        <w:lastRenderedPageBreak/>
        <w:drawing>
          <wp:anchor distT="0" distB="0" distL="114300" distR="114300" simplePos="0" relativeHeight="251620864" behindDoc="1" locked="0" layoutInCell="1" allowOverlap="1">
            <wp:simplePos x="0" y="0"/>
            <wp:positionH relativeFrom="column">
              <wp:posOffset>3137535</wp:posOffset>
            </wp:positionH>
            <wp:positionV relativeFrom="paragraph">
              <wp:posOffset>680085</wp:posOffset>
            </wp:positionV>
            <wp:extent cx="2879725" cy="2543175"/>
            <wp:effectExtent l="0" t="0" r="15875" b="0"/>
            <wp:wrapTight wrapText="bothSides">
              <wp:wrapPolygon edited="0">
                <wp:start x="0" y="0"/>
                <wp:lineTo x="0" y="21357"/>
                <wp:lineTo x="21576" y="21357"/>
                <wp:lineTo x="21576" y="0"/>
                <wp:lineTo x="0" y="0"/>
              </wp:wrapPolygon>
            </wp:wrapTight>
            <wp:docPr id="62" name="Graf 62">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r w:rsidRPr="00B7386E">
        <w:rPr>
          <w:noProof/>
        </w:rPr>
        <w:drawing>
          <wp:anchor distT="0" distB="0" distL="114300" distR="114300" simplePos="0" relativeHeight="251613696" behindDoc="1" locked="0" layoutInCell="1" allowOverlap="1">
            <wp:simplePos x="0" y="0"/>
            <wp:positionH relativeFrom="column">
              <wp:posOffset>3175</wp:posOffset>
            </wp:positionH>
            <wp:positionV relativeFrom="paragraph">
              <wp:posOffset>680085</wp:posOffset>
            </wp:positionV>
            <wp:extent cx="2981325" cy="2552700"/>
            <wp:effectExtent l="0" t="0" r="9525" b="0"/>
            <wp:wrapTight wrapText="bothSides">
              <wp:wrapPolygon edited="0">
                <wp:start x="0" y="0"/>
                <wp:lineTo x="0" y="21439"/>
                <wp:lineTo x="21531" y="21439"/>
                <wp:lineTo x="21531" y="0"/>
                <wp:lineTo x="0" y="0"/>
              </wp:wrapPolygon>
            </wp:wrapTight>
            <wp:docPr id="61" name="Graf 6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sidR="009B63B1" w:rsidRPr="0026358E">
        <w:rPr>
          <w:sz w:val="20"/>
          <w:lang w:val="en-GB"/>
        </w:rPr>
        <w:t>In 2016, a tenth</w:t>
      </w:r>
      <w:r w:rsidR="009B63B1" w:rsidRPr="0026358E">
        <w:rPr>
          <w:rFonts w:cs="Arial"/>
          <w:sz w:val="20"/>
          <w:lang w:val="en-GB"/>
        </w:rPr>
        <w:t xml:space="preserve"> of enterprises (11%) offered their ICT specialists the possibility of </w:t>
      </w:r>
      <w:r w:rsidR="009B63B1" w:rsidRPr="0026358E">
        <w:rPr>
          <w:rFonts w:cs="Arial"/>
          <w:b/>
          <w:sz w:val="20"/>
          <w:lang w:val="en-GB"/>
        </w:rPr>
        <w:t>specialised training</w:t>
      </w:r>
      <w:r w:rsidR="009B63B1" w:rsidRPr="0026358E">
        <w:rPr>
          <w:rFonts w:cs="Arial"/>
          <w:sz w:val="20"/>
          <w:lang w:val="en-GB"/>
        </w:rPr>
        <w:t>. Should we solely consider enterprises employing ICT specialists, specialised training was provided to over a half of them</w:t>
      </w:r>
      <w:r w:rsidR="009B63B1" w:rsidRPr="0026358E">
        <w:rPr>
          <w:rFonts w:cs="Arial"/>
          <w:color w:val="FF0000"/>
          <w:sz w:val="20"/>
          <w:lang w:val="en-GB"/>
        </w:rPr>
        <w:t xml:space="preserve"> </w:t>
      </w:r>
      <w:r w:rsidR="009B63B1" w:rsidRPr="0026358E">
        <w:rPr>
          <w:rFonts w:cs="Arial"/>
          <w:sz w:val="20"/>
          <w:lang w:val="en-GB"/>
        </w:rPr>
        <w:t>(53%), particularly by large enterprises (74%); with respect to sectors, they</w:t>
      </w:r>
      <w:r w:rsidR="009B63B1" w:rsidRPr="0026358E">
        <w:rPr>
          <w:rFonts w:cs="Arial"/>
          <w:color w:val="FF0000"/>
          <w:sz w:val="20"/>
          <w:lang w:val="en-GB"/>
        </w:rPr>
        <w:t xml:space="preserve"> </w:t>
      </w:r>
      <w:r w:rsidR="009B63B1" w:rsidRPr="0026358E">
        <w:rPr>
          <w:rFonts w:cs="Arial"/>
          <w:sz w:val="20"/>
          <w:lang w:val="en-GB"/>
        </w:rPr>
        <w:t>were mainly enterprises involved in telecommunica</w:t>
      </w:r>
      <w:bookmarkStart w:id="150" w:name="_Toc527107346"/>
      <w:r w:rsidR="00E14600">
        <w:rPr>
          <w:rFonts w:cs="Arial"/>
          <w:sz w:val="20"/>
          <w:lang w:val="en-GB"/>
        </w:rPr>
        <w:t>tions and IT-related activities.</w:t>
      </w:r>
      <w:r w:rsidR="009B63B1" w:rsidRPr="0026358E">
        <w:rPr>
          <w:color w:val="FFFFFF" w:themeColor="background1"/>
          <w:sz w:val="4"/>
          <w:szCs w:val="4"/>
          <w:lang w:val="en-GB"/>
        </w:rPr>
        <w:t xml:space="preserve"> D</w:t>
      </w:r>
      <w:r w:rsidR="009B63B1" w:rsidRPr="0026358E">
        <w:rPr>
          <w:color w:val="FFFFFF" w:themeColor="background1"/>
          <w:sz w:val="4"/>
          <w:szCs w:val="4"/>
          <w:lang w:val="en-GB"/>
        </w:rPr>
        <w:fldChar w:fldCharType="begin"/>
      </w:r>
      <w:r w:rsidR="009B63B1" w:rsidRPr="0026358E">
        <w:rPr>
          <w:color w:val="FFFFFF" w:themeColor="background1"/>
          <w:sz w:val="4"/>
          <w:szCs w:val="4"/>
          <w:lang w:val="en-GB"/>
        </w:rPr>
        <w:instrText xml:space="preserve"> SEQ Figure_D \* ARABIC </w:instrText>
      </w:r>
      <w:r w:rsidR="009B63B1" w:rsidRPr="0026358E">
        <w:rPr>
          <w:color w:val="FFFFFF" w:themeColor="background1"/>
          <w:sz w:val="4"/>
          <w:szCs w:val="4"/>
          <w:lang w:val="en-GB"/>
        </w:rPr>
        <w:fldChar w:fldCharType="separate"/>
      </w:r>
      <w:r w:rsidR="00EE7DB4">
        <w:rPr>
          <w:noProof/>
          <w:color w:val="FFFFFF" w:themeColor="background1"/>
          <w:sz w:val="4"/>
          <w:szCs w:val="4"/>
          <w:lang w:val="en-GB"/>
        </w:rPr>
        <w:t>2</w:t>
      </w:r>
      <w:r w:rsidR="009B63B1" w:rsidRPr="0026358E">
        <w:rPr>
          <w:color w:val="FFFFFF" w:themeColor="background1"/>
          <w:sz w:val="4"/>
          <w:szCs w:val="4"/>
          <w:lang w:val="en-GB"/>
        </w:rPr>
        <w:fldChar w:fldCharType="end"/>
      </w:r>
      <w:r w:rsidR="009B63B1" w:rsidRPr="0026358E">
        <w:rPr>
          <w:color w:val="FFFFFF" w:themeColor="background1"/>
          <w:sz w:val="4"/>
          <w:szCs w:val="4"/>
          <w:lang w:val="en-GB"/>
        </w:rPr>
        <w:t xml:space="preserve"> ICT specialists in all enterprises in the Czech</w:t>
      </w:r>
      <w:bookmarkStart w:id="151" w:name="_Toc527107347"/>
      <w:bookmarkEnd w:id="150"/>
      <w:r w:rsidR="009B63B1" w:rsidRPr="0026358E">
        <w:rPr>
          <w:color w:val="FFFFFF" w:themeColor="background1"/>
          <w:sz w:val="4"/>
          <w:szCs w:val="4"/>
          <w:lang w:val="en-GB"/>
        </w:rPr>
        <w:fldChar w:fldCharType="begin"/>
      </w:r>
      <w:r w:rsidR="009B63B1" w:rsidRPr="0026358E">
        <w:rPr>
          <w:color w:val="FFFFFF" w:themeColor="background1"/>
          <w:sz w:val="4"/>
          <w:szCs w:val="4"/>
          <w:lang w:val="en-GB"/>
        </w:rPr>
        <w:instrText xml:space="preserve"> SEQ Figure_D \* ARABIC </w:instrText>
      </w:r>
      <w:r w:rsidR="009B63B1" w:rsidRPr="0026358E">
        <w:rPr>
          <w:color w:val="FFFFFF" w:themeColor="background1"/>
          <w:sz w:val="4"/>
          <w:szCs w:val="4"/>
          <w:lang w:val="en-GB"/>
        </w:rPr>
        <w:fldChar w:fldCharType="separate"/>
      </w:r>
      <w:r w:rsidR="00EE7DB4">
        <w:rPr>
          <w:noProof/>
          <w:color w:val="FFFFFF" w:themeColor="background1"/>
          <w:sz w:val="4"/>
          <w:szCs w:val="4"/>
          <w:lang w:val="en-GB"/>
        </w:rPr>
        <w:t>3</w:t>
      </w:r>
      <w:r w:rsidR="009B63B1" w:rsidRPr="0026358E">
        <w:rPr>
          <w:color w:val="FFFFFF" w:themeColor="background1"/>
          <w:sz w:val="4"/>
          <w:szCs w:val="4"/>
          <w:lang w:val="en-GB"/>
        </w:rPr>
        <w:fldChar w:fldCharType="end"/>
      </w:r>
      <w:r w:rsidR="009B63B1" w:rsidRPr="0026358E">
        <w:rPr>
          <w:color w:val="FFFFFF" w:themeColor="background1"/>
          <w:sz w:val="4"/>
          <w:szCs w:val="4"/>
          <w:lang w:val="en-GB"/>
        </w:rPr>
        <w:t xml:space="preserve"> ICT specialists in enterprises with ICT specialists in the Czech Republic</w:t>
      </w:r>
      <w:bookmarkEnd w:id="151"/>
    </w:p>
    <w:p w:rsidR="009B63B1" w:rsidRPr="00B7386E" w:rsidRDefault="009B63B1" w:rsidP="009B63B1">
      <w:pPr>
        <w:widowControl w:val="0"/>
        <w:spacing w:after="0" w:line="264" w:lineRule="auto"/>
        <w:ind w:left="4950" w:hanging="4950"/>
        <w:jc w:val="both"/>
        <w:rPr>
          <w:rFonts w:cs="Arial"/>
          <w:color w:val="000000"/>
          <w:sz w:val="16"/>
          <w:szCs w:val="16"/>
        </w:rPr>
      </w:pPr>
      <w:r w:rsidRPr="00B7386E">
        <w:rPr>
          <w:rFonts w:cs="Arial"/>
          <w:color w:val="000000"/>
          <w:sz w:val="16"/>
          <w:szCs w:val="16"/>
        </w:rPr>
        <w:t xml:space="preserve">* as percentage </w:t>
      </w:r>
      <w:r w:rsidRPr="00B7386E">
        <w:rPr>
          <w:rFonts w:cs="Arial"/>
          <w:color w:val="000000"/>
          <w:sz w:val="16"/>
          <w:szCs w:val="16"/>
          <w:u w:val="single"/>
        </w:rPr>
        <w:t xml:space="preserve">of all employees </w:t>
      </w:r>
      <w:r w:rsidRPr="00B7386E">
        <w:rPr>
          <w:rFonts w:cs="Arial"/>
          <w:color w:val="000000"/>
          <w:sz w:val="16"/>
          <w:szCs w:val="16"/>
        </w:rPr>
        <w:t>in all in a given size class</w:t>
      </w:r>
      <w:r w:rsidRPr="00B7386E">
        <w:rPr>
          <w:rFonts w:cs="Arial"/>
          <w:color w:val="000000"/>
          <w:sz w:val="16"/>
          <w:szCs w:val="16"/>
        </w:rPr>
        <w:tab/>
      </w:r>
      <w:r w:rsidRPr="00B7386E">
        <w:rPr>
          <w:rFonts w:cs="Arial"/>
          <w:color w:val="000000"/>
          <w:sz w:val="16"/>
          <w:szCs w:val="16"/>
        </w:rPr>
        <w:tab/>
        <w:t xml:space="preserve">* as percentage of all employees </w:t>
      </w:r>
      <w:r w:rsidRPr="00B7386E">
        <w:rPr>
          <w:rFonts w:cs="Arial"/>
          <w:color w:val="000000"/>
          <w:sz w:val="16"/>
          <w:szCs w:val="16"/>
          <w:u w:val="single"/>
        </w:rPr>
        <w:t xml:space="preserve">in enterprises with ICT </w:t>
      </w:r>
      <w:r>
        <w:rPr>
          <w:rFonts w:cs="Arial"/>
          <w:color w:val="000000"/>
          <w:sz w:val="16"/>
          <w:szCs w:val="16"/>
          <w:u w:val="single"/>
        </w:rPr>
        <w:t xml:space="preserve">        </w:t>
      </w:r>
      <w:r w:rsidRPr="00B7386E">
        <w:rPr>
          <w:rFonts w:cs="Arial"/>
          <w:color w:val="000000"/>
          <w:sz w:val="16"/>
          <w:szCs w:val="16"/>
          <w:u w:val="single"/>
        </w:rPr>
        <w:t>specialists</w:t>
      </w:r>
      <w:r w:rsidRPr="00B7386E">
        <w:rPr>
          <w:rFonts w:cs="Arial"/>
          <w:color w:val="000000"/>
          <w:sz w:val="16"/>
          <w:szCs w:val="16"/>
        </w:rPr>
        <w:t xml:space="preserve"> in a given size class</w:t>
      </w:r>
    </w:p>
    <w:p w:rsidR="009B63B1" w:rsidRPr="00B7386E" w:rsidRDefault="009B63B1" w:rsidP="009B63B1">
      <w:pPr>
        <w:widowControl w:val="0"/>
        <w:spacing w:line="240" w:lineRule="auto"/>
        <w:jc w:val="both"/>
        <w:rPr>
          <w:rFonts w:cs="Arial"/>
          <w:color w:val="000000"/>
          <w:sz w:val="16"/>
          <w:szCs w:val="16"/>
        </w:rPr>
      </w:pPr>
    </w:p>
    <w:p w:rsidR="009B63B1" w:rsidRPr="00B7386E" w:rsidRDefault="009B63B1" w:rsidP="009B63B1">
      <w:pPr>
        <w:numPr>
          <w:ilvl w:val="0"/>
          <w:numId w:val="24"/>
        </w:numPr>
        <w:tabs>
          <w:tab w:val="clear" w:pos="360"/>
        </w:tabs>
        <w:autoSpaceDE w:val="0"/>
        <w:autoSpaceDN w:val="0"/>
        <w:adjustRightInd w:val="0"/>
        <w:spacing w:after="80" w:line="264" w:lineRule="auto"/>
        <w:ind w:left="284" w:hanging="284"/>
        <w:jc w:val="both"/>
        <w:rPr>
          <w:rFonts w:cs="Arial"/>
          <w:b/>
        </w:rPr>
      </w:pPr>
      <w:r w:rsidRPr="00B7386E">
        <w:t xml:space="preserve">In 2016, </w:t>
      </w:r>
      <w:r w:rsidRPr="00B7386E">
        <w:rPr>
          <w:b/>
        </w:rPr>
        <w:t xml:space="preserve">new ICT specialists </w:t>
      </w:r>
      <w:r w:rsidRPr="00B7386E">
        <w:t>were</w:t>
      </w:r>
      <w:r w:rsidRPr="00B7386E">
        <w:rPr>
          <w:b/>
        </w:rPr>
        <w:t xml:space="preserve"> </w:t>
      </w:r>
      <w:r w:rsidRPr="00B7386E">
        <w:t>recruited by 7% of</w:t>
      </w:r>
      <w:r w:rsidRPr="00B7386E">
        <w:rPr>
          <w:b/>
        </w:rPr>
        <w:t xml:space="preserve"> </w:t>
      </w:r>
      <w:r w:rsidRPr="00B7386E">
        <w:t xml:space="preserve">enterprises with 10+ employees. These were mainly enterprises involved in the ICT sector (66%). The lowest number of newly recruited ICT specialists was found </w:t>
      </w:r>
      <w:r w:rsidRPr="00405A8B">
        <w:t>within</w:t>
      </w:r>
      <w:r w:rsidRPr="00D51F31">
        <w:rPr>
          <w:color w:val="FF0000"/>
        </w:rPr>
        <w:t xml:space="preserve"> </w:t>
      </w:r>
      <w:r w:rsidRPr="00B7386E">
        <w:t xml:space="preserve">enterprises in </w:t>
      </w:r>
      <w:r w:rsidRPr="00405A8B">
        <w:t xml:space="preserve">the </w:t>
      </w:r>
      <w:r w:rsidRPr="00B7386E">
        <w:t>food and beverage services (1%). With respect to enterprises already employing ICT specialists, new ICT specialists were recruited by a third of them; the least frequently by construction companies.</w:t>
      </w:r>
    </w:p>
    <w:p w:rsidR="009B63B1" w:rsidRPr="00B7386E" w:rsidRDefault="009B63B1" w:rsidP="009B63B1">
      <w:pPr>
        <w:numPr>
          <w:ilvl w:val="0"/>
          <w:numId w:val="24"/>
        </w:numPr>
        <w:tabs>
          <w:tab w:val="clear" w:pos="360"/>
        </w:tabs>
        <w:autoSpaceDE w:val="0"/>
        <w:autoSpaceDN w:val="0"/>
        <w:adjustRightInd w:val="0"/>
        <w:spacing w:after="80" w:line="264" w:lineRule="auto"/>
        <w:ind w:left="284" w:hanging="284"/>
        <w:jc w:val="both"/>
        <w:rPr>
          <w:rFonts w:cs="Arial"/>
        </w:rPr>
      </w:pPr>
      <w:r w:rsidRPr="00B7386E">
        <w:t xml:space="preserve">In 2016, finding ICT specialists with an appropriate qualification was difficult for 6% of enterprises (or 29% of enterprises already employing ICT specialists). Difficulties with finding suitable ICT specialists are more frequently claimed by large enterprises with 250+ employees (28%, or 35% of large enterprises already employing ICT specialists). With respect to sectors, this issue was more frequently raised by entities involved in IT or telecommunication services. </w:t>
      </w:r>
    </w:p>
    <w:p w:rsidR="009B63B1" w:rsidRPr="00B7386E" w:rsidRDefault="009B63B1" w:rsidP="009B63B1">
      <w:pPr>
        <w:numPr>
          <w:ilvl w:val="0"/>
          <w:numId w:val="24"/>
        </w:numPr>
        <w:tabs>
          <w:tab w:val="clear" w:pos="360"/>
        </w:tabs>
        <w:autoSpaceDE w:val="0"/>
        <w:autoSpaceDN w:val="0"/>
        <w:adjustRightInd w:val="0"/>
        <w:spacing w:after="80" w:line="264" w:lineRule="auto"/>
        <w:ind w:left="284" w:hanging="284"/>
        <w:jc w:val="both"/>
        <w:rPr>
          <w:rFonts w:cs="Arial"/>
        </w:rPr>
      </w:pPr>
      <w:r w:rsidRPr="00B7386E">
        <w:t>In 2016, less than 5% of enterprises recruited new ICT specialists</w:t>
      </w:r>
      <w:r w:rsidRPr="00405A8B">
        <w:rPr>
          <w:szCs w:val="20"/>
        </w:rPr>
        <w:t>,</w:t>
      </w:r>
      <w:r w:rsidRPr="00405A8B">
        <w:t xml:space="preserve"> and claimed to have had other available jobs</w:t>
      </w:r>
      <w:r w:rsidRPr="00405A8B">
        <w:rPr>
          <w:szCs w:val="20"/>
        </w:rPr>
        <w:t>,</w:t>
      </w:r>
      <w:r w:rsidRPr="00405A8B">
        <w:t xml:space="preserve"> for which it was difficult to find suitable employees</w:t>
      </w:r>
      <w:r w:rsidRPr="00405A8B">
        <w:rPr>
          <w:szCs w:val="20"/>
        </w:rPr>
        <w:t>,</w:t>
      </w:r>
      <w:r w:rsidRPr="00405A8B">
        <w:t xml:space="preserve"> with </w:t>
      </w:r>
      <w:r w:rsidRPr="00B7386E">
        <w:t xml:space="preserve">the relevant skills. </w:t>
      </w:r>
    </w:p>
    <w:p w:rsidR="009B63B1" w:rsidRDefault="009B63B1" w:rsidP="009B63B1">
      <w:pPr>
        <w:autoSpaceDE w:val="0"/>
        <w:autoSpaceDN w:val="0"/>
        <w:adjustRightInd w:val="0"/>
        <w:spacing w:after="120"/>
        <w:jc w:val="both"/>
      </w:pPr>
      <w:r w:rsidRPr="00B7386E">
        <w:rPr>
          <w:noProof/>
          <w:lang w:val="cs-CZ"/>
        </w:rPr>
        <w:drawing>
          <wp:inline distT="0" distB="0" distL="0" distR="0" wp14:anchorId="5F40CE98" wp14:editId="544286A4">
            <wp:extent cx="3096000" cy="2700000"/>
            <wp:effectExtent l="0" t="0" r="9525" b="5715"/>
            <wp:docPr id="183" name="Graf 183">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B7386E">
        <w:rPr>
          <w:noProof/>
        </w:rPr>
        <w:t xml:space="preserve"> </w:t>
      </w:r>
      <w:r w:rsidRPr="00B7386E">
        <w:rPr>
          <w:noProof/>
          <w:lang w:val="cs-CZ"/>
        </w:rPr>
        <w:drawing>
          <wp:inline distT="0" distB="0" distL="0" distR="0" wp14:anchorId="17343139" wp14:editId="485123E9">
            <wp:extent cx="2916000" cy="2700000"/>
            <wp:effectExtent l="0" t="0" r="0" b="5715"/>
            <wp:docPr id="184" name="Graf 184">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26358E" w:rsidRDefault="009B63B1" w:rsidP="009B63B1">
      <w:pPr>
        <w:spacing w:after="120" w:line="240" w:lineRule="auto"/>
        <w:jc w:val="center"/>
        <w:rPr>
          <w:rFonts w:cs="Arial"/>
          <w:color w:val="000000"/>
          <w:sz w:val="16"/>
          <w:szCs w:val="16"/>
        </w:rPr>
      </w:pPr>
      <w:r w:rsidRPr="00B7386E">
        <w:rPr>
          <w:rFonts w:cs="Arial"/>
          <w:color w:val="000000"/>
          <w:sz w:val="16"/>
          <w:szCs w:val="16"/>
        </w:rPr>
        <w:t xml:space="preserve">* as percentage </w:t>
      </w:r>
      <w:r w:rsidRPr="00B7386E">
        <w:rPr>
          <w:rFonts w:cs="Arial"/>
          <w:color w:val="000000"/>
          <w:sz w:val="16"/>
          <w:szCs w:val="16"/>
          <w:u w:val="single"/>
        </w:rPr>
        <w:t>of all enterprises with 10+ employees employing ICT specialists</w:t>
      </w:r>
      <w:r w:rsidRPr="009769CA">
        <w:rPr>
          <w:rFonts w:cs="Arial"/>
          <w:color w:val="000000"/>
          <w:sz w:val="16"/>
          <w:szCs w:val="16"/>
        </w:rPr>
        <w:t xml:space="preserve"> </w:t>
      </w:r>
      <w:r w:rsidRPr="00B7386E">
        <w:rPr>
          <w:rFonts w:cs="Arial"/>
          <w:color w:val="000000"/>
          <w:sz w:val="16"/>
          <w:szCs w:val="16"/>
        </w:rPr>
        <w:t>in a given size class</w:t>
      </w:r>
    </w:p>
    <w:p w:rsidR="0026358E" w:rsidRDefault="0026358E">
      <w:pPr>
        <w:spacing w:after="0" w:line="240" w:lineRule="auto"/>
        <w:rPr>
          <w:rFonts w:cs="Arial"/>
          <w:color w:val="000000"/>
          <w:sz w:val="16"/>
          <w:szCs w:val="16"/>
        </w:rPr>
      </w:pPr>
      <w:r>
        <w:rPr>
          <w:rFonts w:cs="Arial"/>
          <w:color w:val="000000"/>
          <w:sz w:val="16"/>
          <w:szCs w:val="16"/>
        </w:rPr>
        <w:br w:type="page"/>
      </w:r>
    </w:p>
    <w:p w:rsidR="0026358E" w:rsidRPr="002937D1" w:rsidRDefault="0026358E" w:rsidP="0026358E">
      <w:pPr>
        <w:pStyle w:val="Nadpis1"/>
      </w:pPr>
      <w:bookmarkStart w:id="152" w:name="_Toc533697541"/>
      <w:bookmarkStart w:id="153" w:name="_Toc534712040"/>
      <w:bookmarkStart w:id="154" w:name="_Toc528845484"/>
      <w:r w:rsidRPr="002937D1">
        <w:lastRenderedPageBreak/>
        <w:t xml:space="preserve">Chapter E </w:t>
      </w:r>
      <w:r>
        <w:t>Government and ICT</w:t>
      </w:r>
      <w:bookmarkEnd w:id="152"/>
      <w:bookmarkEnd w:id="153"/>
    </w:p>
    <w:p w:rsidR="0026358E" w:rsidRPr="0022594D" w:rsidRDefault="0026358E" w:rsidP="0026358E">
      <w:pPr>
        <w:pStyle w:val="Zkladntext"/>
        <w:spacing w:before="0" w:after="80" w:line="264" w:lineRule="auto"/>
        <w:rPr>
          <w:i/>
          <w:sz w:val="20"/>
          <w:lang w:val="en-GB"/>
        </w:rPr>
      </w:pPr>
      <w:r w:rsidRPr="004A0594">
        <w:rPr>
          <w:i/>
          <w:sz w:val="20"/>
          <w:lang w:val="en-GB"/>
        </w:rPr>
        <w:t xml:space="preserve">The Czech Republic has been familiar with </w:t>
      </w:r>
      <w:r w:rsidRPr="0022594D">
        <w:rPr>
          <w:i/>
          <w:sz w:val="20"/>
          <w:lang w:val="en-GB"/>
        </w:rPr>
        <w:t xml:space="preserve">eGovernment since the beginning of the 90s of the last millennium, however, only when the internet started to be seen as the technology of the future, after the year 1999, </w:t>
      </w:r>
      <w:r w:rsidRPr="004A0594">
        <w:rPr>
          <w:i/>
          <w:sz w:val="20"/>
          <w:lang w:val="en-GB"/>
        </w:rPr>
        <w:t xml:space="preserve">has </w:t>
      </w:r>
      <w:r w:rsidRPr="0022594D">
        <w:rPr>
          <w:i/>
          <w:sz w:val="20"/>
          <w:lang w:val="en-GB"/>
        </w:rPr>
        <w:t xml:space="preserve">this technology started </w:t>
      </w:r>
      <w:r w:rsidRPr="004A0594">
        <w:rPr>
          <w:i/>
          <w:sz w:val="20"/>
          <w:lang w:val="en-GB"/>
        </w:rPr>
        <w:t xml:space="preserve">to be </w:t>
      </w:r>
      <w:r w:rsidRPr="0022594D">
        <w:rPr>
          <w:i/>
          <w:sz w:val="20"/>
          <w:lang w:val="en-GB"/>
        </w:rPr>
        <w:t xml:space="preserve">used with respect to public </w:t>
      </w:r>
      <w:r w:rsidRPr="004A0594">
        <w:rPr>
          <w:i/>
          <w:sz w:val="20"/>
          <w:lang w:val="en-GB"/>
        </w:rPr>
        <w:t>authorities</w:t>
      </w:r>
      <w:r w:rsidRPr="004A0594">
        <w:rPr>
          <w:i/>
          <w:sz w:val="20"/>
          <w:szCs w:val="20"/>
        </w:rPr>
        <w:t>,</w:t>
      </w:r>
      <w:r w:rsidRPr="004A0594">
        <w:rPr>
          <w:i/>
          <w:sz w:val="20"/>
          <w:lang w:val="en-GB"/>
        </w:rPr>
        <w:t xml:space="preserve"> </w:t>
      </w:r>
      <w:r w:rsidRPr="0022594D">
        <w:rPr>
          <w:i/>
          <w:sz w:val="20"/>
          <w:lang w:val="en-GB"/>
        </w:rPr>
        <w:t xml:space="preserve">and other institutions of public administration. </w:t>
      </w:r>
      <w:r w:rsidRPr="004A0594">
        <w:rPr>
          <w:i/>
          <w:sz w:val="20"/>
          <w:lang w:val="en-GB"/>
        </w:rPr>
        <w:t>The Ministry of Informatics</w:t>
      </w:r>
      <w:r w:rsidRPr="004A0594">
        <w:rPr>
          <w:rStyle w:val="Znakapoznpodarou"/>
          <w:i/>
          <w:sz w:val="20"/>
          <w:lang w:val="en-GB"/>
        </w:rPr>
        <w:footnoteReference w:id="49"/>
      </w:r>
      <w:r w:rsidRPr="004A0594">
        <w:rPr>
          <w:i/>
          <w:sz w:val="20"/>
          <w:lang w:val="en-GB"/>
        </w:rPr>
        <w:t xml:space="preserve"> was founded in 2003</w:t>
      </w:r>
      <w:r w:rsidRPr="004A0594">
        <w:rPr>
          <w:i/>
          <w:sz w:val="20"/>
          <w:szCs w:val="20"/>
        </w:rPr>
        <w:t xml:space="preserve">, </w:t>
      </w:r>
      <w:r w:rsidRPr="004A0594">
        <w:rPr>
          <w:i/>
          <w:sz w:val="20"/>
          <w:lang w:val="en-GB"/>
        </w:rPr>
        <w:t xml:space="preserve">and three years later the National </w:t>
      </w:r>
      <w:r w:rsidRPr="0022594D">
        <w:rPr>
          <w:i/>
          <w:sz w:val="20"/>
          <w:lang w:val="en-GB"/>
        </w:rPr>
        <w:t xml:space="preserve">Politics on Information and Communication: e-Česko 2006. In the same year, a network of contact points of public administration, Czech POINT, was </w:t>
      </w:r>
      <w:r w:rsidRPr="004A0594">
        <w:rPr>
          <w:i/>
          <w:sz w:val="20"/>
          <w:lang w:val="en-GB"/>
        </w:rPr>
        <w:t>established</w:t>
      </w:r>
      <w:r w:rsidRPr="004A0594">
        <w:rPr>
          <w:i/>
          <w:sz w:val="20"/>
          <w:szCs w:val="20"/>
        </w:rPr>
        <w:t>,</w:t>
      </w:r>
      <w:r w:rsidRPr="0022594D">
        <w:rPr>
          <w:i/>
          <w:sz w:val="20"/>
          <w:lang w:val="en-GB"/>
        </w:rPr>
        <w:t xml:space="preserve"> providing the greatest development of eGovernment in the Czech Republic</w:t>
      </w:r>
      <w:r w:rsidRPr="0022594D">
        <w:rPr>
          <w:i/>
          <w:color w:val="FF0000"/>
          <w:sz w:val="20"/>
          <w:lang w:val="en-GB"/>
        </w:rPr>
        <w:t xml:space="preserve"> </w:t>
      </w:r>
      <w:r w:rsidRPr="004A0594">
        <w:rPr>
          <w:i/>
          <w:sz w:val="20"/>
          <w:lang w:val="en-GB"/>
        </w:rPr>
        <w:t>yet</w:t>
      </w:r>
      <w:r>
        <w:rPr>
          <w:i/>
          <w:color w:val="FF0000"/>
          <w:sz w:val="20"/>
          <w:lang w:val="en-GB"/>
        </w:rPr>
        <w:t xml:space="preserve"> </w:t>
      </w:r>
      <w:r w:rsidRPr="0022594D">
        <w:rPr>
          <w:i/>
          <w:sz w:val="20"/>
          <w:lang w:val="en-GB"/>
        </w:rPr>
        <w:t>– at least with respect to its citizens.</w:t>
      </w:r>
    </w:p>
    <w:p w:rsidR="0026358E" w:rsidRPr="0022594D" w:rsidRDefault="0026358E" w:rsidP="0026358E">
      <w:pPr>
        <w:pStyle w:val="Zkladntext"/>
        <w:spacing w:before="0" w:after="80" w:line="264" w:lineRule="auto"/>
        <w:rPr>
          <w:i/>
          <w:sz w:val="20"/>
          <w:lang w:val="en-GB"/>
        </w:rPr>
      </w:pPr>
      <w:r w:rsidRPr="0022594D">
        <w:rPr>
          <w:i/>
          <w:sz w:val="20"/>
          <w:lang w:val="en-GB"/>
        </w:rPr>
        <w:t>In 2008, the Act No. 300/</w:t>
      </w:r>
      <w:r w:rsidRPr="004A0594">
        <w:rPr>
          <w:i/>
          <w:sz w:val="20"/>
          <w:lang w:val="en-GB"/>
        </w:rPr>
        <w:t>2008</w:t>
      </w:r>
      <w:r w:rsidRPr="004A0594">
        <w:rPr>
          <w:i/>
          <w:sz w:val="20"/>
          <w:szCs w:val="20"/>
        </w:rPr>
        <w:t>,</w:t>
      </w:r>
      <w:r w:rsidRPr="004A0594">
        <w:rPr>
          <w:i/>
          <w:sz w:val="20"/>
          <w:lang w:val="en-GB"/>
        </w:rPr>
        <w:t xml:space="preserve"> on electronic acts and the authorised conversion of documents</w:t>
      </w:r>
      <w:r w:rsidRPr="004A0594">
        <w:rPr>
          <w:i/>
          <w:sz w:val="20"/>
          <w:szCs w:val="20"/>
        </w:rPr>
        <w:t>,</w:t>
      </w:r>
      <w:r w:rsidRPr="004A0594">
        <w:rPr>
          <w:i/>
          <w:sz w:val="20"/>
          <w:lang w:val="en-GB"/>
        </w:rPr>
        <w:t xml:space="preserve"> was passed. Sometimes also </w:t>
      </w:r>
      <w:r w:rsidRPr="0022594D">
        <w:rPr>
          <w:i/>
          <w:sz w:val="20"/>
          <w:lang w:val="en-GB"/>
        </w:rPr>
        <w:t xml:space="preserve">called “the Act on eGovernment”, the purpose of which was to create optimal conditions for electronic interaction between public authorities and </w:t>
      </w:r>
      <w:r w:rsidRPr="004A0594">
        <w:rPr>
          <w:i/>
          <w:sz w:val="20"/>
          <w:lang w:val="en-GB"/>
        </w:rPr>
        <w:t xml:space="preserve">citizens, as well as between the </w:t>
      </w:r>
      <w:r w:rsidRPr="0022594D">
        <w:rPr>
          <w:i/>
          <w:sz w:val="20"/>
          <w:lang w:val="en-GB"/>
        </w:rPr>
        <w:t xml:space="preserve">public authorities themselves. In July </w:t>
      </w:r>
      <w:r w:rsidRPr="004A0594">
        <w:rPr>
          <w:i/>
          <w:sz w:val="20"/>
          <w:lang w:val="en-GB"/>
        </w:rPr>
        <w:t>2009</w:t>
      </w:r>
      <w:r w:rsidRPr="004A0594">
        <w:rPr>
          <w:i/>
          <w:sz w:val="20"/>
          <w:szCs w:val="20"/>
        </w:rPr>
        <w:t>,</w:t>
      </w:r>
      <w:r w:rsidRPr="004A0594">
        <w:rPr>
          <w:i/>
          <w:sz w:val="20"/>
          <w:lang w:val="en-GB"/>
        </w:rPr>
        <w:t xml:space="preserve"> the </w:t>
      </w:r>
      <w:r w:rsidRPr="0022594D">
        <w:rPr>
          <w:i/>
          <w:sz w:val="20"/>
          <w:lang w:val="en-GB"/>
        </w:rPr>
        <w:t xml:space="preserve">system of data boxes was launched, facilitating the communication with public administration, as well as the system of basic registers, enabling </w:t>
      </w:r>
      <w:r w:rsidRPr="004A0594">
        <w:rPr>
          <w:i/>
          <w:sz w:val="20"/>
          <w:lang w:val="en-GB"/>
        </w:rPr>
        <w:t>thus</w:t>
      </w:r>
      <w:r w:rsidRPr="0022594D">
        <w:rPr>
          <w:i/>
          <w:sz w:val="20"/>
          <w:lang w:val="en-GB"/>
        </w:rPr>
        <w:t xml:space="preserve"> the interconnectivity of basic data on Czech citizens between individual public administration authorities.</w:t>
      </w:r>
    </w:p>
    <w:p w:rsidR="0026358E" w:rsidRPr="0022594D" w:rsidRDefault="0026358E" w:rsidP="0026358E">
      <w:pPr>
        <w:pStyle w:val="Zkladntext"/>
        <w:spacing w:before="0" w:after="80" w:line="264" w:lineRule="auto"/>
        <w:rPr>
          <w:i/>
          <w:sz w:val="20"/>
          <w:lang w:val="en-GB"/>
        </w:rPr>
      </w:pPr>
      <w:r w:rsidRPr="0022594D">
        <w:rPr>
          <w:i/>
          <w:sz w:val="20"/>
          <w:lang w:val="en-GB"/>
        </w:rPr>
        <w:t xml:space="preserve">As opposed to households, medical facilities or schools, for instance, in 2008, i.e. ten years ago, all organisations of public </w:t>
      </w:r>
      <w:r w:rsidRPr="004A0594">
        <w:rPr>
          <w:i/>
          <w:sz w:val="20"/>
          <w:lang w:val="en-GB"/>
        </w:rPr>
        <w:t>administration</w:t>
      </w:r>
      <w:r w:rsidRPr="004A0594">
        <w:rPr>
          <w:i/>
          <w:sz w:val="20"/>
          <w:szCs w:val="20"/>
        </w:rPr>
        <w:t>,</w:t>
      </w:r>
      <w:r w:rsidRPr="004A0594">
        <w:rPr>
          <w:i/>
          <w:sz w:val="20"/>
          <w:lang w:val="en-GB"/>
        </w:rPr>
        <w:t xml:space="preserve"> including </w:t>
      </w:r>
      <w:r w:rsidRPr="0022594D">
        <w:rPr>
          <w:i/>
          <w:sz w:val="20"/>
          <w:lang w:val="en-GB"/>
        </w:rPr>
        <w:t xml:space="preserve">individual municipal </w:t>
      </w:r>
      <w:r w:rsidRPr="004A0594">
        <w:rPr>
          <w:i/>
          <w:sz w:val="20"/>
          <w:lang w:val="en-GB"/>
        </w:rPr>
        <w:t>authorities</w:t>
      </w:r>
      <w:r w:rsidRPr="004A0594">
        <w:rPr>
          <w:i/>
          <w:sz w:val="20"/>
          <w:szCs w:val="20"/>
        </w:rPr>
        <w:t>,</w:t>
      </w:r>
      <w:r w:rsidRPr="0022594D">
        <w:rPr>
          <w:i/>
          <w:sz w:val="20"/>
          <w:lang w:val="en-GB"/>
        </w:rPr>
        <w:t xml:space="preserve"> had access to the internet</w:t>
      </w:r>
      <w:r w:rsidRPr="00290C38">
        <w:rPr>
          <w:i/>
          <w:sz w:val="20"/>
          <w:szCs w:val="20"/>
        </w:rPr>
        <w:t>,</w:t>
      </w:r>
      <w:r w:rsidRPr="0022594D">
        <w:rPr>
          <w:i/>
          <w:sz w:val="20"/>
          <w:lang w:val="en-GB"/>
        </w:rPr>
        <w:t xml:space="preserve"> and 90% of them even had their own website. In 2010, there were nearly 100% of </w:t>
      </w:r>
      <w:r w:rsidRPr="004A0594">
        <w:rPr>
          <w:i/>
          <w:sz w:val="20"/>
          <w:lang w:val="en-GB"/>
        </w:rPr>
        <w:t xml:space="preserve">them. The </w:t>
      </w:r>
      <w:r w:rsidRPr="0022594D">
        <w:rPr>
          <w:i/>
          <w:sz w:val="20"/>
          <w:lang w:val="en-GB"/>
        </w:rPr>
        <w:t>websites of these organisations are also frequently visited by citizens. For instance, in 2010, already a fifth of citizens claimed to have sought necessary information on the websites of public authorities. Apart from simple website viewing, there is a possibility to find and download official forms from the websites of many public authorities. In 2017, 15% of individuals stated to have downloaded a form from the public authority website</w:t>
      </w:r>
      <w:r w:rsidRPr="004A0594">
        <w:rPr>
          <w:i/>
          <w:sz w:val="20"/>
          <w:szCs w:val="20"/>
        </w:rPr>
        <w:t>,</w:t>
      </w:r>
      <w:r w:rsidRPr="0022594D">
        <w:rPr>
          <w:i/>
          <w:sz w:val="20"/>
          <w:lang w:val="en-GB"/>
        </w:rPr>
        <w:t xml:space="preserve"> upon the completion of which they delivered the form to the relevant authority in person, by mail or email. Apart from information and forms to download, only a small part of these organisations – a tenth in 2008 </w:t>
      </w:r>
      <w:r>
        <w:rPr>
          <w:i/>
          <w:sz w:val="20"/>
          <w:lang w:val="en-GB"/>
        </w:rPr>
        <w:br/>
      </w:r>
      <w:r w:rsidRPr="0022594D">
        <w:rPr>
          <w:i/>
          <w:sz w:val="20"/>
          <w:lang w:val="en-GB"/>
        </w:rPr>
        <w:t>– enabled the complete electronic submission on their websites</w:t>
      </w:r>
      <w:r w:rsidRPr="0022594D">
        <w:rPr>
          <w:rStyle w:val="Znakapoznpodarou"/>
          <w:i/>
          <w:sz w:val="20"/>
          <w:lang w:val="en-GB"/>
        </w:rPr>
        <w:footnoteReference w:id="50"/>
      </w:r>
      <w:r>
        <w:rPr>
          <w:i/>
          <w:sz w:val="20"/>
          <w:lang w:val="en-GB"/>
        </w:rPr>
        <w:t>.</w:t>
      </w:r>
      <w:r w:rsidRPr="0022594D">
        <w:rPr>
          <w:i/>
          <w:sz w:val="20"/>
          <w:lang w:val="en-GB"/>
        </w:rPr>
        <w:t xml:space="preserve"> </w:t>
      </w:r>
    </w:p>
    <w:p w:rsidR="0026358E" w:rsidRPr="00D03A5A" w:rsidRDefault="0026358E" w:rsidP="0026358E">
      <w:pPr>
        <w:pStyle w:val="Zkladntext"/>
        <w:spacing w:before="0" w:after="80" w:line="264" w:lineRule="auto"/>
        <w:rPr>
          <w:i/>
          <w:sz w:val="20"/>
          <w:lang w:val="en-GB"/>
        </w:rPr>
      </w:pPr>
      <w:r w:rsidRPr="004A0594">
        <w:rPr>
          <w:i/>
          <w:sz w:val="20"/>
          <w:lang w:val="en-GB"/>
        </w:rPr>
        <w:t xml:space="preserve">Same as </w:t>
      </w:r>
      <w:r w:rsidRPr="00D03A5A">
        <w:rPr>
          <w:i/>
          <w:sz w:val="20"/>
          <w:lang w:val="en-GB"/>
        </w:rPr>
        <w:t>in 2008, currently most personal situations, which citizens solve through public authorities, require the personal visit to the given office</w:t>
      </w:r>
      <w:r w:rsidRPr="00D03A5A">
        <w:rPr>
          <w:rStyle w:val="Znakapoznpodarou"/>
          <w:i/>
          <w:sz w:val="20"/>
          <w:lang w:val="en-GB"/>
        </w:rPr>
        <w:footnoteReference w:id="51"/>
      </w:r>
      <w:r w:rsidRPr="00D03A5A">
        <w:rPr>
          <w:i/>
          <w:sz w:val="20"/>
          <w:lang w:val="en-GB"/>
        </w:rPr>
        <w:t>, which originates due to legislative reasons in particular. These are situations, such as the issuance of a passport, a driving licence or a national ID card, reporting a change of address, obtaining a copy of registry documents, and requesting social and other allowances.</w:t>
      </w:r>
    </w:p>
    <w:p w:rsidR="0026358E" w:rsidRDefault="0026358E" w:rsidP="0026358E">
      <w:pPr>
        <w:pStyle w:val="Zkladntext"/>
        <w:spacing w:before="0" w:after="80" w:line="264" w:lineRule="auto"/>
        <w:rPr>
          <w:i/>
          <w:sz w:val="20"/>
          <w:lang w:val="en-GB"/>
        </w:rPr>
      </w:pPr>
      <w:r w:rsidRPr="0022594D">
        <w:rPr>
          <w:i/>
          <w:sz w:val="20"/>
          <w:lang w:val="en-GB"/>
        </w:rPr>
        <w:t xml:space="preserve">Therefore, with respect to providing services of eGovernment, the Czech Republic still has a long way to go. The development of digital services, however, is important with respect to better convenience for the user </w:t>
      </w:r>
      <w:r>
        <w:rPr>
          <w:i/>
          <w:sz w:val="20"/>
          <w:lang w:val="en-GB"/>
        </w:rPr>
        <w:br/>
      </w:r>
      <w:r w:rsidRPr="0022594D">
        <w:rPr>
          <w:i/>
          <w:sz w:val="20"/>
          <w:lang w:val="en-GB"/>
        </w:rPr>
        <w:t>– citizen, company, civil servant – as well as with respect to the cost effectiveness of public means. The present low development level of electronic services</w:t>
      </w:r>
      <w:r w:rsidRPr="004A0594">
        <w:rPr>
          <w:i/>
          <w:sz w:val="20"/>
          <w:szCs w:val="20"/>
        </w:rPr>
        <w:t>,</w:t>
      </w:r>
      <w:r w:rsidRPr="0022594D">
        <w:rPr>
          <w:i/>
          <w:sz w:val="20"/>
          <w:lang w:val="en-GB"/>
        </w:rPr>
        <w:t xml:space="preserve"> provided to Czech </w:t>
      </w:r>
      <w:r w:rsidRPr="004A0594">
        <w:rPr>
          <w:i/>
          <w:sz w:val="20"/>
          <w:lang w:val="en-GB"/>
        </w:rPr>
        <w:t>citizens</w:t>
      </w:r>
      <w:r w:rsidRPr="004A0594">
        <w:rPr>
          <w:i/>
          <w:sz w:val="20"/>
          <w:szCs w:val="20"/>
        </w:rPr>
        <w:t>,</w:t>
      </w:r>
      <w:r w:rsidRPr="004A0594">
        <w:rPr>
          <w:i/>
          <w:sz w:val="20"/>
          <w:lang w:val="en-GB"/>
        </w:rPr>
        <w:t xml:space="preserve"> is confirmed</w:t>
      </w:r>
      <w:r w:rsidRPr="004A0594">
        <w:rPr>
          <w:i/>
          <w:sz w:val="20"/>
          <w:szCs w:val="20"/>
        </w:rPr>
        <w:t>,</w:t>
      </w:r>
      <w:r w:rsidRPr="004A0594">
        <w:rPr>
          <w:i/>
          <w:sz w:val="20"/>
          <w:lang w:val="en-GB"/>
        </w:rPr>
        <w:t xml:space="preserve"> </w:t>
      </w:r>
      <w:r w:rsidRPr="0022594D">
        <w:rPr>
          <w:i/>
          <w:sz w:val="20"/>
          <w:lang w:val="en-GB"/>
        </w:rPr>
        <w:t xml:space="preserve">not only by European and global surveys, but also by the data of the CZSO. Data surveying the use of online </w:t>
      </w:r>
      <w:r w:rsidRPr="004A0594">
        <w:rPr>
          <w:i/>
          <w:sz w:val="20"/>
          <w:lang w:val="en-GB"/>
        </w:rPr>
        <w:t>services</w:t>
      </w:r>
      <w:r w:rsidRPr="004A0594">
        <w:rPr>
          <w:i/>
          <w:sz w:val="20"/>
          <w:szCs w:val="20"/>
        </w:rPr>
        <w:t>,</w:t>
      </w:r>
      <w:r w:rsidRPr="0022594D">
        <w:rPr>
          <w:i/>
          <w:sz w:val="20"/>
          <w:lang w:val="en-GB"/>
        </w:rPr>
        <w:t xml:space="preserve"> provided by public </w:t>
      </w:r>
      <w:r w:rsidRPr="004A0594">
        <w:rPr>
          <w:i/>
          <w:sz w:val="20"/>
          <w:lang w:val="en-GB"/>
        </w:rPr>
        <w:t>administration</w:t>
      </w:r>
      <w:r w:rsidRPr="004A0594">
        <w:rPr>
          <w:i/>
          <w:sz w:val="20"/>
          <w:szCs w:val="20"/>
        </w:rPr>
        <w:t>,</w:t>
      </w:r>
      <w:r w:rsidRPr="0022594D">
        <w:rPr>
          <w:i/>
          <w:sz w:val="20"/>
          <w:lang w:val="en-GB"/>
        </w:rPr>
        <w:t xml:space="preserve"> should currently be one of the key pillars of evaluation of Czech eGovernment level, therefore, the computerizing of public administration. </w:t>
      </w:r>
    </w:p>
    <w:p w:rsidR="0026358E" w:rsidRPr="0022594D" w:rsidRDefault="0026358E" w:rsidP="0026358E">
      <w:pPr>
        <w:pStyle w:val="Zkladntext"/>
        <w:spacing w:before="0" w:after="80" w:line="264" w:lineRule="auto"/>
        <w:rPr>
          <w:i/>
          <w:sz w:val="20"/>
          <w:lang w:val="en-GB"/>
        </w:rPr>
      </w:pPr>
      <w:r w:rsidRPr="00A80B9D">
        <w:rPr>
          <w:i/>
          <w:sz w:val="20"/>
          <w:lang w:val="en-GB"/>
        </w:rPr>
        <w:t>ICTs are already widely used by government bodies, as it happens in enterprises, but e</w:t>
      </w:r>
      <w:r>
        <w:rPr>
          <w:i/>
          <w:sz w:val="20"/>
          <w:lang w:val="en-GB"/>
        </w:rPr>
        <w:t>G</w:t>
      </w:r>
      <w:r w:rsidRPr="00A80B9D">
        <w:rPr>
          <w:i/>
          <w:sz w:val="20"/>
          <w:lang w:val="en-GB"/>
        </w:rPr>
        <w:t>overnment in-volves much more than just the tools. It also involves rethinking organisations and processes, and changing behaviour so that public services are delivered more efficiently to people and businesses. Implemented well, e</w:t>
      </w:r>
      <w:r>
        <w:rPr>
          <w:i/>
          <w:sz w:val="20"/>
          <w:lang w:val="en-GB"/>
        </w:rPr>
        <w:t>G</w:t>
      </w:r>
      <w:r w:rsidRPr="00A80B9D">
        <w:rPr>
          <w:i/>
          <w:sz w:val="20"/>
          <w:lang w:val="en-GB"/>
        </w:rPr>
        <w:t>overnment enables citizens, enterprises and organisations to carry out their business with government easier, quicker and at lower cost.</w:t>
      </w:r>
    </w:p>
    <w:p w:rsidR="0026358E" w:rsidRDefault="0026358E" w:rsidP="0026358E">
      <w:pPr>
        <w:spacing w:after="0" w:line="240" w:lineRule="auto"/>
        <w:rPr>
          <w:rFonts w:eastAsia="MS Gothic"/>
          <w:b/>
          <w:bCs/>
          <w:color w:val="009BB4"/>
          <w:sz w:val="28"/>
          <w:szCs w:val="26"/>
        </w:rPr>
      </w:pPr>
      <w:r>
        <w:br w:type="page"/>
      </w:r>
    </w:p>
    <w:p w:rsidR="0026358E" w:rsidRPr="002937D1" w:rsidRDefault="0026358E" w:rsidP="002875D6">
      <w:pPr>
        <w:pStyle w:val="Nadpis2"/>
        <w:spacing w:before="0"/>
      </w:pPr>
      <w:bookmarkStart w:id="155" w:name="_Toc533697542"/>
      <w:bookmarkStart w:id="156" w:name="_Toc534712041"/>
      <w:r w:rsidRPr="002937D1">
        <w:lastRenderedPageBreak/>
        <w:t xml:space="preserve">E.1 </w:t>
      </w:r>
      <w:r>
        <w:t xml:space="preserve">Use of </w:t>
      </w:r>
      <w:r w:rsidRPr="002937D1">
        <w:t>Czech POINT</w:t>
      </w:r>
      <w:r>
        <w:t xml:space="preserve"> for Government Services</w:t>
      </w:r>
      <w:bookmarkEnd w:id="155"/>
      <w:bookmarkEnd w:id="156"/>
      <w:r w:rsidRPr="002937D1">
        <w:t xml:space="preserve"> </w:t>
      </w:r>
    </w:p>
    <w:p w:rsidR="0026358E" w:rsidRPr="0026358E" w:rsidRDefault="0026358E" w:rsidP="0026358E">
      <w:pPr>
        <w:pStyle w:val="Zkladntext"/>
        <w:spacing w:before="0" w:after="80" w:line="264" w:lineRule="auto"/>
        <w:rPr>
          <w:i/>
          <w:sz w:val="20"/>
          <w:lang w:val="en-GB"/>
        </w:rPr>
      </w:pPr>
      <w:r w:rsidRPr="00D03A5A">
        <w:rPr>
          <w:i/>
          <w:sz w:val="20"/>
          <w:lang w:val="en-GB"/>
        </w:rPr>
        <w:t>Czech POINT</w:t>
      </w:r>
      <w:r w:rsidRPr="00D03A5A">
        <w:rPr>
          <w:rStyle w:val="Znakapoznpodarou"/>
          <w:i/>
          <w:sz w:val="20"/>
          <w:lang w:val="en-GB"/>
        </w:rPr>
        <w:footnoteReference w:id="52"/>
      </w:r>
      <w:r w:rsidRPr="00D03A5A">
        <w:rPr>
          <w:i/>
          <w:sz w:val="20"/>
          <w:lang w:val="en-GB"/>
        </w:rPr>
        <w:t xml:space="preserve"> is a project whose </w:t>
      </w:r>
      <w:r w:rsidRPr="00332D9D">
        <w:rPr>
          <w:i/>
          <w:sz w:val="20"/>
          <w:lang w:val="en-GB"/>
        </w:rPr>
        <w:t xml:space="preserve">aim </w:t>
      </w:r>
      <w:r w:rsidRPr="00D03A5A">
        <w:rPr>
          <w:i/>
          <w:sz w:val="20"/>
          <w:lang w:val="en-GB"/>
        </w:rPr>
        <w:t>is to reduce excessive bureaucracy with respect to citizens – public administration. The specific task of Czech POINT is to serve as an assisted place for the performance of public administration. By means of this universal place, enabling the interaction of citizens with the state, citizens may obtain all data held in evidence of themselves in public registers, as well as copies of and extracts from such data. It is also a place (municipal authority, post office, etc</w:t>
      </w:r>
      <w:r w:rsidRPr="00332D9D">
        <w:rPr>
          <w:i/>
          <w:sz w:val="20"/>
          <w:lang w:val="en-GB"/>
        </w:rPr>
        <w:t>.)</w:t>
      </w:r>
      <w:r w:rsidRPr="00332D9D">
        <w:rPr>
          <w:sz w:val="20"/>
          <w:szCs w:val="20"/>
        </w:rPr>
        <w:t>,</w:t>
      </w:r>
      <w:r w:rsidRPr="00332D9D">
        <w:rPr>
          <w:i/>
          <w:sz w:val="20"/>
          <w:lang w:val="en-GB"/>
        </w:rPr>
        <w:t xml:space="preserve"> where one may verify </w:t>
      </w:r>
      <w:r w:rsidRPr="00D03A5A">
        <w:rPr>
          <w:i/>
          <w:sz w:val="20"/>
          <w:lang w:val="en-GB"/>
        </w:rPr>
        <w:t>his or her documents, signatures or electronic document versions.</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As of </w:t>
      </w:r>
      <w:r w:rsidRPr="00332D9D">
        <w:rPr>
          <w:sz w:val="20"/>
          <w:lang w:val="en-GB"/>
        </w:rPr>
        <w:t>the 31</w:t>
      </w:r>
      <w:r w:rsidRPr="00332D9D">
        <w:rPr>
          <w:sz w:val="20"/>
          <w:vertAlign w:val="superscript"/>
          <w:lang w:val="en-GB"/>
        </w:rPr>
        <w:t>st</w:t>
      </w:r>
      <w:r w:rsidRPr="00332D9D">
        <w:rPr>
          <w:sz w:val="20"/>
          <w:lang w:val="en-GB"/>
        </w:rPr>
        <w:t xml:space="preserve"> of </w:t>
      </w:r>
      <w:r w:rsidRPr="00D03A5A">
        <w:rPr>
          <w:sz w:val="20"/>
          <w:lang w:val="en-GB"/>
        </w:rPr>
        <w:t xml:space="preserve">December 2017, there were 7,536 </w:t>
      </w:r>
      <w:r w:rsidRPr="00D03A5A">
        <w:rPr>
          <w:b/>
          <w:sz w:val="20"/>
          <w:lang w:val="en-GB"/>
        </w:rPr>
        <w:t>contact points</w:t>
      </w:r>
      <w:r w:rsidRPr="00D03A5A">
        <w:rPr>
          <w:sz w:val="20"/>
          <w:lang w:val="en-GB"/>
        </w:rPr>
        <w:t xml:space="preserve"> involved in the Czech POINT system in the Czech Republic, out of which 5,937 (79%) were available for citizens</w:t>
      </w:r>
      <w:r w:rsidRPr="00D03A5A">
        <w:rPr>
          <w:b/>
          <w:sz w:val="20"/>
          <w:lang w:val="en-GB"/>
        </w:rPr>
        <w:t xml:space="preserve"> </w:t>
      </w:r>
      <w:r w:rsidRPr="00D03A5A">
        <w:rPr>
          <w:sz w:val="20"/>
          <w:lang w:val="en-GB"/>
        </w:rPr>
        <w:t>at the municipal</w:t>
      </w:r>
      <w:r w:rsidRPr="00D03A5A">
        <w:rPr>
          <w:b/>
          <w:sz w:val="20"/>
          <w:lang w:val="en-GB"/>
        </w:rPr>
        <w:t xml:space="preserve"> </w:t>
      </w:r>
      <w:r w:rsidRPr="00332D9D">
        <w:rPr>
          <w:sz w:val="20"/>
          <w:lang w:val="en-GB"/>
        </w:rPr>
        <w:t>authorities</w:t>
      </w:r>
      <w:r w:rsidRPr="00332D9D">
        <w:rPr>
          <w:sz w:val="20"/>
          <w:szCs w:val="20"/>
        </w:rPr>
        <w:t>,</w:t>
      </w:r>
      <w:r w:rsidRPr="00332D9D">
        <w:rPr>
          <w:sz w:val="20"/>
          <w:lang w:val="en-GB"/>
        </w:rPr>
        <w:t xml:space="preserve"> </w:t>
      </w:r>
      <w:r w:rsidRPr="00D03A5A">
        <w:rPr>
          <w:sz w:val="20"/>
          <w:lang w:val="en-GB"/>
        </w:rPr>
        <w:t xml:space="preserve">and 984 (13%) at post offices. </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By means of </w:t>
      </w:r>
      <w:r w:rsidRPr="00D03A5A">
        <w:rPr>
          <w:b/>
          <w:sz w:val="20"/>
          <w:lang w:val="en-GB"/>
        </w:rPr>
        <w:t>Czech POINT</w:t>
      </w:r>
      <w:r w:rsidRPr="00332D9D">
        <w:rPr>
          <w:sz w:val="20"/>
          <w:szCs w:val="20"/>
        </w:rPr>
        <w:t>,</w:t>
      </w:r>
      <w:r w:rsidRPr="00332D9D">
        <w:rPr>
          <w:b/>
          <w:sz w:val="20"/>
          <w:lang w:val="en-GB"/>
        </w:rPr>
        <w:t xml:space="preserve"> </w:t>
      </w:r>
      <w:r w:rsidRPr="00332D9D">
        <w:rPr>
          <w:sz w:val="20"/>
          <w:lang w:val="en-GB"/>
        </w:rPr>
        <w:t>a</w:t>
      </w:r>
      <w:r w:rsidRPr="00D03A5A">
        <w:rPr>
          <w:sz w:val="20"/>
          <w:lang w:val="en-GB"/>
        </w:rPr>
        <w:t xml:space="preserve">t the aforementioned contact points, Czech citizens were provided with over 2 million (2,124 thousand) </w:t>
      </w:r>
      <w:r w:rsidRPr="00D03A5A">
        <w:rPr>
          <w:b/>
          <w:sz w:val="20"/>
          <w:lang w:val="en-GB"/>
        </w:rPr>
        <w:t>outputs</w:t>
      </w:r>
      <w:r w:rsidRPr="00D03A5A">
        <w:rPr>
          <w:sz w:val="20"/>
          <w:lang w:val="en-GB"/>
        </w:rPr>
        <w:t xml:space="preserve"> in 2017.</w:t>
      </w:r>
      <w:r w:rsidRPr="00D03A5A">
        <w:rPr>
          <w:b/>
          <w:sz w:val="20"/>
          <w:lang w:val="en-GB"/>
        </w:rPr>
        <w:t xml:space="preserve"> </w:t>
      </w:r>
      <w:r w:rsidRPr="00D03A5A">
        <w:rPr>
          <w:sz w:val="20"/>
          <w:lang w:val="en-GB"/>
        </w:rPr>
        <w:t xml:space="preserve">This total number of outputs has not changed significantly in the past five years; the number is still around 2.1 million per year. </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These mainly included</w:t>
      </w:r>
      <w:r w:rsidRPr="00D03A5A">
        <w:rPr>
          <w:b/>
          <w:sz w:val="20"/>
          <w:lang w:val="en-GB"/>
        </w:rPr>
        <w:t xml:space="preserve"> copies of an entry</w:t>
      </w:r>
      <w:r w:rsidRPr="00D03A5A">
        <w:rPr>
          <w:sz w:val="20"/>
          <w:lang w:val="en-GB"/>
        </w:rPr>
        <w:t xml:space="preserve">, creating three quarters (1,522 thousand) </w:t>
      </w:r>
      <w:r w:rsidRPr="00536896">
        <w:rPr>
          <w:color w:val="000000" w:themeColor="text1"/>
          <w:sz w:val="20"/>
          <w:lang w:val="en-GB"/>
        </w:rPr>
        <w:t xml:space="preserve">of </w:t>
      </w:r>
      <w:r w:rsidRPr="00D03A5A">
        <w:rPr>
          <w:sz w:val="20"/>
          <w:lang w:val="en-GB"/>
        </w:rPr>
        <w:t xml:space="preserve">all Czech POINT outputs in 2017. In 2017, less than a quarter (473 thousand) of outputs involved </w:t>
      </w:r>
      <w:r w:rsidRPr="00D03A5A">
        <w:rPr>
          <w:b/>
          <w:sz w:val="20"/>
          <w:lang w:val="en-GB"/>
        </w:rPr>
        <w:t>conversion of documents</w:t>
      </w:r>
      <w:r w:rsidRPr="00D03A5A">
        <w:rPr>
          <w:sz w:val="20"/>
          <w:lang w:val="en-GB"/>
        </w:rPr>
        <w:t xml:space="preserve">, particularly from electronic form to paper form. The other outputs mainly involved </w:t>
      </w:r>
      <w:r w:rsidRPr="00D03A5A">
        <w:rPr>
          <w:b/>
          <w:sz w:val="20"/>
          <w:lang w:val="en-GB"/>
        </w:rPr>
        <w:t>requests on the registration of Data Box</w:t>
      </w:r>
      <w:r w:rsidRPr="00D03A5A">
        <w:rPr>
          <w:sz w:val="20"/>
          <w:lang w:val="en-GB"/>
        </w:rPr>
        <w:t>, as there were over 43 thousand in 2017.</w:t>
      </w:r>
    </w:p>
    <w:p w:rsidR="0026358E" w:rsidRPr="0026358E"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With respect to the individual </w:t>
      </w:r>
      <w:r w:rsidRPr="00D03A5A">
        <w:rPr>
          <w:b/>
          <w:sz w:val="20"/>
          <w:lang w:val="en-GB"/>
        </w:rPr>
        <w:t>types of copies of an entry</w:t>
      </w:r>
      <w:r w:rsidRPr="00D03A5A">
        <w:rPr>
          <w:sz w:val="20"/>
          <w:lang w:val="en-GB"/>
        </w:rPr>
        <w:t xml:space="preserve"> issued by means of Czech POINT, even in </w:t>
      </w:r>
      <w:r w:rsidRPr="00332D9D">
        <w:rPr>
          <w:sz w:val="20"/>
          <w:lang w:val="en-GB"/>
        </w:rPr>
        <w:t>2017</w:t>
      </w:r>
      <w:r w:rsidRPr="00332D9D">
        <w:rPr>
          <w:sz w:val="20"/>
          <w:szCs w:val="20"/>
        </w:rPr>
        <w:t>,</w:t>
      </w:r>
      <w:r w:rsidRPr="00332D9D">
        <w:rPr>
          <w:sz w:val="20"/>
          <w:lang w:val="en-GB"/>
        </w:rPr>
        <w:t xml:space="preserve"> these </w:t>
      </w:r>
      <w:r w:rsidRPr="00D03A5A">
        <w:rPr>
          <w:sz w:val="20"/>
          <w:lang w:val="en-GB"/>
        </w:rPr>
        <w:t xml:space="preserve">were most frequently the copies of an entry in the </w:t>
      </w:r>
      <w:r w:rsidRPr="00D03A5A">
        <w:rPr>
          <w:b/>
          <w:sz w:val="20"/>
          <w:lang w:val="en-GB"/>
        </w:rPr>
        <w:t>Criminal Records</w:t>
      </w:r>
      <w:r w:rsidRPr="00D03A5A">
        <w:rPr>
          <w:sz w:val="20"/>
          <w:lang w:val="en-GB"/>
        </w:rPr>
        <w:t xml:space="preserve"> (902 thousand), in the </w:t>
      </w:r>
      <w:r w:rsidRPr="00D03A5A">
        <w:rPr>
          <w:b/>
          <w:sz w:val="20"/>
          <w:lang w:val="en-GB"/>
        </w:rPr>
        <w:t>Land Registry</w:t>
      </w:r>
      <w:r w:rsidRPr="00D03A5A">
        <w:rPr>
          <w:sz w:val="20"/>
          <w:lang w:val="en-GB"/>
        </w:rPr>
        <w:t xml:space="preserve"> (282 thousand), and in the </w:t>
      </w:r>
      <w:r w:rsidRPr="00D03A5A">
        <w:rPr>
          <w:b/>
          <w:sz w:val="20"/>
          <w:lang w:val="en-GB"/>
        </w:rPr>
        <w:t>Commercial Register</w:t>
      </w:r>
      <w:r w:rsidRPr="00D03A5A">
        <w:rPr>
          <w:sz w:val="20"/>
          <w:lang w:val="en-GB"/>
        </w:rPr>
        <w:t xml:space="preserve"> (180 thousand). With respect to the copies of an entry in the Land </w:t>
      </w:r>
      <w:r w:rsidRPr="00332D9D">
        <w:rPr>
          <w:sz w:val="20"/>
          <w:lang w:val="en-GB"/>
        </w:rPr>
        <w:t>Registry</w:t>
      </w:r>
      <w:r w:rsidRPr="00332D9D">
        <w:rPr>
          <w:sz w:val="20"/>
          <w:szCs w:val="20"/>
        </w:rPr>
        <w:t>,</w:t>
      </w:r>
      <w:r w:rsidRPr="00332D9D">
        <w:rPr>
          <w:sz w:val="20"/>
          <w:lang w:val="en-GB"/>
        </w:rPr>
        <w:t xml:space="preserve"> </w:t>
      </w:r>
      <w:r w:rsidRPr="00D03A5A">
        <w:rPr>
          <w:sz w:val="20"/>
          <w:lang w:val="en-GB"/>
        </w:rPr>
        <w:t>as well as in the Commercial Register, over the recent years</w:t>
      </w:r>
      <w:r w:rsidRPr="00332D9D">
        <w:rPr>
          <w:sz w:val="20"/>
          <w:szCs w:val="20"/>
        </w:rPr>
        <w:t>,</w:t>
      </w:r>
      <w:r w:rsidRPr="00332D9D">
        <w:rPr>
          <w:sz w:val="20"/>
          <w:lang w:val="en-GB"/>
        </w:rPr>
        <w:t xml:space="preserve"> w</w:t>
      </w:r>
      <w:r w:rsidRPr="00D03A5A">
        <w:rPr>
          <w:sz w:val="20"/>
          <w:lang w:val="en-GB"/>
        </w:rPr>
        <w:t>e observe a decrease in the number of their required issuance. For instance, in 2010 there were more than half as many (nearly 450 thousand) copies of an entry in the Land Registry issued</w:t>
      </w:r>
      <w:r w:rsidRPr="00332D9D">
        <w:rPr>
          <w:sz w:val="20"/>
          <w:szCs w:val="20"/>
        </w:rPr>
        <w:t>,</w:t>
      </w:r>
      <w:r w:rsidRPr="00332D9D">
        <w:rPr>
          <w:sz w:val="20"/>
          <w:lang w:val="en-GB"/>
        </w:rPr>
        <w:t xml:space="preserve"> </w:t>
      </w:r>
      <w:r w:rsidRPr="00D03A5A">
        <w:rPr>
          <w:sz w:val="20"/>
          <w:lang w:val="en-GB"/>
        </w:rPr>
        <w:t>at the contact points of Czech POINT</w:t>
      </w:r>
      <w:r w:rsidRPr="00332D9D">
        <w:rPr>
          <w:sz w:val="20"/>
          <w:szCs w:val="20"/>
        </w:rPr>
        <w:t>,</w:t>
      </w:r>
      <w:r w:rsidRPr="00D03A5A">
        <w:rPr>
          <w:sz w:val="20"/>
          <w:lang w:val="en-GB"/>
        </w:rPr>
        <w:t xml:space="preserve"> than in </w:t>
      </w:r>
      <w:r w:rsidRPr="00332D9D">
        <w:rPr>
          <w:sz w:val="20"/>
          <w:lang w:val="en-GB"/>
        </w:rPr>
        <w:t>2017;</w:t>
      </w:r>
      <w:r w:rsidRPr="00D03A5A">
        <w:rPr>
          <w:sz w:val="20"/>
          <w:lang w:val="en-GB"/>
        </w:rPr>
        <w:t xml:space="preserve"> with respect to the copies of an entry in the Commercial Register</w:t>
      </w:r>
      <w:r w:rsidRPr="00332D9D">
        <w:rPr>
          <w:sz w:val="20"/>
          <w:szCs w:val="20"/>
        </w:rPr>
        <w:t>,</w:t>
      </w:r>
      <w:r w:rsidRPr="00D03A5A">
        <w:rPr>
          <w:sz w:val="20"/>
          <w:lang w:val="en-GB"/>
        </w:rPr>
        <w:t xml:space="preserve"> there were even 80% more at the same period of time.</w:t>
      </w:r>
    </w:p>
    <w:p w:rsidR="0026358E" w:rsidRDefault="0026358E" w:rsidP="0026358E">
      <w:pPr>
        <w:pStyle w:val="Zkladntext"/>
        <w:spacing w:before="0" w:line="264" w:lineRule="auto"/>
        <w:rPr>
          <w:noProof/>
          <w:lang w:val="en-GB"/>
        </w:rPr>
      </w:pPr>
      <w:r w:rsidRPr="00D03A5A">
        <w:rPr>
          <w:noProof/>
        </w:rPr>
        <w:drawing>
          <wp:inline distT="0" distB="0" distL="0" distR="0" wp14:anchorId="4F3017D5" wp14:editId="030F30B5">
            <wp:extent cx="3024000" cy="2880000"/>
            <wp:effectExtent l="0" t="0" r="5080" b="15875"/>
            <wp:docPr id="190" name="Graf 190">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D03A5A">
        <w:rPr>
          <w:noProof/>
          <w:lang w:val="en-GB"/>
        </w:rPr>
        <w:t xml:space="preserve"> </w:t>
      </w:r>
      <w:r w:rsidRPr="00D03A5A">
        <w:rPr>
          <w:noProof/>
        </w:rPr>
        <w:drawing>
          <wp:inline distT="0" distB="0" distL="0" distR="0" wp14:anchorId="78CC3990" wp14:editId="4DC930CA">
            <wp:extent cx="3024000" cy="2880000"/>
            <wp:effectExtent l="0" t="0" r="5080" b="0"/>
            <wp:docPr id="191" name="Graf 191">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26358E" w:rsidRDefault="0026358E" w:rsidP="0026358E">
      <w:pPr>
        <w:pStyle w:val="Zkladntext"/>
        <w:spacing w:before="0" w:line="264" w:lineRule="auto"/>
      </w:pP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Whereas the total number of issued outputs to the citizens</w:t>
      </w:r>
      <w:r w:rsidRPr="00332D9D">
        <w:rPr>
          <w:sz w:val="20"/>
          <w:szCs w:val="20"/>
        </w:rPr>
        <w:t>,</w:t>
      </w:r>
      <w:r w:rsidRPr="00332D9D">
        <w:rPr>
          <w:sz w:val="20"/>
          <w:lang w:val="en-GB"/>
        </w:rPr>
        <w:t xml:space="preserve"> by means of contact points of the Czech POINT</w:t>
      </w:r>
      <w:r w:rsidRPr="00332D9D">
        <w:rPr>
          <w:sz w:val="20"/>
          <w:szCs w:val="20"/>
        </w:rPr>
        <w:t>,</w:t>
      </w:r>
      <w:r w:rsidRPr="00332D9D">
        <w:rPr>
          <w:sz w:val="20"/>
          <w:lang w:val="en-GB"/>
        </w:rPr>
        <w:t xml:space="preserve"> has not changed over the past years, the number of </w:t>
      </w:r>
      <w:r w:rsidRPr="00D03A5A">
        <w:rPr>
          <w:sz w:val="20"/>
          <w:lang w:val="en-GB"/>
        </w:rPr>
        <w:t xml:space="preserve">authorised conversions of documents, in particular </w:t>
      </w:r>
      <w:r w:rsidRPr="00D03A5A">
        <w:rPr>
          <w:b/>
          <w:sz w:val="20"/>
          <w:lang w:val="en-GB"/>
        </w:rPr>
        <w:t>from paper form to the electronic one</w:t>
      </w:r>
      <w:r w:rsidRPr="00332D9D">
        <w:rPr>
          <w:sz w:val="20"/>
          <w:szCs w:val="20"/>
        </w:rPr>
        <w:t>,</w:t>
      </w:r>
      <w:r w:rsidRPr="00332D9D">
        <w:rPr>
          <w:sz w:val="20"/>
          <w:lang w:val="en-GB"/>
        </w:rPr>
        <w:t xml:space="preserve"> has </w:t>
      </w:r>
      <w:r w:rsidRPr="00D03A5A">
        <w:rPr>
          <w:sz w:val="20"/>
          <w:lang w:val="en-GB"/>
        </w:rPr>
        <w:t>been increasing year by year. In 2017, nearly 200</w:t>
      </w:r>
      <w:r>
        <w:rPr>
          <w:sz w:val="20"/>
          <w:lang w:val="en-GB"/>
        </w:rPr>
        <w:t> </w:t>
      </w:r>
      <w:r w:rsidRPr="00D03A5A">
        <w:rPr>
          <w:sz w:val="20"/>
          <w:lang w:val="en-GB"/>
        </w:rPr>
        <w:t xml:space="preserve">thousand paper documents were converted for the </w:t>
      </w:r>
      <w:r w:rsidRPr="00332D9D">
        <w:rPr>
          <w:sz w:val="20"/>
          <w:lang w:val="en-GB"/>
        </w:rPr>
        <w:t>citizens</w:t>
      </w:r>
      <w:r w:rsidRPr="00332D9D">
        <w:rPr>
          <w:sz w:val="20"/>
          <w:szCs w:val="20"/>
        </w:rPr>
        <w:t>,</w:t>
      </w:r>
      <w:r w:rsidRPr="00332D9D">
        <w:rPr>
          <w:sz w:val="20"/>
          <w:lang w:val="en-GB"/>
        </w:rPr>
        <w:t xml:space="preserve"> </w:t>
      </w:r>
      <w:r w:rsidRPr="00D03A5A">
        <w:rPr>
          <w:sz w:val="20"/>
          <w:lang w:val="en-GB"/>
        </w:rPr>
        <w:t>as opposed to 50 thousand in 2012.</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lastRenderedPageBreak/>
        <w:t xml:space="preserve">Since 2009, in order to perform their authorities, the civil servants of public administration </w:t>
      </w:r>
      <w:r w:rsidRPr="00332D9D">
        <w:rPr>
          <w:sz w:val="20"/>
          <w:lang w:val="en-GB"/>
        </w:rPr>
        <w:t>may use the non-public interface of the Czech POINT system at their workplaces, the</w:t>
      </w:r>
      <w:r>
        <w:rPr>
          <w:color w:val="FF0000"/>
          <w:sz w:val="20"/>
          <w:lang w:val="en-GB"/>
        </w:rPr>
        <w:t xml:space="preserve"> </w:t>
      </w:r>
      <w:r w:rsidRPr="00D03A5A">
        <w:rPr>
          <w:sz w:val="20"/>
          <w:lang w:val="en-GB"/>
        </w:rPr>
        <w:t xml:space="preserve">so called </w:t>
      </w:r>
      <w:r w:rsidRPr="00D03A5A">
        <w:rPr>
          <w:b/>
          <w:sz w:val="20"/>
          <w:lang w:val="en-GB"/>
        </w:rPr>
        <w:t>Czech Point@office</w:t>
      </w:r>
      <w:r w:rsidRPr="00D03A5A">
        <w:rPr>
          <w:sz w:val="20"/>
          <w:lang w:val="en-GB"/>
        </w:rPr>
        <w:t>, where they may independently find information, verify, and submit claims within</w:t>
      </w:r>
      <w:r w:rsidRPr="00D03A5A">
        <w:rPr>
          <w:b/>
          <w:sz w:val="20"/>
          <w:lang w:val="en-GB"/>
        </w:rPr>
        <w:t xml:space="preserve"> </w:t>
      </w:r>
      <w:r w:rsidRPr="00D03A5A">
        <w:rPr>
          <w:sz w:val="20"/>
          <w:lang w:val="en-GB"/>
        </w:rPr>
        <w:t>the</w:t>
      </w:r>
      <w:r w:rsidRPr="00D03A5A">
        <w:rPr>
          <w:b/>
          <w:sz w:val="20"/>
          <w:lang w:val="en-GB"/>
        </w:rPr>
        <w:t xml:space="preserve"> </w:t>
      </w:r>
      <w:r w:rsidRPr="00D03A5A">
        <w:rPr>
          <w:sz w:val="20"/>
          <w:lang w:val="en-GB"/>
        </w:rPr>
        <w:t>eGovernment.</w:t>
      </w:r>
      <w:r w:rsidRPr="00D03A5A">
        <w:rPr>
          <w:b/>
          <w:sz w:val="20"/>
          <w:lang w:val="en-GB"/>
        </w:rPr>
        <w:t xml:space="preserve"> </w:t>
      </w:r>
      <w:r w:rsidRPr="00D03A5A">
        <w:rPr>
          <w:sz w:val="20"/>
          <w:lang w:val="en-GB"/>
        </w:rPr>
        <w:t>In</w:t>
      </w:r>
      <w:r>
        <w:rPr>
          <w:sz w:val="20"/>
          <w:lang w:val="en-GB"/>
        </w:rPr>
        <w:t> </w:t>
      </w:r>
      <w:r w:rsidRPr="00D03A5A">
        <w:rPr>
          <w:sz w:val="20"/>
          <w:lang w:val="en-GB"/>
        </w:rPr>
        <w:t xml:space="preserve">2017, civil servants of public administration used this option for the authorised conversion of documents, records of registers, registration offices or courts, or for the copies of an entry in fundamental registers, in total for 6.3 million </w:t>
      </w:r>
      <w:r w:rsidRPr="00D03A5A">
        <w:rPr>
          <w:b/>
          <w:sz w:val="20"/>
          <w:lang w:val="en-GB"/>
        </w:rPr>
        <w:t>outputs</w:t>
      </w:r>
      <w:r w:rsidRPr="00D03A5A">
        <w:rPr>
          <w:sz w:val="20"/>
          <w:lang w:val="en-GB"/>
        </w:rPr>
        <w:t xml:space="preserve">. </w:t>
      </w:r>
    </w:p>
    <w:p w:rsidR="0026358E" w:rsidRPr="00D03A5A" w:rsidRDefault="0026358E" w:rsidP="0026358E">
      <w:pPr>
        <w:pStyle w:val="Zkladntext"/>
        <w:numPr>
          <w:ilvl w:val="0"/>
          <w:numId w:val="15"/>
        </w:numPr>
        <w:spacing w:before="0" w:after="80" w:line="264" w:lineRule="auto"/>
        <w:ind w:left="284" w:hanging="284"/>
        <w:rPr>
          <w:sz w:val="20"/>
          <w:lang w:val="en-GB"/>
        </w:rPr>
      </w:pPr>
      <w:r w:rsidRPr="00061547">
        <w:rPr>
          <w:sz w:val="20"/>
          <w:lang w:val="en-GB"/>
        </w:rPr>
        <w:t xml:space="preserve">Mainly non-public service was </w:t>
      </w:r>
      <w:r w:rsidRPr="00D03A5A">
        <w:rPr>
          <w:sz w:val="20"/>
          <w:lang w:val="en-GB"/>
        </w:rPr>
        <w:t>provided by means of the interface (application) CzechPoint@office</w:t>
      </w:r>
      <w:r w:rsidRPr="005860C6">
        <w:rPr>
          <w:sz w:val="20"/>
          <w:szCs w:val="20"/>
        </w:rPr>
        <w:t>,</w:t>
      </w:r>
      <w:r w:rsidRPr="00D03A5A">
        <w:rPr>
          <w:sz w:val="20"/>
          <w:lang w:val="en-GB"/>
        </w:rPr>
        <w:t xml:space="preserve"> used for the conversion of documents from the electronic form to the paper on</w:t>
      </w:r>
      <w:r w:rsidRPr="00061547">
        <w:rPr>
          <w:sz w:val="20"/>
          <w:lang w:val="en-GB"/>
        </w:rPr>
        <w:t>e</w:t>
      </w:r>
      <w:r w:rsidRPr="00061547">
        <w:rPr>
          <w:sz w:val="20"/>
          <w:szCs w:val="20"/>
        </w:rPr>
        <w:t>,</w:t>
      </w:r>
      <w:r w:rsidRPr="00061547">
        <w:rPr>
          <w:sz w:val="20"/>
          <w:lang w:val="en-GB"/>
        </w:rPr>
        <w:t xml:space="preserve"> </w:t>
      </w:r>
      <w:r w:rsidRPr="00D03A5A">
        <w:rPr>
          <w:sz w:val="20"/>
          <w:lang w:val="en-GB"/>
        </w:rPr>
        <w:t>and vice versa. In 2017, 5</w:t>
      </w:r>
      <w:r>
        <w:rPr>
          <w:sz w:val="20"/>
          <w:lang w:val="en-GB"/>
        </w:rPr>
        <w:t> </w:t>
      </w:r>
      <w:r w:rsidRPr="00D03A5A">
        <w:rPr>
          <w:sz w:val="20"/>
          <w:lang w:val="en-GB"/>
        </w:rPr>
        <w:t xml:space="preserve">million such </w:t>
      </w:r>
      <w:r w:rsidRPr="00D03A5A">
        <w:rPr>
          <w:b/>
          <w:sz w:val="20"/>
          <w:lang w:val="en-GB"/>
        </w:rPr>
        <w:t>authorised conversions</w:t>
      </w:r>
      <w:r w:rsidRPr="00D03A5A">
        <w:rPr>
          <w:sz w:val="20"/>
          <w:lang w:val="en-GB"/>
        </w:rPr>
        <w:t xml:space="preserve"> were performed. </w:t>
      </w:r>
    </w:p>
    <w:p w:rsidR="0026358E" w:rsidRDefault="0026358E" w:rsidP="0026358E">
      <w:pPr>
        <w:pStyle w:val="Titulek"/>
        <w:keepNext/>
        <w:spacing w:after="0"/>
        <w:jc w:val="both"/>
        <w:rPr>
          <w:lang w:val="en-GB"/>
        </w:rPr>
        <w:sectPr w:rsidR="0026358E" w:rsidSect="007B46EA">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1134" w:right="1134" w:bottom="1418" w:left="1134" w:header="680" w:footer="680" w:gutter="0"/>
          <w:cols w:space="708"/>
          <w:docGrid w:linePitch="360"/>
        </w:sectPr>
      </w:pPr>
    </w:p>
    <w:p w:rsidR="0026358E" w:rsidRDefault="0026358E" w:rsidP="0026358E">
      <w:pPr>
        <w:pStyle w:val="Zkladntext"/>
        <w:spacing w:before="0" w:after="100" w:line="264" w:lineRule="auto"/>
      </w:pPr>
      <w:r w:rsidRPr="00D03A5A">
        <w:rPr>
          <w:noProof/>
        </w:rPr>
        <w:drawing>
          <wp:inline distT="0" distB="0" distL="0" distR="0" wp14:anchorId="3A61A04E" wp14:editId="4E4FB1E4">
            <wp:extent cx="3024000" cy="2880000"/>
            <wp:effectExtent l="0" t="0" r="5080" b="0"/>
            <wp:docPr id="192" name="Graf 19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D03A5A">
        <w:rPr>
          <w:lang w:val="en-GB"/>
        </w:rPr>
        <w:t xml:space="preserve"> </w:t>
      </w:r>
    </w:p>
    <w:p w:rsidR="0026358E" w:rsidRPr="00D03A5A" w:rsidRDefault="0026358E" w:rsidP="0026358E">
      <w:pPr>
        <w:pStyle w:val="Zkladntext"/>
        <w:spacing w:before="0" w:after="100" w:line="264" w:lineRule="auto"/>
        <w:rPr>
          <w:color w:val="00B050"/>
          <w:sz w:val="20"/>
          <w:lang w:val="en-GB"/>
        </w:rPr>
      </w:pPr>
      <w:r w:rsidRPr="00D03A5A">
        <w:rPr>
          <w:noProof/>
        </w:rPr>
        <w:drawing>
          <wp:inline distT="0" distB="0" distL="0" distR="0" wp14:anchorId="626864B2" wp14:editId="59EBFDF1">
            <wp:extent cx="3024000" cy="2880000"/>
            <wp:effectExtent l="0" t="0" r="5080" b="0"/>
            <wp:docPr id="193" name="Graf 193">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26358E" w:rsidRDefault="0026358E" w:rsidP="0026358E">
      <w:pPr>
        <w:pStyle w:val="Zkladntext"/>
        <w:spacing w:before="0" w:after="80" w:line="264" w:lineRule="auto"/>
        <w:ind w:left="284"/>
        <w:rPr>
          <w:sz w:val="20"/>
          <w:lang w:val="en-GB"/>
        </w:rPr>
        <w:sectPr w:rsidR="0026358E" w:rsidSect="007B46EA">
          <w:type w:val="continuous"/>
          <w:pgSz w:w="11906" w:h="16838" w:code="9"/>
          <w:pgMar w:top="1134" w:right="1134" w:bottom="1418" w:left="1134" w:header="680" w:footer="680" w:gutter="0"/>
          <w:cols w:num="2" w:space="282"/>
          <w:docGrid w:linePitch="360"/>
        </w:sectPr>
      </w:pPr>
    </w:p>
    <w:p w:rsidR="0026358E" w:rsidRPr="00D03A5A" w:rsidRDefault="0026358E" w:rsidP="0026358E">
      <w:pPr>
        <w:pStyle w:val="Zkladntext"/>
        <w:numPr>
          <w:ilvl w:val="0"/>
          <w:numId w:val="15"/>
        </w:numPr>
        <w:tabs>
          <w:tab w:val="clear" w:pos="360"/>
          <w:tab w:val="num" w:pos="284"/>
        </w:tabs>
        <w:spacing w:before="0" w:after="80" w:line="264" w:lineRule="auto"/>
        <w:ind w:left="284" w:hanging="284"/>
        <w:rPr>
          <w:sz w:val="20"/>
          <w:lang w:val="en-GB"/>
        </w:rPr>
      </w:pPr>
      <w:r w:rsidRPr="00D03A5A">
        <w:rPr>
          <w:sz w:val="20"/>
          <w:lang w:val="en-GB"/>
        </w:rPr>
        <w:t>This service is less frequently used for</w:t>
      </w:r>
      <w:r w:rsidRPr="00061547">
        <w:rPr>
          <w:sz w:val="20"/>
          <w:szCs w:val="20"/>
        </w:rPr>
        <w:t>,</w:t>
      </w:r>
      <w:r w:rsidRPr="00D03A5A">
        <w:rPr>
          <w:sz w:val="20"/>
          <w:lang w:val="en-GB"/>
        </w:rPr>
        <w:t xml:space="preserve"> so called</w:t>
      </w:r>
      <w:r w:rsidRPr="00061547">
        <w:rPr>
          <w:sz w:val="20"/>
          <w:szCs w:val="20"/>
        </w:rPr>
        <w:t>,</w:t>
      </w:r>
      <w:r w:rsidRPr="00061547">
        <w:rPr>
          <w:sz w:val="20"/>
          <w:lang w:val="en-GB"/>
        </w:rPr>
        <w:t xml:space="preserve"> </w:t>
      </w:r>
      <w:r w:rsidRPr="00D03A5A">
        <w:rPr>
          <w:b/>
          <w:sz w:val="20"/>
          <w:lang w:val="en-GB"/>
        </w:rPr>
        <w:t>official records</w:t>
      </w:r>
      <w:r w:rsidRPr="00D03A5A">
        <w:rPr>
          <w:sz w:val="20"/>
          <w:lang w:val="en-GB"/>
        </w:rPr>
        <w:t xml:space="preserve"> of selected administrative tasks.</w:t>
      </w:r>
      <w:r w:rsidRPr="00D03A5A">
        <w:rPr>
          <w:b/>
          <w:sz w:val="20"/>
          <w:lang w:val="en-GB"/>
        </w:rPr>
        <w:t xml:space="preserve"> </w:t>
      </w:r>
      <w:r w:rsidRPr="00D03A5A">
        <w:rPr>
          <w:sz w:val="20"/>
          <w:lang w:val="en-GB"/>
        </w:rPr>
        <w:t>In 2017, civil servants used this option nearly in a million cases</w:t>
      </w:r>
      <w:r w:rsidRPr="00061547">
        <w:rPr>
          <w:sz w:val="20"/>
          <w:szCs w:val="20"/>
        </w:rPr>
        <w:t>,</w:t>
      </w:r>
      <w:r w:rsidRPr="00D03A5A">
        <w:rPr>
          <w:sz w:val="20"/>
          <w:lang w:val="en-GB"/>
        </w:rPr>
        <w:t xml:space="preserve"> total. These were most frequently the official records within the scope of </w:t>
      </w:r>
      <w:r w:rsidRPr="00D03A5A">
        <w:rPr>
          <w:b/>
          <w:sz w:val="20"/>
          <w:lang w:val="en-GB"/>
        </w:rPr>
        <w:t>administrative duties of registers</w:t>
      </w:r>
      <w:r w:rsidRPr="00D03A5A">
        <w:rPr>
          <w:sz w:val="20"/>
          <w:lang w:val="en-GB"/>
        </w:rPr>
        <w:t xml:space="preserve"> (records of data concerning birth, decease, matrimony, and registered partnership)</w:t>
      </w:r>
      <w:r w:rsidRPr="00061547">
        <w:rPr>
          <w:sz w:val="20"/>
          <w:szCs w:val="20"/>
        </w:rPr>
        <w:t>,</w:t>
      </w:r>
      <w:r w:rsidRPr="00061547">
        <w:rPr>
          <w:sz w:val="20"/>
          <w:lang w:val="en-GB"/>
        </w:rPr>
        <w:t xml:space="preserve"> </w:t>
      </w:r>
      <w:r w:rsidRPr="00D03A5A">
        <w:rPr>
          <w:sz w:val="20"/>
          <w:lang w:val="en-GB"/>
        </w:rPr>
        <w:t xml:space="preserve">and within the scope of </w:t>
      </w:r>
      <w:r w:rsidRPr="00D03A5A">
        <w:rPr>
          <w:b/>
          <w:sz w:val="20"/>
          <w:lang w:val="en-GB"/>
        </w:rPr>
        <w:t>administrative duties of registration offices</w:t>
      </w:r>
      <w:r w:rsidRPr="00D03A5A">
        <w:rPr>
          <w:sz w:val="20"/>
          <w:lang w:val="en-GB"/>
        </w:rPr>
        <w:t xml:space="preserve"> (records of mailing address and addresses of permanent residence). With respect to both these administrative duties, the civil servants used this </w:t>
      </w:r>
      <w:r w:rsidRPr="00061547">
        <w:rPr>
          <w:sz w:val="20"/>
          <w:lang w:val="en-GB"/>
        </w:rPr>
        <w:t>option</w:t>
      </w:r>
      <w:r w:rsidRPr="00061547">
        <w:rPr>
          <w:sz w:val="20"/>
          <w:szCs w:val="20"/>
        </w:rPr>
        <w:t>,</w:t>
      </w:r>
      <w:r w:rsidRPr="00061547">
        <w:rPr>
          <w:sz w:val="20"/>
          <w:lang w:val="en-GB"/>
        </w:rPr>
        <w:t xml:space="preserve"> in 2017</w:t>
      </w:r>
      <w:r w:rsidRPr="00061547">
        <w:rPr>
          <w:sz w:val="20"/>
          <w:szCs w:val="20"/>
        </w:rPr>
        <w:t>,</w:t>
      </w:r>
      <w:r w:rsidRPr="00061547">
        <w:rPr>
          <w:sz w:val="20"/>
          <w:lang w:val="en-GB"/>
        </w:rPr>
        <w:t xml:space="preserve"> in </w:t>
      </w:r>
      <w:r w:rsidRPr="00D03A5A">
        <w:rPr>
          <w:sz w:val="20"/>
          <w:lang w:val="en-GB"/>
        </w:rPr>
        <w:t xml:space="preserve">over 400 thousand cases. This option is also less frequently used within the scope of </w:t>
      </w:r>
      <w:r w:rsidRPr="00D03A5A">
        <w:rPr>
          <w:b/>
          <w:sz w:val="20"/>
          <w:lang w:val="en-GB"/>
        </w:rPr>
        <w:t>administrative duties of courts</w:t>
      </w:r>
      <w:r w:rsidRPr="00061547">
        <w:rPr>
          <w:sz w:val="20"/>
          <w:szCs w:val="20"/>
        </w:rPr>
        <w:t>,</w:t>
      </w:r>
      <w:r w:rsidRPr="00D03A5A">
        <w:rPr>
          <w:sz w:val="20"/>
          <w:lang w:val="en-GB"/>
        </w:rPr>
        <w:t xml:space="preserve"> for the records of invalidity, divorce, non-existence of matrimony or a registered partnership, and the limitation of legal capacity or incapacitation.</w:t>
      </w:r>
    </w:p>
    <w:p w:rsidR="0026358E" w:rsidRDefault="0026358E" w:rsidP="0026358E">
      <w:pPr>
        <w:pStyle w:val="Zkladntext"/>
        <w:numPr>
          <w:ilvl w:val="0"/>
          <w:numId w:val="15"/>
        </w:numPr>
        <w:tabs>
          <w:tab w:val="clear" w:pos="360"/>
          <w:tab w:val="num" w:pos="284"/>
        </w:tabs>
        <w:spacing w:before="0" w:after="80" w:line="264" w:lineRule="auto"/>
        <w:ind w:left="284" w:hanging="284"/>
        <w:rPr>
          <w:sz w:val="20"/>
          <w:lang w:val="en-GB"/>
        </w:rPr>
      </w:pPr>
      <w:r w:rsidRPr="00D03A5A">
        <w:rPr>
          <w:sz w:val="20"/>
          <w:lang w:val="en-GB"/>
        </w:rPr>
        <w:t xml:space="preserve">Since 2012, the newest Czech POINT system interface has been the web application </w:t>
      </w:r>
      <w:r w:rsidRPr="00D03A5A">
        <w:rPr>
          <w:b/>
          <w:sz w:val="20"/>
          <w:lang w:val="en-GB"/>
        </w:rPr>
        <w:t xml:space="preserve">CzechPOINT@home, </w:t>
      </w:r>
      <w:r w:rsidRPr="00061547">
        <w:rPr>
          <w:b/>
          <w:sz w:val="20"/>
          <w:lang w:val="en-GB"/>
        </w:rPr>
        <w:t xml:space="preserve">an </w:t>
      </w:r>
      <w:r w:rsidRPr="00D03A5A">
        <w:rPr>
          <w:b/>
          <w:sz w:val="20"/>
          <w:lang w:val="en-GB"/>
        </w:rPr>
        <w:t xml:space="preserve">internet contact point </w:t>
      </w:r>
      <w:r w:rsidRPr="00D03A5A">
        <w:rPr>
          <w:sz w:val="20"/>
          <w:lang w:val="en-GB"/>
        </w:rPr>
        <w:t>designated for citizens owning a Data Box</w:t>
      </w:r>
      <w:r w:rsidRPr="005860C6">
        <w:rPr>
          <w:sz w:val="20"/>
          <w:szCs w:val="20"/>
        </w:rPr>
        <w:t>,</w:t>
      </w:r>
      <w:r w:rsidRPr="00D03A5A">
        <w:rPr>
          <w:sz w:val="20"/>
          <w:lang w:val="en-GB"/>
        </w:rPr>
        <w:t xml:space="preserve"> who may remotely obtain certain copies of an entry in</w:t>
      </w:r>
      <w:r w:rsidRPr="00D03A5A">
        <w:rPr>
          <w:b/>
          <w:sz w:val="20"/>
          <w:lang w:val="en-GB"/>
        </w:rPr>
        <w:t xml:space="preserve"> </w:t>
      </w:r>
      <w:r w:rsidRPr="00061547">
        <w:rPr>
          <w:sz w:val="20"/>
          <w:lang w:val="en-GB"/>
        </w:rPr>
        <w:t>public</w:t>
      </w:r>
      <w:r w:rsidRPr="00061547">
        <w:rPr>
          <w:sz w:val="20"/>
          <w:szCs w:val="20"/>
        </w:rPr>
        <w:t>,</w:t>
      </w:r>
      <w:r w:rsidRPr="00D03A5A">
        <w:rPr>
          <w:b/>
          <w:sz w:val="20"/>
          <w:lang w:val="en-GB"/>
        </w:rPr>
        <w:t xml:space="preserve"> </w:t>
      </w:r>
      <w:r w:rsidRPr="00D03A5A">
        <w:rPr>
          <w:sz w:val="20"/>
          <w:lang w:val="en-GB"/>
        </w:rPr>
        <w:t>and non-public register</w:t>
      </w:r>
      <w:r w:rsidRPr="00061547">
        <w:rPr>
          <w:sz w:val="20"/>
          <w:szCs w:val="20"/>
        </w:rPr>
        <w:t>,</w:t>
      </w:r>
      <w:r w:rsidRPr="00061547">
        <w:rPr>
          <w:sz w:val="20"/>
          <w:lang w:val="en-GB"/>
        </w:rPr>
        <w:t xml:space="preserve"> in order </w:t>
      </w:r>
      <w:r w:rsidRPr="00D03A5A">
        <w:rPr>
          <w:sz w:val="20"/>
          <w:lang w:val="en-GB"/>
        </w:rPr>
        <w:t xml:space="preserve">to their data box by means of forms located within this </w:t>
      </w:r>
      <w:r w:rsidRPr="00061547">
        <w:rPr>
          <w:sz w:val="20"/>
          <w:lang w:val="en-GB"/>
        </w:rPr>
        <w:t>interface</w:t>
      </w:r>
      <w:r w:rsidRPr="00061547">
        <w:rPr>
          <w:sz w:val="20"/>
          <w:szCs w:val="20"/>
        </w:rPr>
        <w:t>,</w:t>
      </w:r>
      <w:r w:rsidRPr="00061547">
        <w:rPr>
          <w:b/>
          <w:sz w:val="20"/>
          <w:lang w:val="en-GB"/>
        </w:rPr>
        <w:t xml:space="preserve"> </w:t>
      </w:r>
      <w:r w:rsidRPr="00D03A5A">
        <w:rPr>
          <w:sz w:val="20"/>
          <w:lang w:val="en-GB"/>
        </w:rPr>
        <w:t xml:space="preserve">without having to go to the “bricks-and-mortar” Czech POINT contact point. In 2017, our citizens requested a total of 14.1 thousand </w:t>
      </w:r>
      <w:r w:rsidRPr="00061547">
        <w:rPr>
          <w:sz w:val="20"/>
          <w:lang w:val="en-GB"/>
        </w:rPr>
        <w:t>outputs</w:t>
      </w:r>
      <w:r w:rsidRPr="00061547">
        <w:rPr>
          <w:sz w:val="20"/>
          <w:szCs w:val="20"/>
        </w:rPr>
        <w:t>,</w:t>
      </w:r>
      <w:r w:rsidRPr="00D03A5A">
        <w:rPr>
          <w:sz w:val="20"/>
          <w:lang w:val="en-GB"/>
        </w:rPr>
        <w:t xml:space="preserve"> by means of this interface</w:t>
      </w:r>
      <w:r w:rsidRPr="005860C6">
        <w:rPr>
          <w:sz w:val="20"/>
          <w:szCs w:val="20"/>
        </w:rPr>
        <w:t>,</w:t>
      </w:r>
      <w:r>
        <w:rPr>
          <w:color w:val="FF0000"/>
          <w:sz w:val="20"/>
          <w:szCs w:val="20"/>
        </w:rPr>
        <w:t xml:space="preserve"> </w:t>
      </w:r>
      <w:r w:rsidRPr="00D03A5A">
        <w:rPr>
          <w:sz w:val="20"/>
          <w:lang w:val="en-GB"/>
        </w:rPr>
        <w:t>their computers or mobile phones. These mainly included the copies of an entry in the Penalty Point System concerning drivers (5.4 thousand copies</w:t>
      </w:r>
      <w:r w:rsidRPr="00061547">
        <w:rPr>
          <w:sz w:val="20"/>
          <w:lang w:val="en-GB"/>
        </w:rPr>
        <w:t>)</w:t>
      </w:r>
      <w:r w:rsidRPr="00061547">
        <w:rPr>
          <w:sz w:val="20"/>
          <w:szCs w:val="20"/>
        </w:rPr>
        <w:t>,</w:t>
      </w:r>
      <w:r w:rsidRPr="00061547">
        <w:rPr>
          <w:sz w:val="20"/>
          <w:lang w:val="en-GB"/>
        </w:rPr>
        <w:t xml:space="preserve"> </w:t>
      </w:r>
      <w:r w:rsidRPr="00D03A5A">
        <w:rPr>
          <w:sz w:val="20"/>
          <w:lang w:val="en-GB"/>
        </w:rPr>
        <w:t>and in Criminal Records (4.6 thousand).</w:t>
      </w:r>
    </w:p>
    <w:p w:rsidR="0026358E" w:rsidRDefault="0026358E" w:rsidP="0026358E">
      <w:pPr>
        <w:spacing w:after="0" w:line="240" w:lineRule="auto"/>
        <w:rPr>
          <w:rFonts w:eastAsia="MS Gothic"/>
          <w:b/>
          <w:bCs/>
          <w:color w:val="009BB4"/>
          <w:sz w:val="28"/>
          <w:szCs w:val="26"/>
        </w:rPr>
      </w:pPr>
      <w:r>
        <w:br w:type="page"/>
      </w:r>
    </w:p>
    <w:p w:rsidR="0026358E" w:rsidRPr="00F8362B" w:rsidRDefault="0026358E" w:rsidP="002875D6">
      <w:pPr>
        <w:pStyle w:val="Nadpis2"/>
        <w:spacing w:before="0"/>
      </w:pPr>
      <w:bookmarkStart w:id="157" w:name="_Toc533697543"/>
      <w:bookmarkStart w:id="158" w:name="_Toc534712042"/>
      <w:r w:rsidRPr="002937D1">
        <w:lastRenderedPageBreak/>
        <w:t xml:space="preserve">E.2 </w:t>
      </w:r>
      <w:r>
        <w:t xml:space="preserve">Use of </w:t>
      </w:r>
      <w:r w:rsidRPr="002937D1">
        <w:t>Data Boxes</w:t>
      </w:r>
      <w:r>
        <w:t xml:space="preserve"> for C</w:t>
      </w:r>
      <w:r w:rsidRPr="002C13E0">
        <w:t xml:space="preserve">ommunication with </w:t>
      </w:r>
      <w:r>
        <w:t>P</w:t>
      </w:r>
      <w:r w:rsidRPr="002C13E0">
        <w:t xml:space="preserve">ublic </w:t>
      </w:r>
      <w:r>
        <w:t>A</w:t>
      </w:r>
      <w:r w:rsidRPr="002C13E0">
        <w:t>uthorities</w:t>
      </w:r>
      <w:bookmarkEnd w:id="157"/>
      <w:bookmarkEnd w:id="158"/>
    </w:p>
    <w:p w:rsidR="0026358E" w:rsidRPr="000F280C" w:rsidRDefault="0026358E" w:rsidP="0026358E">
      <w:pPr>
        <w:pStyle w:val="Zkladntext"/>
        <w:spacing w:before="0" w:after="80" w:line="264" w:lineRule="auto"/>
        <w:rPr>
          <w:i/>
          <w:sz w:val="20"/>
          <w:lang w:val="en-GB"/>
        </w:rPr>
      </w:pPr>
      <w:r w:rsidRPr="00DE7433">
        <w:rPr>
          <w:i/>
          <w:sz w:val="20"/>
          <w:lang w:val="en-GB"/>
        </w:rPr>
        <w:t>Since the launching of D</w:t>
      </w:r>
      <w:r w:rsidRPr="000F280C">
        <w:rPr>
          <w:i/>
          <w:sz w:val="20"/>
          <w:lang w:val="en-GB"/>
        </w:rPr>
        <w:t xml:space="preserve">ata </w:t>
      </w:r>
      <w:r w:rsidRPr="00DE7433">
        <w:rPr>
          <w:i/>
          <w:sz w:val="20"/>
          <w:lang w:val="en-GB"/>
        </w:rPr>
        <w:t>Boxes</w:t>
      </w:r>
      <w:r w:rsidRPr="00DE7433">
        <w:rPr>
          <w:i/>
          <w:sz w:val="20"/>
          <w:szCs w:val="20"/>
        </w:rPr>
        <w:t>,</w:t>
      </w:r>
      <w:r w:rsidRPr="00DE7433">
        <w:rPr>
          <w:i/>
          <w:sz w:val="20"/>
          <w:lang w:val="en-GB"/>
        </w:rPr>
        <w:t xml:space="preserve"> in the 2nd half </w:t>
      </w:r>
      <w:r w:rsidRPr="000F280C">
        <w:rPr>
          <w:i/>
          <w:sz w:val="20"/>
          <w:lang w:val="en-GB"/>
        </w:rPr>
        <w:t>of 2009, Data Boxes represent a new standard for the delivery of official documents. Data Boxes are a communication tool guaranteed by the state</w:t>
      </w:r>
      <w:r w:rsidRPr="00DE7433">
        <w:rPr>
          <w:i/>
          <w:sz w:val="20"/>
          <w:szCs w:val="20"/>
        </w:rPr>
        <w:t>,</w:t>
      </w:r>
      <w:r w:rsidRPr="000F280C">
        <w:rPr>
          <w:i/>
          <w:sz w:val="20"/>
          <w:lang w:val="en-GB"/>
        </w:rPr>
        <w:t xml:space="preserve"> replacing the classic registered delivery of letters, and serving mainly </w:t>
      </w:r>
      <w:r w:rsidRPr="00DE7433">
        <w:rPr>
          <w:i/>
          <w:sz w:val="20"/>
          <w:lang w:val="en-GB"/>
        </w:rPr>
        <w:t xml:space="preserve">as a means of </w:t>
      </w:r>
      <w:r w:rsidRPr="000F280C">
        <w:rPr>
          <w:i/>
          <w:sz w:val="20"/>
          <w:lang w:val="en-GB"/>
        </w:rPr>
        <w:t xml:space="preserve">communication with public authorities. Therefore, </w:t>
      </w:r>
      <w:r w:rsidRPr="00DE7433">
        <w:rPr>
          <w:i/>
          <w:sz w:val="20"/>
          <w:lang w:val="en-GB"/>
        </w:rPr>
        <w:t xml:space="preserve">through </w:t>
      </w:r>
      <w:r w:rsidRPr="000F280C">
        <w:rPr>
          <w:i/>
          <w:sz w:val="20"/>
          <w:lang w:val="en-GB"/>
        </w:rPr>
        <w:t xml:space="preserve">Data Boxes you may send documents to public authorities </w:t>
      </w:r>
      <w:r w:rsidRPr="00DE7433">
        <w:rPr>
          <w:i/>
          <w:sz w:val="20"/>
          <w:lang w:val="en-GB"/>
        </w:rPr>
        <w:t>electronically</w:t>
      </w:r>
      <w:r w:rsidRPr="00DE7433">
        <w:rPr>
          <w:i/>
          <w:sz w:val="20"/>
          <w:szCs w:val="20"/>
        </w:rPr>
        <w:t>,</w:t>
      </w:r>
      <w:r w:rsidRPr="000F280C">
        <w:rPr>
          <w:i/>
          <w:sz w:val="20"/>
          <w:lang w:val="en-GB"/>
        </w:rPr>
        <w:t xml:space="preserve"> and also obtain documents from them the same way</w:t>
      </w:r>
      <w:r w:rsidRPr="000F280C">
        <w:rPr>
          <w:rStyle w:val="Znakapoznpodarou"/>
          <w:i/>
          <w:sz w:val="20"/>
          <w:lang w:val="en-GB"/>
        </w:rPr>
        <w:footnoteReference w:id="53"/>
      </w:r>
      <w:r>
        <w:rPr>
          <w:i/>
          <w:sz w:val="20"/>
          <w:lang w:val="en-GB"/>
        </w:rPr>
        <w:t>.</w:t>
      </w:r>
      <w:r w:rsidRPr="000F280C">
        <w:rPr>
          <w:i/>
          <w:sz w:val="20"/>
          <w:lang w:val="en-GB"/>
        </w:rPr>
        <w:t xml:space="preserve"> </w:t>
      </w:r>
    </w:p>
    <w:p w:rsidR="0026358E" w:rsidRPr="00D03A5A" w:rsidRDefault="0026358E" w:rsidP="0026358E">
      <w:pPr>
        <w:numPr>
          <w:ilvl w:val="0"/>
          <w:numId w:val="15"/>
        </w:numPr>
        <w:tabs>
          <w:tab w:val="clear" w:pos="360"/>
          <w:tab w:val="num" w:pos="284"/>
        </w:tabs>
        <w:autoSpaceDE w:val="0"/>
        <w:autoSpaceDN w:val="0"/>
        <w:adjustRightInd w:val="0"/>
        <w:spacing w:after="80" w:line="264" w:lineRule="auto"/>
        <w:ind w:left="284" w:hanging="284"/>
        <w:jc w:val="both"/>
      </w:pPr>
      <w:r w:rsidRPr="00D03A5A">
        <w:t xml:space="preserve">Up to </w:t>
      </w:r>
      <w:r w:rsidRPr="00DE7433">
        <w:t>the 31</w:t>
      </w:r>
      <w:r w:rsidRPr="00DE7433">
        <w:rPr>
          <w:vertAlign w:val="superscript"/>
        </w:rPr>
        <w:t>st</w:t>
      </w:r>
      <w:r w:rsidRPr="00DE7433">
        <w:t xml:space="preserve"> of December</w:t>
      </w:r>
      <w:r w:rsidRPr="000F280C">
        <w:rPr>
          <w:color w:val="FF0000"/>
        </w:rPr>
        <w:t xml:space="preserve"> </w:t>
      </w:r>
      <w:r w:rsidRPr="00D03A5A">
        <w:t xml:space="preserve">2017, 861 thousand Data Boxes </w:t>
      </w:r>
      <w:r w:rsidRPr="00DE7433">
        <w:t>total</w:t>
      </w:r>
      <w:r w:rsidRPr="000F280C">
        <w:rPr>
          <w:color w:val="FF0000"/>
        </w:rPr>
        <w:t xml:space="preserve"> </w:t>
      </w:r>
      <w:r w:rsidRPr="00D03A5A">
        <w:t>were established in the Czech Republic. A large part of them (361 thousand) was established already in 2009, i.e. during the f</w:t>
      </w:r>
      <w:r>
        <w:t xml:space="preserve">irst year of the operation of </w:t>
      </w:r>
      <w:r w:rsidRPr="00DE7433">
        <w:t>this</w:t>
      </w:r>
      <w:r w:rsidRPr="000F280C">
        <w:rPr>
          <w:color w:val="FF0000"/>
        </w:rPr>
        <w:t xml:space="preserve"> </w:t>
      </w:r>
      <w:r w:rsidRPr="00D03A5A">
        <w:t xml:space="preserve">service, as it was stipulated by law to all public authorities and legal entities recorded in the Commercial Register. In the following years, the number of voluntary requests </w:t>
      </w:r>
      <w:r w:rsidRPr="00DE7433">
        <w:t xml:space="preserve">for a </w:t>
      </w:r>
      <w:r w:rsidRPr="00D03A5A">
        <w:t xml:space="preserve">registration of a Data Box has been on the </w:t>
      </w:r>
      <w:r w:rsidRPr="00DE7433">
        <w:t>increase</w:t>
      </w:r>
      <w:r w:rsidRPr="00DE7433">
        <w:rPr>
          <w:szCs w:val="20"/>
        </w:rPr>
        <w:t>,</w:t>
      </w:r>
      <w:r w:rsidRPr="00DE7433">
        <w:t xml:space="preserve"> and </w:t>
      </w:r>
      <w:r w:rsidRPr="00D03A5A">
        <w:t xml:space="preserve">since </w:t>
      </w:r>
      <w:r w:rsidRPr="00DE7433">
        <w:t>2013</w:t>
      </w:r>
      <w:r w:rsidRPr="00DE7433">
        <w:rPr>
          <w:szCs w:val="20"/>
        </w:rPr>
        <w:t>,</w:t>
      </w:r>
      <w:r w:rsidRPr="00D03A5A">
        <w:t xml:space="preserve"> the number of entities establishing a Data Box voluntarily prevails over the ones who do so by law.</w:t>
      </w:r>
    </w:p>
    <w:p w:rsidR="0026358E" w:rsidRPr="00D03A5A" w:rsidRDefault="0026358E" w:rsidP="0026358E">
      <w:pPr>
        <w:numPr>
          <w:ilvl w:val="0"/>
          <w:numId w:val="15"/>
        </w:numPr>
        <w:tabs>
          <w:tab w:val="clear" w:pos="360"/>
          <w:tab w:val="num" w:pos="284"/>
        </w:tabs>
        <w:autoSpaceDE w:val="0"/>
        <w:autoSpaceDN w:val="0"/>
        <w:adjustRightInd w:val="0"/>
        <w:spacing w:after="80" w:line="264" w:lineRule="auto"/>
        <w:ind w:left="284" w:hanging="284"/>
        <w:jc w:val="both"/>
      </w:pPr>
      <w:r w:rsidRPr="00D03A5A">
        <w:t xml:space="preserve">During the course of 2017, 80 thousand new </w:t>
      </w:r>
      <w:r w:rsidRPr="00D03A5A">
        <w:rPr>
          <w:b/>
        </w:rPr>
        <w:t>Data Boxes</w:t>
      </w:r>
      <w:r w:rsidRPr="00D03A5A">
        <w:t xml:space="preserve"> were established in the Czech Republic. A large part of them (56%) was established </w:t>
      </w:r>
      <w:r w:rsidRPr="00D03A5A">
        <w:rPr>
          <w:b/>
        </w:rPr>
        <w:t>upon request</w:t>
      </w:r>
      <w:r w:rsidRPr="00D03A5A">
        <w:t xml:space="preserve">, 44% new data boxes were established </w:t>
      </w:r>
      <w:r w:rsidRPr="00D03A5A">
        <w:rPr>
          <w:b/>
        </w:rPr>
        <w:t>by law</w:t>
      </w:r>
      <w:r w:rsidRPr="00D03A5A">
        <w:t xml:space="preserve">. The majority of </w:t>
      </w:r>
      <w:r w:rsidRPr="00D03A5A">
        <w:rPr>
          <w:b/>
        </w:rPr>
        <w:t>new Data Box</w:t>
      </w:r>
      <w:r w:rsidRPr="00D03A5A">
        <w:t xml:space="preserve"> owners are legal entities or self-employed individuals. In 2017</w:t>
      </w:r>
      <w:r w:rsidRPr="00DE7433">
        <w:rPr>
          <w:szCs w:val="20"/>
        </w:rPr>
        <w:t>,</w:t>
      </w:r>
      <w:r w:rsidRPr="00D03A5A">
        <w:t xml:space="preserve"> there were nearly 23 thousand Data Boxes established for individuals – non-entrepreneurs (citizens).</w:t>
      </w:r>
    </w:p>
    <w:p w:rsidR="0026358E" w:rsidRDefault="0026358E" w:rsidP="0026358E">
      <w:pPr>
        <w:tabs>
          <w:tab w:val="num" w:pos="284"/>
        </w:tabs>
        <w:autoSpaceDE w:val="0"/>
        <w:autoSpaceDN w:val="0"/>
        <w:adjustRightInd w:val="0"/>
        <w:spacing w:after="100" w:line="264" w:lineRule="auto"/>
        <w:jc w:val="both"/>
      </w:pPr>
      <w:r w:rsidRPr="00D03A5A">
        <w:rPr>
          <w:noProof/>
          <w:lang w:val="cs-CZ"/>
        </w:rPr>
        <w:drawing>
          <wp:inline distT="0" distB="0" distL="0" distR="0" wp14:anchorId="4D79FB5D" wp14:editId="5BACFF71">
            <wp:extent cx="3042000" cy="3240000"/>
            <wp:effectExtent l="0" t="0" r="6350" b="0"/>
            <wp:docPr id="194" name="Graf 194">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Pr="00D03A5A">
        <w:rPr>
          <w:noProof/>
        </w:rPr>
        <w:t xml:space="preserve"> </w:t>
      </w:r>
      <w:r w:rsidRPr="00D03A5A">
        <w:rPr>
          <w:noProof/>
          <w:lang w:val="cs-CZ"/>
        </w:rPr>
        <w:drawing>
          <wp:inline distT="0" distB="0" distL="0" distR="0" wp14:anchorId="16D07808" wp14:editId="5699868C">
            <wp:extent cx="3024000" cy="3240000"/>
            <wp:effectExtent l="0" t="0" r="5080" b="0"/>
            <wp:docPr id="195" name="Graf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26358E" w:rsidRDefault="0026358E" w:rsidP="0026358E">
      <w:pPr>
        <w:numPr>
          <w:ilvl w:val="0"/>
          <w:numId w:val="15"/>
        </w:numPr>
        <w:tabs>
          <w:tab w:val="clear" w:pos="360"/>
          <w:tab w:val="num" w:pos="284"/>
        </w:tabs>
        <w:autoSpaceDE w:val="0"/>
        <w:autoSpaceDN w:val="0"/>
        <w:adjustRightInd w:val="0"/>
        <w:spacing w:after="80" w:line="264" w:lineRule="auto"/>
        <w:ind w:left="284" w:hanging="284"/>
        <w:jc w:val="both"/>
      </w:pPr>
      <w:r w:rsidRPr="00D03A5A">
        <w:t xml:space="preserve">Year by year, the </w:t>
      </w:r>
      <w:r w:rsidRPr="00D03A5A">
        <w:rPr>
          <w:b/>
        </w:rPr>
        <w:t>number of transactions</w:t>
      </w:r>
      <w:r w:rsidRPr="00D03A5A">
        <w:t xml:space="preserve"> conducted via Data Boxes is increasing. Overall, between the years 2012 and 2017</w:t>
      </w:r>
      <w:r w:rsidRPr="00DE7433">
        <w:rPr>
          <w:szCs w:val="20"/>
        </w:rPr>
        <w:t>,</w:t>
      </w:r>
      <w:r w:rsidRPr="00DE7433">
        <w:t xml:space="preserve"> </w:t>
      </w:r>
      <w:r w:rsidRPr="00D03A5A">
        <w:t>the number of transactions conducted via Data Boxes has nearly doubled, i.e. from 45.4 million in 2012 to 102.8 million in 2017.</w:t>
      </w:r>
      <w:r w:rsidRPr="00D03A5A">
        <w:rPr>
          <w:noProof/>
        </w:rPr>
        <w:t xml:space="preserve"> </w:t>
      </w:r>
    </w:p>
    <w:p w:rsidR="0026358E" w:rsidRPr="002937D1" w:rsidRDefault="0026358E" w:rsidP="009F1FF5">
      <w:pPr>
        <w:numPr>
          <w:ilvl w:val="0"/>
          <w:numId w:val="15"/>
        </w:numPr>
        <w:tabs>
          <w:tab w:val="clear" w:pos="360"/>
          <w:tab w:val="num" w:pos="284"/>
        </w:tabs>
        <w:autoSpaceDE w:val="0"/>
        <w:autoSpaceDN w:val="0"/>
        <w:adjustRightInd w:val="0"/>
        <w:spacing w:after="0" w:line="264" w:lineRule="auto"/>
        <w:ind w:left="284" w:hanging="284"/>
        <w:jc w:val="both"/>
      </w:pPr>
      <w:r w:rsidRPr="00D03A5A">
        <w:t xml:space="preserve">As it may have been expected, most data messages (i.e. conducted transactions) have been sent by </w:t>
      </w:r>
      <w:r w:rsidRPr="00061547">
        <w:rPr>
          <w:b/>
        </w:rPr>
        <w:t>public authorities</w:t>
      </w:r>
      <w:r w:rsidRPr="00D03A5A">
        <w:t xml:space="preserve">, which have the obligation to use Data Boxes for mutual interchange of information. In 2017, over 71 million transactions were conducted. In 2017, legal entities, self-employed individuals, and other entities conducted a total of 31 million transactions, which is not even a half with respect to the volume of transactions conducted by public authorities. This means of communication has been gaining </w:t>
      </w:r>
      <w:r w:rsidRPr="00DE7433">
        <w:lastRenderedPageBreak/>
        <w:t>popularity</w:t>
      </w:r>
      <w:r w:rsidRPr="00DE7433">
        <w:rPr>
          <w:szCs w:val="20"/>
        </w:rPr>
        <w:t>,</w:t>
      </w:r>
      <w:r w:rsidRPr="00D03A5A">
        <w:t xml:space="preserve"> not only with self-employed individuals (in Czech “OSVČ”), but also with individuals – non-entrepreneurs (citizens).</w:t>
      </w:r>
    </w:p>
    <w:p w:rsidR="0026358E" w:rsidRDefault="009F1FF5" w:rsidP="009F1FF5">
      <w:pPr>
        <w:autoSpaceDE w:val="0"/>
        <w:autoSpaceDN w:val="0"/>
        <w:adjustRightInd w:val="0"/>
        <w:spacing w:after="80" w:line="264" w:lineRule="auto"/>
        <w:jc w:val="both"/>
        <w:sectPr w:rsidR="0026358E" w:rsidSect="007B46EA">
          <w:type w:val="continuous"/>
          <w:pgSz w:w="11906" w:h="16838" w:code="9"/>
          <w:pgMar w:top="1134" w:right="1134" w:bottom="1418" w:left="1134" w:header="680" w:footer="680" w:gutter="0"/>
          <w:cols w:space="708"/>
          <w:docGrid w:linePitch="360"/>
        </w:sectPr>
      </w:pPr>
      <w:r w:rsidRPr="00D03A5A">
        <w:rPr>
          <w:noProof/>
          <w:lang w:val="cs-CZ"/>
        </w:rPr>
        <w:drawing>
          <wp:anchor distT="0" distB="0" distL="114300" distR="114300" simplePos="0" relativeHeight="251641344" behindDoc="1" locked="0" layoutInCell="1" allowOverlap="1" wp14:anchorId="1C2D699E" wp14:editId="15399DEE">
            <wp:simplePos x="0" y="0"/>
            <wp:positionH relativeFrom="column">
              <wp:posOffset>1489710</wp:posOffset>
            </wp:positionH>
            <wp:positionV relativeFrom="paragraph">
              <wp:posOffset>833120</wp:posOffset>
            </wp:positionV>
            <wp:extent cx="1819275" cy="1981200"/>
            <wp:effectExtent l="0" t="0" r="0" b="0"/>
            <wp:wrapTight wrapText="bothSides">
              <wp:wrapPolygon edited="0">
                <wp:start x="2488" y="2908"/>
                <wp:lineTo x="2488" y="3531"/>
                <wp:lineTo x="4750" y="6646"/>
                <wp:lineTo x="3619" y="9762"/>
                <wp:lineTo x="3619" y="13292"/>
                <wp:lineTo x="5654" y="17031"/>
                <wp:lineTo x="10630" y="19523"/>
                <wp:lineTo x="14475" y="19523"/>
                <wp:lineTo x="19451" y="17031"/>
                <wp:lineTo x="19451" y="16615"/>
                <wp:lineTo x="21261" y="13292"/>
                <wp:lineTo x="21261" y="9554"/>
                <wp:lineTo x="21035" y="8723"/>
                <wp:lineTo x="20130" y="6231"/>
                <wp:lineTo x="16059" y="3531"/>
                <wp:lineTo x="14702" y="2908"/>
                <wp:lineTo x="2488" y="2908"/>
              </wp:wrapPolygon>
            </wp:wrapTight>
            <wp:docPr id="84" name="Graf 84">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14:sizeRelH relativeFrom="page">
              <wp14:pctWidth>0</wp14:pctWidth>
            </wp14:sizeRelH>
            <wp14:sizeRelV relativeFrom="page">
              <wp14:pctHeight>0</wp14:pctHeight>
            </wp14:sizeRelV>
          </wp:anchor>
        </w:drawing>
      </w:r>
      <w:r w:rsidRPr="00D03A5A">
        <w:rPr>
          <w:noProof/>
          <w:lang w:val="cs-CZ"/>
        </w:rPr>
        <w:drawing>
          <wp:anchor distT="0" distB="0" distL="114300" distR="114300" simplePos="0" relativeHeight="251633152" behindDoc="1" locked="0" layoutInCell="1" allowOverlap="1" wp14:anchorId="5E6C6A88" wp14:editId="003FD0A8">
            <wp:simplePos x="0" y="0"/>
            <wp:positionH relativeFrom="margin">
              <wp:posOffset>0</wp:posOffset>
            </wp:positionH>
            <wp:positionV relativeFrom="paragraph">
              <wp:posOffset>153670</wp:posOffset>
            </wp:positionV>
            <wp:extent cx="3352800" cy="3059430"/>
            <wp:effectExtent l="0" t="0" r="0" b="7620"/>
            <wp:wrapTopAndBottom/>
            <wp:docPr id="79" name="Graf 79">
              <a:extLst xmlns:a="http://schemas.openxmlformats.org/drawingml/2006/main">
                <a:ext uri="{FF2B5EF4-FFF2-40B4-BE49-F238E27FC236}">
                  <a16:creationId xmlns:a16="http://schemas.microsoft.com/office/drawing/2014/main" id="{00000000-0008-0000-0A00-00002B2D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page">
              <wp14:pctWidth>0</wp14:pctWidth>
            </wp14:sizeRelH>
            <wp14:sizeRelV relativeFrom="page">
              <wp14:pctHeight>0</wp14:pctHeight>
            </wp14:sizeRelV>
          </wp:anchor>
        </w:drawing>
      </w:r>
      <w:r w:rsidRPr="00D03A5A">
        <w:rPr>
          <w:noProof/>
          <w:lang w:val="cs-CZ"/>
        </w:rPr>
        <w:drawing>
          <wp:anchor distT="0" distB="0" distL="114300" distR="114300" simplePos="0" relativeHeight="251652608" behindDoc="0" locked="0" layoutInCell="1" allowOverlap="1" wp14:anchorId="5ACB992D" wp14:editId="4FC037E7">
            <wp:simplePos x="0" y="0"/>
            <wp:positionH relativeFrom="column">
              <wp:posOffset>3461385</wp:posOffset>
            </wp:positionH>
            <wp:positionV relativeFrom="paragraph">
              <wp:posOffset>132715</wp:posOffset>
            </wp:positionV>
            <wp:extent cx="2643505" cy="3076575"/>
            <wp:effectExtent l="0" t="0" r="4445" b="0"/>
            <wp:wrapSquare wrapText="bothSides"/>
            <wp:docPr id="86" name="Graf 86">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page">
              <wp14:pctWidth>0</wp14:pctWidth>
            </wp14:sizeRelH>
            <wp14:sizeRelV relativeFrom="page">
              <wp14:pctHeight>0</wp14:pctHeight>
            </wp14:sizeRelV>
          </wp:anchor>
        </w:drawing>
      </w:r>
    </w:p>
    <w:p w:rsidR="0026358E" w:rsidRPr="002937D1" w:rsidRDefault="0026358E" w:rsidP="0026358E">
      <w:pPr>
        <w:pStyle w:val="Nadpis2"/>
      </w:pPr>
      <w:bookmarkStart w:id="159" w:name="_Toc533697544"/>
      <w:bookmarkStart w:id="160" w:name="_Toc534712043"/>
      <w:r w:rsidRPr="002937D1">
        <w:t>E.3 Electronic Tax Returns</w:t>
      </w:r>
      <w:r w:rsidRPr="002937D1">
        <w:rPr>
          <w:rStyle w:val="Znakapoznpodarou"/>
          <w:szCs w:val="28"/>
        </w:rPr>
        <w:footnoteReference w:id="54"/>
      </w:r>
      <w:bookmarkEnd w:id="159"/>
      <w:bookmarkEnd w:id="160"/>
    </w:p>
    <w:p w:rsidR="0026358E" w:rsidRPr="007C6640" w:rsidRDefault="0026358E" w:rsidP="0026358E">
      <w:pPr>
        <w:spacing w:after="80" w:line="264" w:lineRule="auto"/>
        <w:jc w:val="both"/>
        <w:rPr>
          <w:i/>
        </w:rPr>
      </w:pPr>
      <w:r w:rsidRPr="007C6640">
        <w:rPr>
          <w:i/>
        </w:rPr>
        <w:t xml:space="preserve">The Czech Financial Administration enables </w:t>
      </w:r>
      <w:r w:rsidRPr="00AD1A07">
        <w:rPr>
          <w:i/>
        </w:rPr>
        <w:t>companies</w:t>
      </w:r>
      <w:r w:rsidRPr="007C6640">
        <w:rPr>
          <w:i/>
          <w:szCs w:val="20"/>
        </w:rPr>
        <w:t>,</w:t>
      </w:r>
      <w:r w:rsidRPr="007C6640">
        <w:rPr>
          <w:i/>
        </w:rPr>
        <w:t xml:space="preserve"> as well as citizens</w:t>
      </w:r>
      <w:r w:rsidRPr="007C6640">
        <w:rPr>
          <w:i/>
          <w:szCs w:val="20"/>
        </w:rPr>
        <w:t>,</w:t>
      </w:r>
      <w:r w:rsidRPr="007C6640">
        <w:rPr>
          <w:i/>
        </w:rPr>
        <w:t xml:space="preserve"> to submit their tax returns, declarations, reports or other documents electronically. In order to do so, the computer application called EPO (electronic submissions) was established for the Czech Financial Administration. It is a form of an electronic registry office of the authorities of the Czech Financial Administration</w:t>
      </w:r>
      <w:r w:rsidRPr="007C6640">
        <w:rPr>
          <w:i/>
          <w:szCs w:val="20"/>
        </w:rPr>
        <w:t>,</w:t>
      </w:r>
      <w:r w:rsidRPr="007C6640">
        <w:rPr>
          <w:i/>
        </w:rPr>
        <w:t xml:space="preserve"> which can be used by means of a common internet browser. Electronic submissions conducted via EPO application must be provided with a qualified electronic signature (QES).</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Year by year, the number of electronic </w:t>
      </w:r>
      <w:r w:rsidRPr="00542B46">
        <w:rPr>
          <w:sz w:val="20"/>
          <w:lang w:val="en-GB"/>
        </w:rPr>
        <w:t xml:space="preserve">submission to </w:t>
      </w:r>
      <w:r w:rsidRPr="00D03A5A">
        <w:rPr>
          <w:sz w:val="20"/>
          <w:lang w:val="en-GB"/>
        </w:rPr>
        <w:t>the Czech Financial Administration is increasing in the Czech Republic. In 2017, a record number of 8.6 million electronic submissions was submitted via EPO application</w:t>
      </w:r>
      <w:r w:rsidRPr="00542B46">
        <w:rPr>
          <w:sz w:val="20"/>
          <w:lang w:val="en-GB"/>
        </w:rPr>
        <w:t>;</w:t>
      </w:r>
      <w:r w:rsidRPr="00D03A5A">
        <w:rPr>
          <w:sz w:val="20"/>
          <w:lang w:val="en-GB"/>
        </w:rPr>
        <w:t xml:space="preserve"> out of which a fifth was provided with a qualified electronic </w:t>
      </w:r>
      <w:r w:rsidRPr="00542B46">
        <w:rPr>
          <w:sz w:val="20"/>
          <w:lang w:val="en-GB"/>
        </w:rPr>
        <w:t>signature</w:t>
      </w:r>
      <w:r w:rsidRPr="00542B46">
        <w:rPr>
          <w:sz w:val="20"/>
          <w:szCs w:val="20"/>
        </w:rPr>
        <w:t>,</w:t>
      </w:r>
      <w:r w:rsidRPr="00D03A5A">
        <w:rPr>
          <w:sz w:val="20"/>
          <w:lang w:val="en-GB"/>
        </w:rPr>
        <w:t xml:space="preserve"> and less than a third was provided with a certified identity of the submitting </w:t>
      </w:r>
      <w:r w:rsidRPr="00542B46">
        <w:rPr>
          <w:sz w:val="20"/>
          <w:lang w:val="en-GB"/>
        </w:rPr>
        <w:t>person</w:t>
      </w:r>
      <w:r w:rsidRPr="00542B46">
        <w:rPr>
          <w:sz w:val="20"/>
          <w:szCs w:val="20"/>
        </w:rPr>
        <w:t>,</w:t>
      </w:r>
      <w:r w:rsidRPr="00D03A5A">
        <w:rPr>
          <w:sz w:val="20"/>
          <w:lang w:val="en-GB"/>
        </w:rPr>
        <w:t xml:space="preserve"> by means of his or her Data Box. Two years ago</w:t>
      </w:r>
      <w:r w:rsidRPr="00542B46">
        <w:rPr>
          <w:sz w:val="20"/>
          <w:szCs w:val="20"/>
        </w:rPr>
        <w:t>,</w:t>
      </w:r>
      <w:r w:rsidRPr="00D03A5A">
        <w:rPr>
          <w:sz w:val="20"/>
          <w:lang w:val="en-GB"/>
        </w:rPr>
        <w:t xml:space="preserve"> it was 2.4 times (5 million) less</w:t>
      </w:r>
      <w:r w:rsidRPr="00542B46">
        <w:rPr>
          <w:sz w:val="20"/>
          <w:szCs w:val="20"/>
        </w:rPr>
        <w:t>,</w:t>
      </w:r>
      <w:r w:rsidRPr="00D03A5A">
        <w:rPr>
          <w:sz w:val="20"/>
          <w:lang w:val="en-GB"/>
        </w:rPr>
        <w:t xml:space="preserve"> and five years ago it was even 5.6 times less (1.5 million in 2012).</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With respect to the total number, since </w:t>
      </w:r>
      <w:r w:rsidRPr="00797854">
        <w:rPr>
          <w:sz w:val="20"/>
          <w:lang w:val="en-GB"/>
        </w:rPr>
        <w:t>2003</w:t>
      </w:r>
      <w:r w:rsidRPr="00797854">
        <w:rPr>
          <w:sz w:val="20"/>
          <w:szCs w:val="20"/>
        </w:rPr>
        <w:t>,</w:t>
      </w:r>
      <w:r w:rsidRPr="00D03A5A">
        <w:rPr>
          <w:sz w:val="20"/>
          <w:lang w:val="en-GB"/>
        </w:rPr>
        <w:t xml:space="preserve"> the largest part (47% in 2017) of electronic submissions </w:t>
      </w:r>
      <w:r w:rsidRPr="00797854">
        <w:rPr>
          <w:sz w:val="20"/>
          <w:lang w:val="en-GB"/>
        </w:rPr>
        <w:t>to</w:t>
      </w:r>
      <w:r w:rsidRPr="000F280C">
        <w:rPr>
          <w:color w:val="FF0000"/>
          <w:sz w:val="20"/>
          <w:lang w:val="en-GB"/>
        </w:rPr>
        <w:t xml:space="preserve"> </w:t>
      </w:r>
      <w:r w:rsidRPr="00D03A5A">
        <w:rPr>
          <w:sz w:val="20"/>
          <w:lang w:val="en-GB"/>
        </w:rPr>
        <w:t xml:space="preserve">the Czech Financial Administration has been formed by </w:t>
      </w:r>
      <w:r w:rsidRPr="00D03A5A">
        <w:rPr>
          <w:b/>
          <w:sz w:val="20"/>
          <w:lang w:val="en-GB"/>
        </w:rPr>
        <w:t>Value Added Tax declaration</w:t>
      </w:r>
      <w:r w:rsidRPr="00D03A5A">
        <w:rPr>
          <w:sz w:val="20"/>
          <w:lang w:val="en-GB"/>
        </w:rPr>
        <w:t>.</w:t>
      </w:r>
      <w:r w:rsidRPr="00D03A5A">
        <w:rPr>
          <w:b/>
          <w:sz w:val="20"/>
          <w:lang w:val="en-GB"/>
        </w:rPr>
        <w:t xml:space="preserve"> </w:t>
      </w:r>
      <w:r w:rsidRPr="00D03A5A">
        <w:rPr>
          <w:sz w:val="20"/>
          <w:lang w:val="en-GB"/>
        </w:rPr>
        <w:t>In 2017, 2.2</w:t>
      </w:r>
      <w:r>
        <w:rPr>
          <w:sz w:val="20"/>
          <w:lang w:val="en-GB"/>
        </w:rPr>
        <w:t> </w:t>
      </w:r>
      <w:r w:rsidRPr="00D03A5A">
        <w:rPr>
          <w:sz w:val="20"/>
          <w:lang w:val="en-GB"/>
        </w:rPr>
        <w:t>million Value Added Tax declarations (VAT</w:t>
      </w:r>
      <w:r>
        <w:rPr>
          <w:sz w:val="20"/>
          <w:lang w:val="en-GB"/>
        </w:rPr>
        <w:t>)</w:t>
      </w:r>
      <w:r w:rsidRPr="00D03A5A">
        <w:rPr>
          <w:sz w:val="20"/>
          <w:lang w:val="en-GB"/>
        </w:rPr>
        <w:t xml:space="preserve"> were submitted via the EPO application. In the last three years (since 2014), the number of these declarations has risen by 50%</w:t>
      </w:r>
      <w:r w:rsidRPr="00797854">
        <w:rPr>
          <w:sz w:val="20"/>
          <w:szCs w:val="20"/>
        </w:rPr>
        <w:t>,</w:t>
      </w:r>
      <w:r w:rsidRPr="00797854">
        <w:rPr>
          <w:sz w:val="20"/>
          <w:lang w:val="en-GB"/>
        </w:rPr>
        <w:t xml:space="preserve"> </w:t>
      </w:r>
      <w:r w:rsidRPr="00D03A5A">
        <w:rPr>
          <w:sz w:val="20"/>
          <w:lang w:val="en-GB"/>
        </w:rPr>
        <w:t xml:space="preserve">and since 2012 it has risen even </w:t>
      </w:r>
      <w:r w:rsidRPr="00797854">
        <w:rPr>
          <w:sz w:val="20"/>
          <w:lang w:val="en-GB"/>
        </w:rPr>
        <w:t>fivefold.</w:t>
      </w:r>
    </w:p>
    <w:p w:rsidR="0026358E" w:rsidRDefault="0026358E" w:rsidP="0026358E">
      <w:pPr>
        <w:pStyle w:val="Zkladntext"/>
        <w:spacing w:before="0" w:after="100" w:line="264" w:lineRule="auto"/>
      </w:pPr>
      <w:r w:rsidRPr="00D03A5A">
        <w:rPr>
          <w:noProof/>
        </w:rPr>
        <w:lastRenderedPageBreak/>
        <w:drawing>
          <wp:inline distT="0" distB="0" distL="0" distR="0" wp14:anchorId="7B6F881A" wp14:editId="00C54256">
            <wp:extent cx="3024000" cy="3420000"/>
            <wp:effectExtent l="0" t="0" r="5080" b="0"/>
            <wp:docPr id="199" name="Graf 19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r w:rsidRPr="00D03A5A">
        <w:rPr>
          <w:lang w:val="en-GB"/>
        </w:rPr>
        <w:t xml:space="preserve"> </w:t>
      </w:r>
      <w:r w:rsidRPr="00D03A5A">
        <w:rPr>
          <w:noProof/>
        </w:rPr>
        <w:drawing>
          <wp:inline distT="0" distB="0" distL="0" distR="0" wp14:anchorId="2A8E9E82" wp14:editId="3C639CB9">
            <wp:extent cx="3024000" cy="3420000"/>
            <wp:effectExtent l="0" t="0" r="5080" b="0"/>
            <wp:docPr id="200" name="Graf 20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The number of electronic submissions of Personal Income</w:t>
      </w:r>
      <w:r w:rsidRPr="00D03A5A">
        <w:rPr>
          <w:b/>
          <w:sz w:val="20"/>
          <w:lang w:val="en-GB"/>
        </w:rPr>
        <w:t xml:space="preserve"> Tax declaration</w:t>
      </w:r>
      <w:r w:rsidRPr="00D03A5A">
        <w:rPr>
          <w:sz w:val="20"/>
          <w:lang w:val="en-GB"/>
        </w:rPr>
        <w:t xml:space="preserve"> and Corporate Income Tax declaration has also been increasing year by year. With respect to </w:t>
      </w:r>
      <w:r w:rsidRPr="00D03A5A">
        <w:rPr>
          <w:b/>
          <w:sz w:val="20"/>
          <w:lang w:val="en-GB"/>
        </w:rPr>
        <w:t>Personal Income</w:t>
      </w:r>
      <w:r w:rsidRPr="00D03A5A">
        <w:rPr>
          <w:sz w:val="20"/>
          <w:lang w:val="en-GB"/>
        </w:rPr>
        <w:t xml:space="preserve"> Tax declaration, in </w:t>
      </w:r>
      <w:r w:rsidRPr="00797854">
        <w:rPr>
          <w:sz w:val="20"/>
          <w:lang w:val="en-GB"/>
        </w:rPr>
        <w:t>2017</w:t>
      </w:r>
      <w:r w:rsidRPr="00797854">
        <w:rPr>
          <w:sz w:val="20"/>
          <w:szCs w:val="20"/>
        </w:rPr>
        <w:t>,</w:t>
      </w:r>
      <w:r w:rsidRPr="00797854">
        <w:rPr>
          <w:sz w:val="20"/>
          <w:lang w:val="en-GB"/>
        </w:rPr>
        <w:t xml:space="preserve"> </w:t>
      </w:r>
      <w:r w:rsidRPr="00D03A5A">
        <w:rPr>
          <w:sz w:val="20"/>
          <w:lang w:val="en-GB"/>
        </w:rPr>
        <w:t xml:space="preserve">there were 262 thousand submissions in </w:t>
      </w:r>
      <w:r w:rsidRPr="00797854">
        <w:rPr>
          <w:sz w:val="20"/>
          <w:lang w:val="en-GB"/>
        </w:rPr>
        <w:t>total</w:t>
      </w:r>
      <w:r w:rsidRPr="00797854">
        <w:rPr>
          <w:sz w:val="20"/>
          <w:szCs w:val="20"/>
        </w:rPr>
        <w:t>,</w:t>
      </w:r>
      <w:r w:rsidRPr="00797854">
        <w:rPr>
          <w:sz w:val="20"/>
          <w:lang w:val="en-GB"/>
        </w:rPr>
        <w:t xml:space="preserve"> </w:t>
      </w:r>
      <w:r w:rsidRPr="00D03A5A">
        <w:rPr>
          <w:sz w:val="20"/>
          <w:lang w:val="en-GB"/>
        </w:rPr>
        <w:t xml:space="preserve">conducted via EPO </w:t>
      </w:r>
      <w:r w:rsidRPr="00797854">
        <w:rPr>
          <w:sz w:val="20"/>
          <w:lang w:val="en-GB"/>
        </w:rPr>
        <w:t>application</w:t>
      </w:r>
      <w:r w:rsidRPr="00797854">
        <w:rPr>
          <w:sz w:val="20"/>
          <w:szCs w:val="20"/>
        </w:rPr>
        <w:t>,</w:t>
      </w:r>
      <w:r w:rsidRPr="00D03A5A">
        <w:rPr>
          <w:sz w:val="20"/>
          <w:lang w:val="en-GB"/>
        </w:rPr>
        <w:t xml:space="preserve"> compared to less than 150 thousand in </w:t>
      </w:r>
      <w:r w:rsidRPr="00797854">
        <w:rPr>
          <w:sz w:val="20"/>
          <w:lang w:val="en-GB"/>
        </w:rPr>
        <w:t>2015</w:t>
      </w:r>
      <w:r w:rsidRPr="00797854">
        <w:rPr>
          <w:sz w:val="20"/>
          <w:szCs w:val="20"/>
        </w:rPr>
        <w:t>,</w:t>
      </w:r>
      <w:r w:rsidRPr="00797854">
        <w:rPr>
          <w:sz w:val="20"/>
          <w:lang w:val="en-GB"/>
        </w:rPr>
        <w:t xml:space="preserve"> or </w:t>
      </w:r>
      <w:r w:rsidRPr="00D03A5A">
        <w:rPr>
          <w:sz w:val="20"/>
          <w:lang w:val="en-GB"/>
        </w:rPr>
        <w:t>32 thousand in 2012. In 2017, the number of such electronic submissions was 12.1% of the total number of “independently submitted” Personal Income Tax declarations (in Czech “DPFO</w:t>
      </w:r>
      <w:r w:rsidRPr="00797854">
        <w:rPr>
          <w:sz w:val="20"/>
          <w:lang w:val="en-GB"/>
        </w:rPr>
        <w:t>”)</w:t>
      </w:r>
      <w:r w:rsidRPr="00797854">
        <w:rPr>
          <w:sz w:val="20"/>
          <w:szCs w:val="20"/>
        </w:rPr>
        <w:t>,</w:t>
      </w:r>
      <w:r w:rsidRPr="00797854">
        <w:rPr>
          <w:sz w:val="20"/>
          <w:lang w:val="en-GB"/>
        </w:rPr>
        <w:t xml:space="preserve"> </w:t>
      </w:r>
      <w:r w:rsidRPr="00D03A5A">
        <w:rPr>
          <w:sz w:val="20"/>
          <w:lang w:val="en-GB"/>
        </w:rPr>
        <w:t>compared to 6.9% in 2015.</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With respect to </w:t>
      </w:r>
      <w:r w:rsidRPr="00D03A5A">
        <w:rPr>
          <w:b/>
          <w:sz w:val="20"/>
          <w:lang w:val="en-GB"/>
        </w:rPr>
        <w:t>Corporate Income</w:t>
      </w:r>
      <w:r w:rsidRPr="00D03A5A">
        <w:rPr>
          <w:sz w:val="20"/>
          <w:lang w:val="en-GB"/>
        </w:rPr>
        <w:t xml:space="preserve"> Tax declaration, in 2017</w:t>
      </w:r>
      <w:r w:rsidRPr="00797854">
        <w:rPr>
          <w:sz w:val="20"/>
          <w:szCs w:val="20"/>
        </w:rPr>
        <w:t>,</w:t>
      </w:r>
      <w:r w:rsidRPr="00797854">
        <w:rPr>
          <w:sz w:val="20"/>
          <w:lang w:val="en-GB"/>
        </w:rPr>
        <w:t xml:space="preserve"> there </w:t>
      </w:r>
      <w:r w:rsidRPr="00D03A5A">
        <w:rPr>
          <w:sz w:val="20"/>
          <w:lang w:val="en-GB"/>
        </w:rPr>
        <w:t xml:space="preserve">were 213 thousand submissions in total conducted via EPO </w:t>
      </w:r>
      <w:r w:rsidRPr="00797854">
        <w:rPr>
          <w:sz w:val="20"/>
          <w:lang w:val="en-GB"/>
        </w:rPr>
        <w:t>application</w:t>
      </w:r>
      <w:r w:rsidRPr="00797854">
        <w:rPr>
          <w:sz w:val="20"/>
          <w:szCs w:val="20"/>
        </w:rPr>
        <w:t>,</w:t>
      </w:r>
      <w:r w:rsidRPr="00D03A5A">
        <w:rPr>
          <w:sz w:val="20"/>
          <w:lang w:val="en-GB"/>
        </w:rPr>
        <w:t xml:space="preserve"> compared to 155 thousand in </w:t>
      </w:r>
      <w:r w:rsidRPr="00797854">
        <w:rPr>
          <w:sz w:val="20"/>
          <w:lang w:val="en-GB"/>
        </w:rPr>
        <w:t>2015</w:t>
      </w:r>
      <w:r w:rsidRPr="00797854">
        <w:rPr>
          <w:sz w:val="20"/>
          <w:szCs w:val="20"/>
        </w:rPr>
        <w:t>,</w:t>
      </w:r>
      <w:r w:rsidRPr="00797854">
        <w:rPr>
          <w:sz w:val="20"/>
          <w:lang w:val="en-GB"/>
        </w:rPr>
        <w:t xml:space="preserve"> </w:t>
      </w:r>
      <w:r w:rsidRPr="00D03A5A">
        <w:rPr>
          <w:sz w:val="20"/>
          <w:lang w:val="en-GB"/>
        </w:rPr>
        <w:t xml:space="preserve">or 23 thousand in 2012. In 2017, there were 44.5% electronic </w:t>
      </w:r>
      <w:r w:rsidRPr="00797854">
        <w:rPr>
          <w:sz w:val="20"/>
          <w:lang w:val="en-GB"/>
        </w:rPr>
        <w:t>submissions</w:t>
      </w:r>
      <w:r w:rsidRPr="00797854">
        <w:rPr>
          <w:sz w:val="20"/>
          <w:szCs w:val="20"/>
        </w:rPr>
        <w:t>,</w:t>
      </w:r>
      <w:r w:rsidRPr="00D03A5A">
        <w:rPr>
          <w:sz w:val="20"/>
          <w:lang w:val="en-GB"/>
        </w:rPr>
        <w:t xml:space="preserve"> out of the total number of Corporate Income Tax </w:t>
      </w:r>
      <w:r w:rsidRPr="00797854">
        <w:rPr>
          <w:sz w:val="20"/>
          <w:lang w:val="en-GB"/>
        </w:rPr>
        <w:t>declarations</w:t>
      </w:r>
      <w:r w:rsidRPr="00797854">
        <w:rPr>
          <w:sz w:val="20"/>
          <w:szCs w:val="20"/>
        </w:rPr>
        <w:t>,</w:t>
      </w:r>
      <w:r w:rsidRPr="00D03A5A">
        <w:rPr>
          <w:sz w:val="20"/>
          <w:lang w:val="en-GB"/>
        </w:rPr>
        <w:t xml:space="preserve"> compared to 37.6% in </w:t>
      </w:r>
      <w:r w:rsidRPr="00797854">
        <w:rPr>
          <w:sz w:val="20"/>
          <w:lang w:val="en-GB"/>
        </w:rPr>
        <w:t>2015</w:t>
      </w:r>
      <w:r w:rsidRPr="00797854">
        <w:rPr>
          <w:sz w:val="20"/>
          <w:szCs w:val="20"/>
        </w:rPr>
        <w:t>,</w:t>
      </w:r>
      <w:r w:rsidRPr="00797854">
        <w:rPr>
          <w:sz w:val="20"/>
          <w:lang w:val="en-GB"/>
        </w:rPr>
        <w:t xml:space="preserve"> or </w:t>
      </w:r>
      <w:r w:rsidRPr="00D03A5A">
        <w:rPr>
          <w:sz w:val="20"/>
          <w:lang w:val="en-GB"/>
        </w:rPr>
        <w:t>6.4% in 2012.</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Apart from the aforementioned tax declarations via </w:t>
      </w:r>
      <w:r w:rsidRPr="00797854">
        <w:rPr>
          <w:sz w:val="20"/>
          <w:lang w:val="en-GB"/>
        </w:rPr>
        <w:t>the</w:t>
      </w:r>
      <w:r>
        <w:rPr>
          <w:color w:val="FF0000"/>
          <w:sz w:val="20"/>
          <w:lang w:val="en-GB"/>
        </w:rPr>
        <w:t xml:space="preserve"> </w:t>
      </w:r>
      <w:r w:rsidRPr="00D03A5A">
        <w:rPr>
          <w:sz w:val="20"/>
          <w:lang w:val="en-GB"/>
        </w:rPr>
        <w:t xml:space="preserve">EPO </w:t>
      </w:r>
      <w:r w:rsidRPr="00797854">
        <w:rPr>
          <w:sz w:val="20"/>
          <w:lang w:val="en-GB"/>
        </w:rPr>
        <w:t>application</w:t>
      </w:r>
      <w:r w:rsidRPr="00797854">
        <w:rPr>
          <w:sz w:val="20"/>
          <w:szCs w:val="20"/>
        </w:rPr>
        <w:t>,</w:t>
      </w:r>
      <w:r w:rsidRPr="00797854">
        <w:rPr>
          <w:sz w:val="20"/>
          <w:lang w:val="en-GB"/>
        </w:rPr>
        <w:t xml:space="preserve"> </w:t>
      </w:r>
      <w:r w:rsidRPr="00D03A5A">
        <w:rPr>
          <w:sz w:val="20"/>
          <w:lang w:val="en-GB"/>
        </w:rPr>
        <w:t xml:space="preserve">available at the website of Czech Financial Administration, since </w:t>
      </w:r>
      <w:r w:rsidRPr="00797854">
        <w:rPr>
          <w:sz w:val="20"/>
          <w:lang w:val="en-GB"/>
        </w:rPr>
        <w:t>2013</w:t>
      </w:r>
      <w:r w:rsidRPr="00797854">
        <w:rPr>
          <w:sz w:val="20"/>
          <w:szCs w:val="20"/>
        </w:rPr>
        <w:t>,</w:t>
      </w:r>
      <w:r w:rsidRPr="00D03A5A">
        <w:rPr>
          <w:sz w:val="20"/>
          <w:lang w:val="en-GB"/>
        </w:rPr>
        <w:t xml:space="preserve"> legal </w:t>
      </w:r>
      <w:r w:rsidRPr="00797854">
        <w:rPr>
          <w:sz w:val="20"/>
          <w:lang w:val="en-GB"/>
        </w:rPr>
        <w:t>entities</w:t>
      </w:r>
      <w:r w:rsidRPr="00797854">
        <w:rPr>
          <w:sz w:val="20"/>
          <w:szCs w:val="20"/>
        </w:rPr>
        <w:t>,</w:t>
      </w:r>
      <w:r w:rsidRPr="00D03A5A">
        <w:rPr>
          <w:sz w:val="20"/>
          <w:lang w:val="en-GB"/>
        </w:rPr>
        <w:t xml:space="preserve"> as well as </w:t>
      </w:r>
      <w:r w:rsidRPr="00797854">
        <w:rPr>
          <w:sz w:val="20"/>
          <w:lang w:val="en-GB"/>
        </w:rPr>
        <w:t>individuals</w:t>
      </w:r>
      <w:r w:rsidRPr="00797854">
        <w:rPr>
          <w:sz w:val="20"/>
          <w:szCs w:val="20"/>
        </w:rPr>
        <w:t>,</w:t>
      </w:r>
      <w:r w:rsidRPr="00D03A5A">
        <w:rPr>
          <w:sz w:val="20"/>
          <w:lang w:val="en-GB"/>
        </w:rPr>
        <w:t xml:space="preserve"> may submit their tax declarations </w:t>
      </w:r>
      <w:r w:rsidRPr="00797854">
        <w:rPr>
          <w:sz w:val="20"/>
          <w:lang w:val="en-GB"/>
        </w:rPr>
        <w:t>electronically</w:t>
      </w:r>
      <w:r w:rsidRPr="00797854">
        <w:rPr>
          <w:sz w:val="20"/>
          <w:szCs w:val="20"/>
        </w:rPr>
        <w:t>,</w:t>
      </w:r>
      <w:r w:rsidRPr="00D03A5A">
        <w:rPr>
          <w:sz w:val="20"/>
          <w:lang w:val="en-GB"/>
        </w:rPr>
        <w:t xml:space="preserve"> by means of their</w:t>
      </w:r>
      <w:r w:rsidRPr="00D03A5A">
        <w:rPr>
          <w:b/>
          <w:sz w:val="20"/>
          <w:lang w:val="en-GB"/>
        </w:rPr>
        <w:t xml:space="preserve"> Data Boxes</w:t>
      </w:r>
      <w:r w:rsidRPr="00797854">
        <w:rPr>
          <w:sz w:val="20"/>
          <w:lang w:val="en-GB"/>
        </w:rPr>
        <w:t>.</w:t>
      </w:r>
      <w:r w:rsidRPr="00D03A5A">
        <w:rPr>
          <w:sz w:val="20"/>
          <w:lang w:val="en-GB"/>
        </w:rPr>
        <w:t xml:space="preserve"> In 2015, it was actually stipulated that all owners of an active Data Box must hold the communication with </w:t>
      </w:r>
      <w:r w:rsidRPr="00797854">
        <w:rPr>
          <w:sz w:val="20"/>
          <w:lang w:val="en-GB"/>
        </w:rPr>
        <w:t>the</w:t>
      </w:r>
      <w:r>
        <w:rPr>
          <w:color w:val="FF0000"/>
          <w:sz w:val="20"/>
          <w:lang w:val="en-GB"/>
        </w:rPr>
        <w:t xml:space="preserve"> </w:t>
      </w:r>
      <w:r w:rsidRPr="00D03A5A">
        <w:rPr>
          <w:sz w:val="20"/>
          <w:lang w:val="en-GB"/>
        </w:rPr>
        <w:t>Czech Financial Administration electronically.</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In 2017, this option of tax declaration submission was used by 146 thousand </w:t>
      </w:r>
      <w:r w:rsidRPr="00D03A5A">
        <w:rPr>
          <w:b/>
          <w:sz w:val="20"/>
          <w:lang w:val="en-GB"/>
        </w:rPr>
        <w:t>individuals</w:t>
      </w:r>
      <w:r w:rsidRPr="00D03A5A">
        <w:rPr>
          <w:sz w:val="20"/>
          <w:lang w:val="en-GB"/>
        </w:rPr>
        <w:t>, which is ten</w:t>
      </w:r>
      <w:r>
        <w:rPr>
          <w:sz w:val="20"/>
          <w:lang w:val="en-GB"/>
        </w:rPr>
        <w:t> </w:t>
      </w:r>
      <w:r w:rsidRPr="00D03A5A">
        <w:rPr>
          <w:sz w:val="20"/>
          <w:lang w:val="en-GB"/>
        </w:rPr>
        <w:t>times more than three years ago. In 2017, tax declarations were submitted electronically – either via EPO application or by means of Data Boxes – by 408 thousand persons. The total share of Personal Income Tax declarations submitted electronically amounted to 21%.</w:t>
      </w:r>
    </w:p>
    <w:p w:rsidR="0026358E" w:rsidRPr="00D03A5A" w:rsidRDefault="0026358E" w:rsidP="0026358E">
      <w:pPr>
        <w:pStyle w:val="Zkladntext"/>
        <w:numPr>
          <w:ilvl w:val="0"/>
          <w:numId w:val="15"/>
        </w:numPr>
        <w:tabs>
          <w:tab w:val="clear" w:pos="360"/>
        </w:tabs>
        <w:spacing w:before="0" w:after="80" w:line="264" w:lineRule="auto"/>
        <w:ind w:left="284" w:hanging="284"/>
        <w:rPr>
          <w:lang w:val="en-GB"/>
        </w:rPr>
      </w:pPr>
      <w:r w:rsidRPr="00D03A5A">
        <w:rPr>
          <w:sz w:val="20"/>
          <w:lang w:val="en-GB"/>
        </w:rPr>
        <w:t xml:space="preserve">With respect to </w:t>
      </w:r>
      <w:r w:rsidRPr="00D03A5A">
        <w:rPr>
          <w:b/>
          <w:sz w:val="20"/>
          <w:lang w:val="en-GB"/>
        </w:rPr>
        <w:t>legal entities</w:t>
      </w:r>
      <w:r w:rsidRPr="00D03A5A">
        <w:rPr>
          <w:sz w:val="20"/>
          <w:lang w:val="en-GB"/>
        </w:rPr>
        <w:t>, in 2017</w:t>
      </w:r>
      <w:r w:rsidRPr="00797854">
        <w:rPr>
          <w:sz w:val="20"/>
          <w:szCs w:val="20"/>
        </w:rPr>
        <w:t>,</w:t>
      </w:r>
      <w:r w:rsidRPr="00D03A5A">
        <w:rPr>
          <w:sz w:val="20"/>
          <w:lang w:val="en-GB"/>
        </w:rPr>
        <w:t xml:space="preserve"> the option to submit tax declarations via Data Boxes was used by 249 thousand entities, which is also ten times more than three years ago. Nearly all companies (legal entities) – as stipulated by law – have been submitting their tax declarations solely electronically in the past two years.</w:t>
      </w:r>
    </w:p>
    <w:p w:rsidR="0026358E" w:rsidRPr="002937D1" w:rsidRDefault="0026358E" w:rsidP="002875D6">
      <w:pPr>
        <w:pStyle w:val="Nadpis2"/>
        <w:pageBreakBefore/>
        <w:spacing w:before="0"/>
      </w:pPr>
      <w:bookmarkStart w:id="161" w:name="_Toc533697545"/>
      <w:bookmarkStart w:id="162" w:name="_Toc534712044"/>
      <w:r w:rsidRPr="002937D1">
        <w:lastRenderedPageBreak/>
        <w:t>E.4 Us</w:t>
      </w:r>
      <w:r>
        <w:t xml:space="preserve">e of eGovernment services </w:t>
      </w:r>
      <w:r w:rsidRPr="002937D1">
        <w:t>by individuals</w:t>
      </w:r>
      <w:bookmarkEnd w:id="161"/>
      <w:bookmarkEnd w:id="162"/>
    </w:p>
    <w:p w:rsidR="0026358E" w:rsidRPr="00D27E87" w:rsidRDefault="0026358E" w:rsidP="0026358E">
      <w:pPr>
        <w:pStyle w:val="Zkladntext"/>
        <w:spacing w:before="0" w:after="80" w:line="264" w:lineRule="auto"/>
        <w:rPr>
          <w:i/>
          <w:sz w:val="20"/>
          <w:lang w:val="en-GB"/>
        </w:rPr>
      </w:pPr>
      <w:r w:rsidRPr="00D27E87">
        <w:rPr>
          <w:i/>
          <w:sz w:val="20"/>
          <w:lang w:val="en-GB"/>
        </w:rPr>
        <w:t xml:space="preserve">Computerization of public administration forms </w:t>
      </w:r>
      <w:r w:rsidRPr="00797854">
        <w:rPr>
          <w:i/>
          <w:sz w:val="20"/>
          <w:lang w:val="en-GB"/>
        </w:rPr>
        <w:t xml:space="preserve">is the integral part of a well-functioning </w:t>
      </w:r>
      <w:r w:rsidRPr="00D27E87">
        <w:rPr>
          <w:i/>
          <w:sz w:val="20"/>
          <w:lang w:val="en-GB"/>
        </w:rPr>
        <w:t>economy and society. Public administration</w:t>
      </w:r>
      <w:r w:rsidRPr="00797854">
        <w:rPr>
          <w:i/>
          <w:sz w:val="20"/>
          <w:szCs w:val="20"/>
        </w:rPr>
        <w:t>,</w:t>
      </w:r>
      <w:r w:rsidRPr="00797854">
        <w:rPr>
          <w:i/>
          <w:sz w:val="20"/>
          <w:lang w:val="en-GB"/>
        </w:rPr>
        <w:t xml:space="preserve"> which </w:t>
      </w:r>
      <w:r w:rsidRPr="00D27E87">
        <w:rPr>
          <w:i/>
          <w:sz w:val="20"/>
          <w:lang w:val="en-GB"/>
        </w:rPr>
        <w:t xml:space="preserve">uses new technological </w:t>
      </w:r>
      <w:r w:rsidRPr="00797854">
        <w:rPr>
          <w:i/>
          <w:sz w:val="20"/>
          <w:lang w:val="en-GB"/>
        </w:rPr>
        <w:t>options</w:t>
      </w:r>
      <w:r w:rsidRPr="00797854">
        <w:rPr>
          <w:i/>
          <w:sz w:val="20"/>
          <w:szCs w:val="20"/>
        </w:rPr>
        <w:t>,</w:t>
      </w:r>
      <w:r w:rsidRPr="00797854">
        <w:rPr>
          <w:i/>
          <w:sz w:val="20"/>
          <w:lang w:val="en-GB"/>
        </w:rPr>
        <w:t xml:space="preserve"> </w:t>
      </w:r>
      <w:r w:rsidRPr="00D27E87">
        <w:rPr>
          <w:i/>
          <w:sz w:val="20"/>
          <w:lang w:val="en-GB"/>
        </w:rPr>
        <w:t xml:space="preserve">contributes to a simplified communication between the state and its citizens. The prerequisite of such communication is the interconnectedness of government </w:t>
      </w:r>
      <w:r w:rsidRPr="00797854">
        <w:rPr>
          <w:i/>
          <w:sz w:val="20"/>
          <w:lang w:val="en-GB"/>
        </w:rPr>
        <w:t>offices</w:t>
      </w:r>
      <w:r w:rsidRPr="00797854">
        <w:rPr>
          <w:i/>
          <w:sz w:val="20"/>
          <w:szCs w:val="20"/>
        </w:rPr>
        <w:t>,</w:t>
      </w:r>
      <w:r w:rsidRPr="00D27E87">
        <w:rPr>
          <w:i/>
          <w:sz w:val="20"/>
          <w:lang w:val="en-GB"/>
        </w:rPr>
        <w:t xml:space="preserve"> as well as a sufficient offer of online eGovernment </w:t>
      </w:r>
      <w:r w:rsidRPr="00797854">
        <w:rPr>
          <w:i/>
          <w:sz w:val="20"/>
          <w:lang w:val="en-GB"/>
        </w:rPr>
        <w:t>services</w:t>
      </w:r>
      <w:r w:rsidRPr="00797854">
        <w:rPr>
          <w:i/>
          <w:sz w:val="20"/>
          <w:szCs w:val="20"/>
        </w:rPr>
        <w:t>,</w:t>
      </w:r>
      <w:r w:rsidRPr="00D27E87">
        <w:rPr>
          <w:i/>
          <w:sz w:val="20"/>
          <w:lang w:val="en-GB"/>
        </w:rPr>
        <w:t xml:space="preserve"> for their possible usage by enterprises and individuals.</w:t>
      </w:r>
    </w:p>
    <w:p w:rsidR="0026358E"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Within the scope of the regular survey of the CZSO</w:t>
      </w:r>
      <w:r w:rsidRPr="00797854">
        <w:rPr>
          <w:sz w:val="20"/>
          <w:szCs w:val="20"/>
        </w:rPr>
        <w:t>,</w:t>
      </w:r>
      <w:r w:rsidRPr="00797854">
        <w:rPr>
          <w:sz w:val="20"/>
          <w:lang w:val="en-GB"/>
        </w:rPr>
        <w:t xml:space="preserve"> </w:t>
      </w:r>
      <w:r w:rsidRPr="00D03A5A">
        <w:rPr>
          <w:sz w:val="20"/>
          <w:lang w:val="en-GB"/>
        </w:rPr>
        <w:t>concerning the usage of information technologies in households and among individuals</w:t>
      </w:r>
      <w:r w:rsidRPr="00D03A5A">
        <w:rPr>
          <w:rStyle w:val="Znakapoznpodarou"/>
          <w:sz w:val="20"/>
          <w:szCs w:val="20"/>
          <w:lang w:val="en-GB"/>
        </w:rPr>
        <w:footnoteReference w:id="55"/>
      </w:r>
      <w:r w:rsidRPr="00D03A5A">
        <w:rPr>
          <w:sz w:val="20"/>
          <w:lang w:val="en-GB"/>
        </w:rPr>
        <w:t xml:space="preserve">, the methods of internet usage by individuals are monitored with respect to public administration. In 2017, the internet was used </w:t>
      </w:r>
      <w:r w:rsidRPr="00D03A5A">
        <w:rPr>
          <w:b/>
          <w:sz w:val="20"/>
          <w:lang w:val="en-GB"/>
        </w:rPr>
        <w:t>for interaction with public authorities</w:t>
      </w:r>
      <w:r w:rsidRPr="00D03A5A">
        <w:rPr>
          <w:rStyle w:val="Znakapoznpodarou"/>
          <w:sz w:val="20"/>
          <w:lang w:val="en-GB"/>
        </w:rPr>
        <w:footnoteReference w:id="56"/>
      </w:r>
      <w:r w:rsidRPr="00D03A5A">
        <w:rPr>
          <w:sz w:val="20"/>
          <w:lang w:val="en-GB"/>
        </w:rPr>
        <w:t xml:space="preserve"> by less than a half (47%) of all internet users, which is more than a third (37%) of all inhabitants over the age of 16. </w:t>
      </w:r>
    </w:p>
    <w:p w:rsidR="0026358E" w:rsidRPr="00C741FE" w:rsidRDefault="0026358E" w:rsidP="0026358E">
      <w:pPr>
        <w:pStyle w:val="Zkladntext"/>
        <w:numPr>
          <w:ilvl w:val="0"/>
          <w:numId w:val="15"/>
        </w:numPr>
        <w:tabs>
          <w:tab w:val="clear" w:pos="360"/>
        </w:tabs>
        <w:spacing w:before="0" w:after="80" w:line="264" w:lineRule="auto"/>
        <w:ind w:left="284" w:hanging="284"/>
        <w:rPr>
          <w:color w:val="FFFFFF" w:themeColor="background1"/>
          <w:sz w:val="20"/>
          <w:lang w:val="en-GB"/>
        </w:rPr>
      </w:pPr>
      <w:bookmarkStart w:id="163" w:name="_Toc533164361"/>
      <w:r w:rsidRPr="00C741FE">
        <w:rPr>
          <w:sz w:val="20"/>
          <w:lang w:val="en-GB"/>
        </w:rPr>
        <w:t>The survey also implies that the highest percentage of users using the internet</w:t>
      </w:r>
      <w:r w:rsidRPr="00C741FE">
        <w:rPr>
          <w:sz w:val="20"/>
          <w:szCs w:val="20"/>
        </w:rPr>
        <w:t>,</w:t>
      </w:r>
      <w:r w:rsidRPr="00C741FE">
        <w:rPr>
          <w:sz w:val="20"/>
          <w:lang w:val="en-GB"/>
        </w:rPr>
        <w:t xml:space="preserve"> for interaction with public authorities</w:t>
      </w:r>
      <w:r w:rsidRPr="00C741FE">
        <w:rPr>
          <w:sz w:val="20"/>
          <w:szCs w:val="20"/>
        </w:rPr>
        <w:t>,</w:t>
      </w:r>
      <w:r w:rsidRPr="00C741FE">
        <w:rPr>
          <w:sz w:val="20"/>
          <w:lang w:val="en-GB"/>
        </w:rPr>
        <w:t xml:space="preserve"> may be found among university graduates – in 2017, this option was used by nearly two thirds (64%) of them. For interaction with public administration, the internet is frequently used by women on parental leave and persons aged 35–44 – in both of these cases 54% of the persons belonging to this category used this option in 2017. With respect to age, the internet is used the least for the interaction with public administration by users</w:t>
      </w:r>
      <w:r w:rsidRPr="00C741FE">
        <w:rPr>
          <w:color w:val="FF0000"/>
          <w:sz w:val="20"/>
          <w:lang w:val="en-GB"/>
        </w:rPr>
        <w:t xml:space="preserve"> </w:t>
      </w:r>
      <w:r w:rsidRPr="00C741FE">
        <w:rPr>
          <w:sz w:val="20"/>
          <w:lang w:val="en-GB"/>
        </w:rPr>
        <w:t>aged 16–24 and, above all, by users over the age of 65.</w:t>
      </w:r>
      <w:bookmarkEnd w:id="163"/>
    </w:p>
    <w:p w:rsidR="0026358E" w:rsidRPr="00797854" w:rsidRDefault="0026358E" w:rsidP="0026358E">
      <w:pPr>
        <w:pStyle w:val="Zkladntext"/>
        <w:spacing w:before="0" w:after="120" w:line="264" w:lineRule="auto"/>
        <w:rPr>
          <w:sz w:val="14"/>
          <w:szCs w:val="14"/>
          <w:lang w:val="en-GB"/>
        </w:rPr>
      </w:pPr>
      <w:r>
        <w:rPr>
          <w:noProof/>
        </w:rPr>
        <w:drawing>
          <wp:inline distT="0" distB="0" distL="0" distR="0" wp14:anchorId="54802CBA" wp14:editId="5440B0B0">
            <wp:extent cx="3024000" cy="3420000"/>
            <wp:effectExtent l="0" t="0" r="5080" b="9525"/>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r w:rsidRPr="00D03A5A">
        <w:rPr>
          <w:lang w:val="en-GB"/>
        </w:rPr>
        <w:t xml:space="preserve"> </w:t>
      </w:r>
      <w:r w:rsidRPr="00D03A5A">
        <w:rPr>
          <w:noProof/>
        </w:rPr>
        <w:drawing>
          <wp:inline distT="0" distB="0" distL="0" distR="0" wp14:anchorId="50C736F7" wp14:editId="05947235">
            <wp:extent cx="3048000" cy="3419475"/>
            <wp:effectExtent l="0" t="0" r="0" b="28575"/>
            <wp:docPr id="202" name="Graf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 xml:space="preserve">With respect to internet activities concerning public administration, individuals in the Czech Republic use the internet most frequently to </w:t>
      </w:r>
      <w:r w:rsidRPr="00D03A5A">
        <w:rPr>
          <w:b/>
          <w:sz w:val="20"/>
          <w:lang w:val="en-GB"/>
        </w:rPr>
        <w:t>seek information</w:t>
      </w:r>
      <w:r w:rsidRPr="00D03A5A">
        <w:rPr>
          <w:sz w:val="20"/>
          <w:lang w:val="en-GB"/>
        </w:rPr>
        <w:t xml:space="preserve"> on public authorities’ websites. In 2017, this activity was performed by approximately a third (34%) of persons over the age of 16</w:t>
      </w:r>
      <w:r w:rsidRPr="006926EE">
        <w:rPr>
          <w:sz w:val="20"/>
          <w:szCs w:val="20"/>
        </w:rPr>
        <w:t>,</w:t>
      </w:r>
      <w:r w:rsidRPr="006926EE">
        <w:rPr>
          <w:sz w:val="20"/>
          <w:lang w:val="en-GB"/>
        </w:rPr>
        <w:t xml:space="preserve"> </w:t>
      </w:r>
      <w:r w:rsidRPr="00D03A5A">
        <w:rPr>
          <w:sz w:val="20"/>
          <w:lang w:val="en-GB"/>
        </w:rPr>
        <w:t>compared to less than a fifth (19%) in 2010.</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lastRenderedPageBreak/>
        <w:t>Other internet activities</w:t>
      </w:r>
      <w:r w:rsidRPr="006926EE">
        <w:rPr>
          <w:sz w:val="20"/>
          <w:szCs w:val="20"/>
        </w:rPr>
        <w:t>,</w:t>
      </w:r>
      <w:r w:rsidRPr="006926EE">
        <w:rPr>
          <w:sz w:val="20"/>
          <w:lang w:val="en-GB"/>
        </w:rPr>
        <w:t xml:space="preserve"> </w:t>
      </w:r>
      <w:r w:rsidRPr="00D03A5A">
        <w:rPr>
          <w:sz w:val="20"/>
          <w:lang w:val="en-GB"/>
        </w:rPr>
        <w:t xml:space="preserve">concerning public </w:t>
      </w:r>
      <w:r w:rsidRPr="006926EE">
        <w:rPr>
          <w:sz w:val="20"/>
          <w:lang w:val="en-GB"/>
        </w:rPr>
        <w:t>administration</w:t>
      </w:r>
      <w:r w:rsidRPr="006926EE">
        <w:rPr>
          <w:sz w:val="20"/>
          <w:szCs w:val="20"/>
        </w:rPr>
        <w:t>,</w:t>
      </w:r>
      <w:r w:rsidRPr="00D03A5A">
        <w:rPr>
          <w:sz w:val="20"/>
          <w:lang w:val="en-GB"/>
        </w:rPr>
        <w:t xml:space="preserve"> have not been this popular. In 2017, 16% of individuals </w:t>
      </w:r>
      <w:r w:rsidRPr="00D03A5A">
        <w:rPr>
          <w:b/>
          <w:sz w:val="20"/>
          <w:lang w:val="en-GB"/>
        </w:rPr>
        <w:t>communicated</w:t>
      </w:r>
      <w:r w:rsidRPr="00D03A5A">
        <w:rPr>
          <w:sz w:val="20"/>
          <w:lang w:val="en-GB"/>
        </w:rPr>
        <w:t xml:space="preserve"> with public authorities </w:t>
      </w:r>
      <w:r w:rsidRPr="00D03A5A">
        <w:rPr>
          <w:b/>
          <w:sz w:val="20"/>
          <w:lang w:val="en-GB"/>
        </w:rPr>
        <w:t>by email</w:t>
      </w:r>
      <w:r w:rsidRPr="00D03A5A">
        <w:rPr>
          <w:sz w:val="20"/>
          <w:lang w:val="en-GB"/>
        </w:rPr>
        <w:t xml:space="preserve">, and a similar share (15%) </w:t>
      </w:r>
      <w:r w:rsidRPr="00D03A5A">
        <w:rPr>
          <w:b/>
          <w:sz w:val="20"/>
          <w:lang w:val="en-GB"/>
        </w:rPr>
        <w:t>downloaded a form</w:t>
      </w:r>
      <w:r w:rsidRPr="00D03A5A">
        <w:rPr>
          <w:sz w:val="20"/>
          <w:lang w:val="en-GB"/>
        </w:rPr>
        <w:t xml:space="preserve"> from the website of the given institution. Even a lower number of persons – approx. a tenth (11%) – </w:t>
      </w:r>
      <w:r w:rsidRPr="00D03A5A">
        <w:rPr>
          <w:b/>
          <w:sz w:val="20"/>
          <w:lang w:val="en-GB"/>
        </w:rPr>
        <w:t>filled-i</w:t>
      </w:r>
      <w:r w:rsidRPr="001F5976">
        <w:rPr>
          <w:b/>
          <w:sz w:val="20"/>
          <w:lang w:val="en-GB"/>
        </w:rPr>
        <w:t>n</w:t>
      </w:r>
      <w:r w:rsidRPr="006926EE">
        <w:rPr>
          <w:b/>
          <w:sz w:val="20"/>
          <w:szCs w:val="20"/>
        </w:rPr>
        <w:t>,</w:t>
      </w:r>
      <w:r w:rsidRPr="006926EE">
        <w:rPr>
          <w:b/>
          <w:sz w:val="20"/>
          <w:lang w:val="en-GB"/>
        </w:rPr>
        <w:t xml:space="preserve"> </w:t>
      </w:r>
      <w:r w:rsidRPr="00D03A5A">
        <w:rPr>
          <w:b/>
          <w:sz w:val="20"/>
          <w:lang w:val="en-GB"/>
        </w:rPr>
        <w:t>and submitted</w:t>
      </w:r>
      <w:r w:rsidRPr="006926EE">
        <w:rPr>
          <w:b/>
          <w:sz w:val="20"/>
          <w:szCs w:val="20"/>
        </w:rPr>
        <w:t>,</w:t>
      </w:r>
      <w:r w:rsidRPr="00D03A5A">
        <w:rPr>
          <w:b/>
          <w:sz w:val="20"/>
          <w:lang w:val="en-GB"/>
        </w:rPr>
        <w:t xml:space="preserve"> the form to public authorities via the internet</w:t>
      </w:r>
      <w:r w:rsidRPr="00D03A5A">
        <w:rPr>
          <w:sz w:val="20"/>
          <w:lang w:val="en-GB"/>
        </w:rPr>
        <w:t xml:space="preserve">. </w:t>
      </w:r>
    </w:p>
    <w:p w:rsidR="0026358E" w:rsidRPr="00D03A5A" w:rsidRDefault="0026358E" w:rsidP="0026358E">
      <w:pPr>
        <w:pStyle w:val="Zkladntext"/>
        <w:numPr>
          <w:ilvl w:val="0"/>
          <w:numId w:val="15"/>
        </w:numPr>
        <w:tabs>
          <w:tab w:val="clear" w:pos="360"/>
        </w:tabs>
        <w:spacing w:before="0" w:after="80" w:line="264" w:lineRule="auto"/>
        <w:ind w:left="284" w:hanging="284"/>
        <w:rPr>
          <w:sz w:val="20"/>
          <w:lang w:val="en-GB"/>
        </w:rPr>
      </w:pPr>
      <w:r w:rsidRPr="00D03A5A">
        <w:rPr>
          <w:sz w:val="20"/>
          <w:lang w:val="en-GB"/>
        </w:rPr>
        <w:t>Precisely the option to fill in and submit a form online</w:t>
      </w:r>
      <w:r w:rsidRPr="006926EE">
        <w:rPr>
          <w:sz w:val="20"/>
          <w:szCs w:val="20"/>
        </w:rPr>
        <w:t>,</w:t>
      </w:r>
      <w:r w:rsidRPr="006926EE">
        <w:rPr>
          <w:sz w:val="20"/>
          <w:lang w:val="en-GB"/>
        </w:rPr>
        <w:t xml:space="preserve"> </w:t>
      </w:r>
      <w:r w:rsidRPr="00D03A5A">
        <w:rPr>
          <w:sz w:val="20"/>
          <w:lang w:val="en-GB"/>
        </w:rPr>
        <w:t xml:space="preserve">from the person’s home or from any other </w:t>
      </w:r>
      <w:r w:rsidRPr="006926EE">
        <w:rPr>
          <w:sz w:val="20"/>
          <w:lang w:val="en-GB"/>
        </w:rPr>
        <w:t>place</w:t>
      </w:r>
      <w:r w:rsidRPr="006926EE">
        <w:rPr>
          <w:sz w:val="20"/>
          <w:szCs w:val="20"/>
        </w:rPr>
        <w:t>,</w:t>
      </w:r>
      <w:r w:rsidRPr="00D03A5A">
        <w:rPr>
          <w:sz w:val="20"/>
          <w:lang w:val="en-GB"/>
        </w:rPr>
        <w:t xml:space="preserve"> forms part of so called eGovernment, which represents another phase of computerization of public administration. The vast majority of the population in the Czech Republic (89% in 2017) has not been using the option to fill in and submit forms </w:t>
      </w:r>
      <w:r w:rsidRPr="006926EE">
        <w:rPr>
          <w:sz w:val="20"/>
          <w:lang w:val="en-GB"/>
        </w:rPr>
        <w:t>electronically</w:t>
      </w:r>
      <w:r w:rsidRPr="006926EE">
        <w:rPr>
          <w:sz w:val="20"/>
          <w:szCs w:val="20"/>
        </w:rPr>
        <w:t>,</w:t>
      </w:r>
      <w:r w:rsidRPr="00D03A5A">
        <w:rPr>
          <w:sz w:val="20"/>
          <w:lang w:val="en-GB"/>
        </w:rPr>
        <w:t xml:space="preserve"> yet. The most common </w:t>
      </w:r>
      <w:r w:rsidRPr="006926EE">
        <w:rPr>
          <w:sz w:val="20"/>
          <w:lang w:val="en-GB"/>
        </w:rPr>
        <w:t>reason</w:t>
      </w:r>
      <w:r w:rsidRPr="006926EE">
        <w:rPr>
          <w:sz w:val="20"/>
          <w:szCs w:val="20"/>
        </w:rPr>
        <w:t>,</w:t>
      </w:r>
      <w:r w:rsidRPr="006926EE">
        <w:rPr>
          <w:sz w:val="20"/>
          <w:lang w:val="en-GB"/>
        </w:rPr>
        <w:t xml:space="preserve"> </w:t>
      </w:r>
      <w:r w:rsidRPr="00D03A5A">
        <w:rPr>
          <w:sz w:val="20"/>
          <w:lang w:val="en-GB"/>
        </w:rPr>
        <w:t xml:space="preserve">why adult Czech citizens did not complete and submit online forms to authorities in </w:t>
      </w:r>
      <w:r w:rsidRPr="006926EE">
        <w:rPr>
          <w:sz w:val="20"/>
          <w:lang w:val="en-GB"/>
        </w:rPr>
        <w:t>2017</w:t>
      </w:r>
      <w:r w:rsidRPr="006926EE">
        <w:rPr>
          <w:sz w:val="20"/>
          <w:szCs w:val="20"/>
        </w:rPr>
        <w:t>,</w:t>
      </w:r>
      <w:r w:rsidRPr="00D03A5A">
        <w:rPr>
          <w:sz w:val="20"/>
          <w:lang w:val="en-GB"/>
        </w:rPr>
        <w:t xml:space="preserve"> was that </w:t>
      </w:r>
      <w:r w:rsidRPr="00D03A5A">
        <w:rPr>
          <w:b/>
          <w:sz w:val="20"/>
          <w:lang w:val="en-GB"/>
        </w:rPr>
        <w:t>they had no need to fill in any form</w:t>
      </w:r>
      <w:r w:rsidRPr="00D03A5A">
        <w:rPr>
          <w:sz w:val="20"/>
          <w:lang w:val="en-GB"/>
        </w:rPr>
        <w:t xml:space="preserve">. This was the response of nearly a half of all persons (47%). A quarter of all individuals (24%) stated that they had not used the online forms because they </w:t>
      </w:r>
      <w:r w:rsidRPr="00D03A5A">
        <w:rPr>
          <w:b/>
          <w:sz w:val="20"/>
          <w:lang w:val="en-GB"/>
        </w:rPr>
        <w:t>did not use the interne</w:t>
      </w:r>
      <w:r w:rsidRPr="006926EE">
        <w:rPr>
          <w:b/>
          <w:sz w:val="20"/>
          <w:lang w:val="en-GB"/>
        </w:rPr>
        <w:t>t</w:t>
      </w:r>
      <w:r w:rsidRPr="006926EE">
        <w:rPr>
          <w:sz w:val="20"/>
          <w:szCs w:val="20"/>
        </w:rPr>
        <w:t>,</w:t>
      </w:r>
      <w:r w:rsidRPr="006926EE">
        <w:rPr>
          <w:sz w:val="20"/>
          <w:lang w:val="en-GB"/>
        </w:rPr>
        <w:t xml:space="preserve"> </w:t>
      </w:r>
      <w:r w:rsidRPr="00D03A5A">
        <w:rPr>
          <w:sz w:val="20"/>
          <w:lang w:val="en-GB"/>
        </w:rPr>
        <w:t xml:space="preserve">and the other individuals (30%) provided other reasons for not using it, such as insufficient knowledge, skills, concern over personal data protection, or that someone else had submitted the form for them. Some of them also stated that they had wished to fill in the form </w:t>
      </w:r>
      <w:r w:rsidRPr="006926EE">
        <w:rPr>
          <w:sz w:val="20"/>
          <w:lang w:val="en-GB"/>
        </w:rPr>
        <w:t>online</w:t>
      </w:r>
      <w:r w:rsidRPr="006926EE">
        <w:rPr>
          <w:sz w:val="20"/>
          <w:szCs w:val="20"/>
        </w:rPr>
        <w:t>,</w:t>
      </w:r>
      <w:r w:rsidRPr="006926EE">
        <w:rPr>
          <w:sz w:val="20"/>
          <w:lang w:val="en-GB"/>
        </w:rPr>
        <w:t xml:space="preserve"> </w:t>
      </w:r>
      <w:r w:rsidRPr="00D03A5A">
        <w:rPr>
          <w:sz w:val="20"/>
          <w:lang w:val="en-GB"/>
        </w:rPr>
        <w:t xml:space="preserve">but the required form was not available online at </w:t>
      </w:r>
      <w:r w:rsidRPr="006926EE">
        <w:rPr>
          <w:sz w:val="20"/>
          <w:lang w:val="en-GB"/>
        </w:rPr>
        <w:t>the</w:t>
      </w:r>
      <w:r w:rsidRPr="001F5976">
        <w:rPr>
          <w:color w:val="FF0000"/>
          <w:sz w:val="20"/>
          <w:lang w:val="en-GB"/>
        </w:rPr>
        <w:t xml:space="preserve"> </w:t>
      </w:r>
      <w:r w:rsidRPr="00D03A5A">
        <w:rPr>
          <w:sz w:val="20"/>
          <w:lang w:val="en-GB"/>
        </w:rPr>
        <w:t>time.</w:t>
      </w:r>
    </w:p>
    <w:p w:rsidR="0026358E" w:rsidRPr="00D03A5A" w:rsidRDefault="0026358E" w:rsidP="0026358E">
      <w:pPr>
        <w:pStyle w:val="Zkladntext"/>
        <w:numPr>
          <w:ilvl w:val="0"/>
          <w:numId w:val="15"/>
        </w:numPr>
        <w:tabs>
          <w:tab w:val="clear" w:pos="360"/>
        </w:tabs>
        <w:spacing w:before="0" w:after="80" w:line="264" w:lineRule="auto"/>
        <w:ind w:left="284" w:hanging="284"/>
        <w:rPr>
          <w:sz w:val="20"/>
          <w:szCs w:val="20"/>
          <w:lang w:val="en-GB"/>
        </w:rPr>
      </w:pPr>
      <w:r w:rsidRPr="006926EE">
        <w:rPr>
          <w:sz w:val="20"/>
          <w:szCs w:val="20"/>
          <w:lang w:val="en-GB"/>
        </w:rPr>
        <w:t xml:space="preserve">With regards to </w:t>
      </w:r>
      <w:r w:rsidRPr="00D03A5A">
        <w:rPr>
          <w:sz w:val="20"/>
          <w:szCs w:val="20"/>
          <w:lang w:val="en-GB"/>
        </w:rPr>
        <w:t>the usage of the internet for interaction with public authorities</w:t>
      </w:r>
      <w:r w:rsidRPr="00D03A5A">
        <w:rPr>
          <w:rStyle w:val="Znakapoznpodarou"/>
          <w:sz w:val="20"/>
          <w:szCs w:val="20"/>
          <w:lang w:val="en-GB"/>
        </w:rPr>
        <w:footnoteReference w:id="57"/>
      </w:r>
      <w:r w:rsidRPr="006926EE">
        <w:rPr>
          <w:sz w:val="20"/>
          <w:szCs w:val="20"/>
        </w:rPr>
        <w:t>,</w:t>
      </w:r>
      <w:r w:rsidRPr="00D03A5A">
        <w:rPr>
          <w:sz w:val="20"/>
          <w:szCs w:val="20"/>
          <w:lang w:val="en-GB"/>
        </w:rPr>
        <w:t xml:space="preserve"> for selected activities </w:t>
      </w:r>
      <w:r w:rsidRPr="00D03A5A">
        <w:rPr>
          <w:b/>
          <w:sz w:val="20"/>
          <w:szCs w:val="20"/>
          <w:lang w:val="en-GB"/>
        </w:rPr>
        <w:t>in EU countries</w:t>
      </w:r>
      <w:r w:rsidRPr="00D03A5A">
        <w:rPr>
          <w:sz w:val="20"/>
          <w:szCs w:val="20"/>
          <w:lang w:val="en-GB"/>
        </w:rPr>
        <w:t xml:space="preserve">, the Czech Republic </w:t>
      </w:r>
      <w:r w:rsidRPr="006926EE">
        <w:rPr>
          <w:sz w:val="20"/>
          <w:szCs w:val="20"/>
          <w:lang w:val="en-GB"/>
        </w:rPr>
        <w:t xml:space="preserve">is still </w:t>
      </w:r>
      <w:r w:rsidRPr="00D03A5A">
        <w:rPr>
          <w:sz w:val="20"/>
          <w:szCs w:val="20"/>
          <w:lang w:val="en-GB"/>
        </w:rPr>
        <w:t xml:space="preserve">below average. In 2017, the internet was used for the interaction with public </w:t>
      </w:r>
      <w:r w:rsidRPr="006926EE">
        <w:rPr>
          <w:sz w:val="20"/>
          <w:szCs w:val="20"/>
          <w:lang w:val="en-GB"/>
        </w:rPr>
        <w:t>administration</w:t>
      </w:r>
      <w:r w:rsidRPr="006926EE">
        <w:rPr>
          <w:sz w:val="20"/>
          <w:szCs w:val="20"/>
        </w:rPr>
        <w:t>,</w:t>
      </w:r>
      <w:r w:rsidRPr="006926EE">
        <w:rPr>
          <w:sz w:val="20"/>
          <w:szCs w:val="20"/>
          <w:lang w:val="en-GB"/>
        </w:rPr>
        <w:t xml:space="preserve"> by an </w:t>
      </w:r>
      <w:r w:rsidRPr="00D03A5A">
        <w:rPr>
          <w:sz w:val="20"/>
          <w:szCs w:val="20"/>
          <w:lang w:val="en-GB"/>
        </w:rPr>
        <w:t xml:space="preserve">average of 49% of individuals aged 16–74 in the EU, however, only 46% in the Czech Republic. The highest percentage of </w:t>
      </w:r>
      <w:r w:rsidRPr="006926EE">
        <w:rPr>
          <w:sz w:val="20"/>
          <w:szCs w:val="20"/>
          <w:lang w:val="en-GB"/>
        </w:rPr>
        <w:t>individuals</w:t>
      </w:r>
      <w:r w:rsidRPr="006926EE">
        <w:rPr>
          <w:sz w:val="20"/>
          <w:szCs w:val="20"/>
        </w:rPr>
        <w:t>,</w:t>
      </w:r>
      <w:r w:rsidRPr="006926EE">
        <w:rPr>
          <w:sz w:val="20"/>
          <w:szCs w:val="20"/>
          <w:lang w:val="en-GB"/>
        </w:rPr>
        <w:t xml:space="preserve"> </w:t>
      </w:r>
      <w:r w:rsidRPr="00D03A5A">
        <w:rPr>
          <w:sz w:val="20"/>
          <w:szCs w:val="20"/>
          <w:lang w:val="en-GB"/>
        </w:rPr>
        <w:t xml:space="preserve">using the internet with respect to public administration </w:t>
      </w:r>
      <w:r w:rsidRPr="006926EE">
        <w:rPr>
          <w:sz w:val="20"/>
          <w:szCs w:val="20"/>
          <w:lang w:val="en-GB"/>
        </w:rPr>
        <w:t>institutions</w:t>
      </w:r>
      <w:r w:rsidRPr="006926EE">
        <w:rPr>
          <w:sz w:val="20"/>
          <w:szCs w:val="20"/>
        </w:rPr>
        <w:t>,</w:t>
      </w:r>
      <w:r w:rsidRPr="006926EE">
        <w:rPr>
          <w:sz w:val="20"/>
          <w:szCs w:val="20"/>
          <w:lang w:val="en-GB"/>
        </w:rPr>
        <w:t xml:space="preserve"> </w:t>
      </w:r>
      <w:r w:rsidRPr="00D03A5A">
        <w:rPr>
          <w:sz w:val="20"/>
          <w:szCs w:val="20"/>
          <w:lang w:val="en-GB"/>
        </w:rPr>
        <w:t>can be found in the Nordic states, in the Netherlands, and in Estonia.</w:t>
      </w:r>
    </w:p>
    <w:p w:rsidR="0026358E" w:rsidRDefault="0026358E" w:rsidP="0026358E">
      <w:pPr>
        <w:pStyle w:val="Zkladntext"/>
        <w:spacing w:before="0" w:after="100" w:line="264" w:lineRule="auto"/>
        <w:rPr>
          <w:b/>
          <w:bCs/>
          <w:sz w:val="20"/>
          <w:szCs w:val="20"/>
          <w:lang w:val="en-GB"/>
        </w:rPr>
      </w:pPr>
      <w:r w:rsidRPr="00D03A5A">
        <w:rPr>
          <w:noProof/>
        </w:rPr>
        <w:drawing>
          <wp:inline distT="0" distB="0" distL="0" distR="0" wp14:anchorId="2AEE11E1" wp14:editId="0A30A82D">
            <wp:extent cx="6047740" cy="3429000"/>
            <wp:effectExtent l="0" t="0" r="0" b="0"/>
            <wp:docPr id="203" name="Graf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B46EA" w:rsidRDefault="0026358E" w:rsidP="00232B62">
      <w:pPr>
        <w:pStyle w:val="Zkladntext"/>
        <w:numPr>
          <w:ilvl w:val="0"/>
          <w:numId w:val="15"/>
        </w:numPr>
        <w:tabs>
          <w:tab w:val="clear" w:pos="360"/>
        </w:tabs>
        <w:spacing w:before="0" w:line="264" w:lineRule="auto"/>
        <w:ind w:left="284" w:hanging="284"/>
        <w:rPr>
          <w:sz w:val="20"/>
          <w:szCs w:val="20"/>
          <w:lang w:val="en-GB"/>
        </w:rPr>
      </w:pPr>
      <w:r w:rsidRPr="00EE0E4F">
        <w:rPr>
          <w:sz w:val="20"/>
          <w:szCs w:val="20"/>
          <w:lang w:val="en-GB"/>
        </w:rPr>
        <w:t>Whereas in some EU countries, such as Estonia, Ireland or the Nordic states, the online filling-in and submitting of forms is common for the interaction with public authorities, Czech citizens are more passive in interaction with public authorities, and they use the internet mainly for information seeking on the public authority’s website. In aforementioned Estonia, in 2017, a form was filled-in and submitted via the internet by 70% of individuals, whereas in the Czech Republic the total was solely 14%. The EU-average was 30%.</w:t>
      </w:r>
      <w:bookmarkEnd w:id="154"/>
    </w:p>
    <w:p w:rsidR="007B46EA" w:rsidRDefault="007B46EA">
      <w:pPr>
        <w:spacing w:after="0" w:line="240" w:lineRule="auto"/>
        <w:rPr>
          <w:szCs w:val="20"/>
        </w:rPr>
      </w:pPr>
      <w:r>
        <w:rPr>
          <w:szCs w:val="20"/>
        </w:rPr>
        <w:br w:type="page"/>
      </w:r>
    </w:p>
    <w:p w:rsidR="007B46EA" w:rsidRPr="00772C40" w:rsidRDefault="007B46EA" w:rsidP="007B46EA">
      <w:pPr>
        <w:pStyle w:val="Nadpis1"/>
      </w:pPr>
      <w:bookmarkStart w:id="164" w:name="_Toc533697546"/>
      <w:bookmarkStart w:id="165" w:name="_Toc534712045"/>
      <w:r w:rsidRPr="00772C40">
        <w:lastRenderedPageBreak/>
        <w:t>Chapter F Education</w:t>
      </w:r>
      <w:r>
        <w:t xml:space="preserve"> and ICT</w:t>
      </w:r>
      <w:bookmarkEnd w:id="164"/>
      <w:bookmarkEnd w:id="165"/>
    </w:p>
    <w:p w:rsidR="007B46EA" w:rsidRPr="0009210F" w:rsidRDefault="007B46EA" w:rsidP="007B46EA">
      <w:pPr>
        <w:pStyle w:val="Zkladntext"/>
        <w:spacing w:before="0" w:after="80" w:line="264" w:lineRule="auto"/>
        <w:rPr>
          <w:i/>
          <w:sz w:val="20"/>
          <w:lang w:val="en-GB"/>
        </w:rPr>
      </w:pPr>
      <w:r w:rsidRPr="0009210F">
        <w:rPr>
          <w:i/>
          <w:sz w:val="20"/>
          <w:lang w:val="en-GB"/>
        </w:rPr>
        <w:t xml:space="preserve">Information and communication technology </w:t>
      </w:r>
      <w:r w:rsidRPr="00100737">
        <w:rPr>
          <w:i/>
          <w:sz w:val="20"/>
          <w:lang w:val="en-GB"/>
        </w:rPr>
        <w:t xml:space="preserve">is of course a matter of interest for </w:t>
      </w:r>
      <w:r w:rsidRPr="0009210F">
        <w:rPr>
          <w:i/>
          <w:sz w:val="20"/>
          <w:lang w:val="en-GB"/>
        </w:rPr>
        <w:t>students these days – most of them have never experienced life without the internet, thus they cannot imagine their lives to be offline</w:t>
      </w:r>
      <w:r w:rsidRPr="0009210F">
        <w:rPr>
          <w:rStyle w:val="Znakapoznpodarou"/>
          <w:i/>
          <w:sz w:val="20"/>
          <w:lang w:val="en-GB"/>
        </w:rPr>
        <w:footnoteReference w:id="58"/>
      </w:r>
      <w:r w:rsidRPr="0009210F">
        <w:rPr>
          <w:i/>
          <w:sz w:val="20"/>
          <w:lang w:val="en-GB"/>
        </w:rPr>
        <w:t>.</w:t>
      </w:r>
    </w:p>
    <w:p w:rsidR="007B46EA" w:rsidRPr="0009210F" w:rsidRDefault="007B46EA" w:rsidP="007B46EA">
      <w:pPr>
        <w:pStyle w:val="Zkladntext"/>
        <w:spacing w:before="0" w:after="80" w:line="264" w:lineRule="auto"/>
        <w:rPr>
          <w:i/>
          <w:sz w:val="20"/>
          <w:lang w:val="en-GB"/>
        </w:rPr>
      </w:pPr>
      <w:r w:rsidRPr="0009210F">
        <w:rPr>
          <w:i/>
          <w:sz w:val="20"/>
          <w:lang w:val="en-GB"/>
        </w:rPr>
        <w:t xml:space="preserve">Nevertheless, adequate knowledge or education in the ICT </w:t>
      </w:r>
      <w:r w:rsidRPr="00100737">
        <w:rPr>
          <w:i/>
          <w:sz w:val="20"/>
          <w:lang w:val="en-GB"/>
        </w:rPr>
        <w:t>area</w:t>
      </w:r>
      <w:r w:rsidRPr="00100737">
        <w:rPr>
          <w:i/>
          <w:sz w:val="20"/>
          <w:szCs w:val="20"/>
        </w:rPr>
        <w:t>,</w:t>
      </w:r>
      <w:r w:rsidRPr="00100737">
        <w:rPr>
          <w:i/>
          <w:sz w:val="20"/>
          <w:lang w:val="en-GB"/>
        </w:rPr>
        <w:t xml:space="preserve"> does not solely </w:t>
      </w:r>
      <w:r w:rsidRPr="0009210F">
        <w:rPr>
          <w:i/>
          <w:sz w:val="20"/>
          <w:lang w:val="en-GB"/>
        </w:rPr>
        <w:t xml:space="preserve">concern the young generation. </w:t>
      </w:r>
      <w:r w:rsidRPr="00100737">
        <w:rPr>
          <w:i/>
          <w:sz w:val="20"/>
          <w:lang w:val="en-GB"/>
        </w:rPr>
        <w:t>Every day</w:t>
      </w:r>
      <w:r w:rsidRPr="0009210F">
        <w:rPr>
          <w:i/>
          <w:color w:val="FF0000"/>
          <w:sz w:val="20"/>
          <w:lang w:val="en-GB"/>
        </w:rPr>
        <w:t xml:space="preserve"> </w:t>
      </w:r>
      <w:r w:rsidRPr="0009210F">
        <w:rPr>
          <w:i/>
          <w:sz w:val="20"/>
          <w:lang w:val="en-GB"/>
        </w:rPr>
        <w:t xml:space="preserve">or occasional contact with ICT in our work life and leisure </w:t>
      </w:r>
      <w:r w:rsidRPr="00100737">
        <w:rPr>
          <w:i/>
          <w:sz w:val="20"/>
          <w:lang w:val="en-GB"/>
        </w:rPr>
        <w:t>time</w:t>
      </w:r>
      <w:r w:rsidRPr="00100737">
        <w:rPr>
          <w:i/>
          <w:sz w:val="20"/>
          <w:szCs w:val="20"/>
        </w:rPr>
        <w:t>,</w:t>
      </w:r>
      <w:r w:rsidRPr="00100737">
        <w:rPr>
          <w:i/>
          <w:sz w:val="20"/>
          <w:lang w:val="en-GB"/>
        </w:rPr>
        <w:t xml:space="preserve"> creates pressure on </w:t>
      </w:r>
      <w:r w:rsidRPr="0009210F">
        <w:rPr>
          <w:i/>
          <w:sz w:val="20"/>
          <w:lang w:val="en-GB"/>
        </w:rPr>
        <w:t xml:space="preserve">nearly </w:t>
      </w:r>
      <w:r w:rsidRPr="00100737">
        <w:rPr>
          <w:i/>
          <w:sz w:val="20"/>
          <w:lang w:val="en-GB"/>
        </w:rPr>
        <w:t xml:space="preserve">everyone to be able to </w:t>
      </w:r>
      <w:r w:rsidRPr="0009210F">
        <w:rPr>
          <w:i/>
          <w:sz w:val="20"/>
          <w:lang w:val="en-GB"/>
        </w:rPr>
        <w:t xml:space="preserve">acquire computer and digital skills. Working with computers or the </w:t>
      </w:r>
      <w:r w:rsidRPr="00100737">
        <w:rPr>
          <w:i/>
          <w:sz w:val="20"/>
          <w:lang w:val="en-GB"/>
        </w:rPr>
        <w:t>internet</w:t>
      </w:r>
      <w:r w:rsidRPr="00100737">
        <w:rPr>
          <w:i/>
          <w:sz w:val="20"/>
          <w:szCs w:val="20"/>
        </w:rPr>
        <w:t>,</w:t>
      </w:r>
      <w:r w:rsidRPr="0009210F">
        <w:rPr>
          <w:i/>
          <w:sz w:val="20"/>
          <w:lang w:val="en-GB"/>
        </w:rPr>
        <w:t xml:space="preserve"> no longer belongs to the world of highly educated and enthusiastic individuals, but to most of us</w:t>
      </w:r>
      <w:r w:rsidRPr="00100737">
        <w:rPr>
          <w:i/>
          <w:sz w:val="20"/>
          <w:szCs w:val="20"/>
        </w:rPr>
        <w:t xml:space="preserve">, as </w:t>
      </w:r>
      <w:r w:rsidRPr="009769CA">
        <w:rPr>
          <w:i/>
          <w:sz w:val="20"/>
          <w:szCs w:val="20"/>
          <w:lang w:val="en-GB"/>
        </w:rPr>
        <w:t>it</w:t>
      </w:r>
      <w:r w:rsidRPr="00100737">
        <w:rPr>
          <w:i/>
          <w:sz w:val="20"/>
          <w:szCs w:val="20"/>
        </w:rPr>
        <w:t xml:space="preserve"> has</w:t>
      </w:r>
      <w:r w:rsidRPr="00100737">
        <w:rPr>
          <w:i/>
          <w:sz w:val="20"/>
          <w:lang w:val="en-GB"/>
        </w:rPr>
        <w:t xml:space="preserve"> become</w:t>
      </w:r>
      <w:r w:rsidRPr="0009210F">
        <w:rPr>
          <w:i/>
          <w:color w:val="FF0000"/>
          <w:sz w:val="20"/>
          <w:lang w:val="en-GB"/>
        </w:rPr>
        <w:t xml:space="preserve"> </w:t>
      </w:r>
      <w:r w:rsidRPr="0009210F">
        <w:rPr>
          <w:i/>
          <w:sz w:val="20"/>
          <w:lang w:val="en-GB"/>
        </w:rPr>
        <w:t xml:space="preserve">a routine part of everyday lives. </w:t>
      </w:r>
    </w:p>
    <w:p w:rsidR="007B46EA" w:rsidRPr="0009210F" w:rsidRDefault="007B46EA" w:rsidP="007B46EA">
      <w:pPr>
        <w:pStyle w:val="Zkladntext"/>
        <w:spacing w:before="0" w:after="80" w:line="264" w:lineRule="auto"/>
        <w:rPr>
          <w:i/>
          <w:sz w:val="20"/>
          <w:lang w:val="en-GB"/>
        </w:rPr>
      </w:pPr>
      <w:r w:rsidRPr="0009210F">
        <w:rPr>
          <w:i/>
          <w:sz w:val="20"/>
          <w:lang w:val="en-GB"/>
        </w:rPr>
        <w:t xml:space="preserve">The field of ICT development requires a sufficient structure of </w:t>
      </w:r>
      <w:r w:rsidRPr="00100737">
        <w:rPr>
          <w:i/>
          <w:sz w:val="20"/>
          <w:lang w:val="en-GB"/>
        </w:rPr>
        <w:t>specialists</w:t>
      </w:r>
      <w:r w:rsidRPr="00100737">
        <w:rPr>
          <w:i/>
          <w:sz w:val="20"/>
          <w:szCs w:val="20"/>
        </w:rPr>
        <w:t>,</w:t>
      </w:r>
      <w:r w:rsidRPr="0009210F">
        <w:rPr>
          <w:i/>
          <w:sz w:val="20"/>
          <w:lang w:val="en-GB"/>
        </w:rPr>
        <w:t xml:space="preserve"> whose knowledge and skills may contribute to innovative solutions. Expert knowledge in the field of ICT may be attained by studying within the formal education system or within further (non-formal) education or self-study, or alternatively by learning from experience. </w:t>
      </w:r>
    </w:p>
    <w:p w:rsidR="007B46EA" w:rsidRPr="00772C40" w:rsidRDefault="007B46EA" w:rsidP="007B46EA">
      <w:pPr>
        <w:pStyle w:val="Nadpis2"/>
      </w:pPr>
      <w:bookmarkStart w:id="166" w:name="_Toc533697547"/>
      <w:bookmarkStart w:id="167" w:name="_Toc534712046"/>
      <w:r w:rsidRPr="00772C40">
        <w:t>F.1 ICT at schools</w:t>
      </w:r>
      <w:bookmarkEnd w:id="166"/>
      <w:bookmarkEnd w:id="167"/>
    </w:p>
    <w:p w:rsidR="007B46EA" w:rsidRPr="00802F62" w:rsidRDefault="007B46EA" w:rsidP="007B46EA">
      <w:pPr>
        <w:pStyle w:val="Zkladntext"/>
        <w:spacing w:before="0" w:after="80" w:line="264" w:lineRule="auto"/>
        <w:rPr>
          <w:i/>
          <w:sz w:val="20"/>
          <w:lang w:val="en-GB"/>
        </w:rPr>
      </w:pPr>
      <w:r w:rsidRPr="00802F62">
        <w:rPr>
          <w:i/>
          <w:sz w:val="20"/>
          <w:lang w:val="en-GB"/>
        </w:rPr>
        <w:t>It has been a long time since computers at schools were solely located in computer classrooms or teachers’ offices</w:t>
      </w:r>
      <w:r>
        <w:rPr>
          <w:i/>
          <w:sz w:val="20"/>
          <w:lang w:val="en-GB"/>
        </w:rPr>
        <w:t>.</w:t>
      </w:r>
      <w:r w:rsidRPr="00802F62">
        <w:rPr>
          <w:i/>
          <w:sz w:val="20"/>
          <w:lang w:val="en-GB"/>
        </w:rPr>
        <w:t xml:space="preserve"> Increasingly, there are language classrooms or scientific classrooms available at school</w:t>
      </w:r>
      <w:r w:rsidRPr="00100737">
        <w:rPr>
          <w:i/>
          <w:sz w:val="20"/>
          <w:lang w:val="en-GB"/>
        </w:rPr>
        <w:t>s</w:t>
      </w:r>
      <w:r w:rsidRPr="00100737">
        <w:rPr>
          <w:i/>
          <w:sz w:val="20"/>
          <w:szCs w:val="20"/>
        </w:rPr>
        <w:t>,</w:t>
      </w:r>
      <w:r w:rsidRPr="00100737">
        <w:rPr>
          <w:i/>
          <w:sz w:val="20"/>
          <w:lang w:val="en-GB"/>
        </w:rPr>
        <w:t xml:space="preserve"> </w:t>
      </w:r>
      <w:r w:rsidRPr="00802F62">
        <w:rPr>
          <w:i/>
          <w:sz w:val="20"/>
          <w:lang w:val="en-GB"/>
        </w:rPr>
        <w:t xml:space="preserve">which are equipped with multimedia and digital technologies. Whereas in the </w:t>
      </w:r>
      <w:r w:rsidRPr="00100737">
        <w:rPr>
          <w:i/>
          <w:sz w:val="20"/>
          <w:lang w:val="en-GB"/>
        </w:rPr>
        <w:t>past</w:t>
      </w:r>
      <w:r w:rsidRPr="00100737">
        <w:rPr>
          <w:i/>
          <w:sz w:val="20"/>
          <w:szCs w:val="20"/>
        </w:rPr>
        <w:t>,</w:t>
      </w:r>
      <w:r w:rsidRPr="00802F62">
        <w:rPr>
          <w:i/>
          <w:sz w:val="20"/>
          <w:lang w:val="en-GB"/>
        </w:rPr>
        <w:t xml:space="preserve"> pupils/students used to present their papers only verbally, </w:t>
      </w:r>
      <w:r w:rsidRPr="00100737">
        <w:rPr>
          <w:i/>
          <w:sz w:val="20"/>
          <w:lang w:val="en-GB"/>
        </w:rPr>
        <w:t xml:space="preserve">due to </w:t>
      </w:r>
      <w:r w:rsidRPr="00802F62">
        <w:rPr>
          <w:i/>
          <w:sz w:val="20"/>
          <w:lang w:val="en-GB"/>
        </w:rPr>
        <w:t xml:space="preserve">computer </w:t>
      </w:r>
      <w:r w:rsidRPr="00100737">
        <w:rPr>
          <w:i/>
          <w:sz w:val="20"/>
          <w:lang w:val="en-GB"/>
        </w:rPr>
        <w:t xml:space="preserve">development in </w:t>
      </w:r>
      <w:r w:rsidRPr="00802F62">
        <w:rPr>
          <w:i/>
          <w:sz w:val="20"/>
          <w:lang w:val="en-GB"/>
        </w:rPr>
        <w:t xml:space="preserve">schools, they may enhance their papers visually and </w:t>
      </w:r>
      <w:r w:rsidRPr="00100737">
        <w:rPr>
          <w:i/>
          <w:sz w:val="20"/>
          <w:lang w:val="en-GB"/>
        </w:rPr>
        <w:t>interactively</w:t>
      </w:r>
      <w:r w:rsidRPr="00100737">
        <w:rPr>
          <w:i/>
          <w:sz w:val="20"/>
          <w:szCs w:val="20"/>
        </w:rPr>
        <w:t>,</w:t>
      </w:r>
      <w:r w:rsidRPr="00802F62">
        <w:rPr>
          <w:i/>
          <w:sz w:val="20"/>
          <w:lang w:val="en-GB"/>
        </w:rPr>
        <w:t xml:space="preserve"> by means of various media and presentation programmes. Presentations are also a common means of involving students in </w:t>
      </w:r>
      <w:r w:rsidRPr="00100737">
        <w:rPr>
          <w:i/>
          <w:sz w:val="20"/>
          <w:lang w:val="en-GB"/>
        </w:rPr>
        <w:t>lessons</w:t>
      </w:r>
      <w:r w:rsidRPr="00100737">
        <w:rPr>
          <w:i/>
          <w:sz w:val="20"/>
          <w:szCs w:val="20"/>
        </w:rPr>
        <w:t>,</w:t>
      </w:r>
      <w:r w:rsidRPr="00100737">
        <w:rPr>
          <w:i/>
          <w:sz w:val="20"/>
          <w:lang w:val="en-GB"/>
        </w:rPr>
        <w:t xml:space="preserve"> and serve as visual support for t</w:t>
      </w:r>
      <w:r w:rsidRPr="00802F62">
        <w:rPr>
          <w:i/>
          <w:sz w:val="20"/>
          <w:lang w:val="en-GB"/>
        </w:rPr>
        <w:t xml:space="preserve">eachers’ lectures.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rPr>
          <w:b/>
        </w:rPr>
      </w:pPr>
      <w:r w:rsidRPr="00772C40">
        <w:rPr>
          <w:b/>
        </w:rPr>
        <w:t xml:space="preserve">Internet access </w:t>
      </w:r>
      <w:r w:rsidRPr="00100737">
        <w:t xml:space="preserve">in </w:t>
      </w:r>
      <w:r w:rsidRPr="00772C40">
        <w:t xml:space="preserve">Czech schools is almost </w:t>
      </w:r>
      <w:r w:rsidRPr="00100737">
        <w:t>guaranteed</w:t>
      </w:r>
      <w:r w:rsidRPr="00772C40">
        <w:t xml:space="preserve">. Internet speed differs along with school degrees. Whereas a fifth (20%) of nursery schools is provided with internet speed higher than 30Mb/s, among secondary and higher professional schools this speed is provided by more than 54%. </w:t>
      </w:r>
    </w:p>
    <w:p w:rsidR="007B46EA" w:rsidRDefault="007B46EA" w:rsidP="007B46EA">
      <w:pPr>
        <w:autoSpaceDE w:val="0"/>
        <w:autoSpaceDN w:val="0"/>
        <w:adjustRightInd w:val="0"/>
        <w:spacing w:after="100" w:line="264" w:lineRule="auto"/>
        <w:jc w:val="both"/>
      </w:pPr>
      <w:r w:rsidRPr="00772C40">
        <w:rPr>
          <w:noProof/>
          <w:lang w:val="cs-CZ"/>
        </w:rPr>
        <w:drawing>
          <wp:inline distT="0" distB="0" distL="0" distR="0" wp14:anchorId="6A0CD24A" wp14:editId="08EC56C0">
            <wp:extent cx="2880000" cy="2700000"/>
            <wp:effectExtent l="0" t="0" r="0" b="5715"/>
            <wp:docPr id="205" name="Graf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sidRPr="00772C40">
        <w:rPr>
          <w:noProof/>
          <w:lang w:val="cs-CZ"/>
        </w:rPr>
        <w:drawing>
          <wp:inline distT="0" distB="0" distL="0" distR="0" wp14:anchorId="6DC8AC82" wp14:editId="468EF03C">
            <wp:extent cx="3204000" cy="2700000"/>
            <wp:effectExtent l="0" t="0" r="0" b="5715"/>
            <wp:docPr id="206" name="Graf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w:t>
      </w:r>
      <w:r w:rsidRPr="00100737">
        <w:t>the 2016/2017</w:t>
      </w:r>
      <w:r w:rsidRPr="004A708D">
        <w:t xml:space="preserve"> </w:t>
      </w:r>
      <w:r w:rsidRPr="00100737">
        <w:t>school year</w:t>
      </w:r>
      <w:r w:rsidRPr="00772C40">
        <w:t xml:space="preserve">, </w:t>
      </w:r>
      <w:r w:rsidRPr="00B804F4">
        <w:rPr>
          <w:b/>
        </w:rPr>
        <w:t xml:space="preserve">websites </w:t>
      </w:r>
      <w:r w:rsidRPr="00100737">
        <w:t>were nearly available</w:t>
      </w:r>
      <w:r w:rsidRPr="00B804F4">
        <w:rPr>
          <w:b/>
        </w:rPr>
        <w:t xml:space="preserve"> </w:t>
      </w:r>
      <w:r w:rsidRPr="00100737">
        <w:t xml:space="preserve">at </w:t>
      </w:r>
      <w:r w:rsidRPr="00772C40">
        <w:t xml:space="preserve">all secondary and higher professional schools (99%). With respect to </w:t>
      </w:r>
      <w:r w:rsidRPr="00100737">
        <w:t>elementary</w:t>
      </w:r>
      <w:r w:rsidRPr="00B804F4">
        <w:rPr>
          <w:color w:val="FF0000"/>
        </w:rPr>
        <w:t xml:space="preserve"> </w:t>
      </w:r>
      <w:r w:rsidRPr="00772C40">
        <w:t xml:space="preserve">schools, the number </w:t>
      </w:r>
      <w:r w:rsidRPr="00100737">
        <w:t xml:space="preserve">of them </w:t>
      </w:r>
      <w:r w:rsidRPr="00772C40">
        <w:t xml:space="preserve">with their own website has nearly doubled in the past five years, i.e. from 51% in </w:t>
      </w:r>
      <w:r>
        <w:t xml:space="preserve">the </w:t>
      </w:r>
      <w:r w:rsidRPr="00772C40">
        <w:t xml:space="preserve">2011/2012 school year to 96% in </w:t>
      </w:r>
      <w:r>
        <w:t xml:space="preserve">the </w:t>
      </w:r>
      <w:r w:rsidRPr="00772C40">
        <w:t>2016/2017</w:t>
      </w:r>
      <w:r>
        <w:t>.</w:t>
      </w:r>
      <w:r w:rsidRPr="00772C40">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100737">
        <w:t xml:space="preserve">In the 2016/2017 school year, a </w:t>
      </w:r>
      <w:r w:rsidRPr="00772C40">
        <w:t xml:space="preserve">majority of schools in the Czech Republic had a </w:t>
      </w:r>
      <w:r w:rsidRPr="00B804F4">
        <w:rPr>
          <w:b/>
        </w:rPr>
        <w:t xml:space="preserve">student information system </w:t>
      </w:r>
      <w:r>
        <w:t>–</w:t>
      </w:r>
      <w:r w:rsidRPr="00772C40">
        <w:t xml:space="preserve"> 95% of </w:t>
      </w:r>
      <w:r w:rsidRPr="00100737">
        <w:t xml:space="preserve">elementary </w:t>
      </w:r>
      <w:r w:rsidRPr="00772C40">
        <w:t xml:space="preserve">schools and 99% of secondary schools. In comparison, in </w:t>
      </w:r>
      <w:r w:rsidRPr="00100737">
        <w:t>the 2011/2012 school year</w:t>
      </w:r>
      <w:r w:rsidRPr="00B804F4">
        <w:rPr>
          <w:szCs w:val="20"/>
        </w:rPr>
        <w:t>,</w:t>
      </w:r>
      <w:r w:rsidRPr="00B804F4">
        <w:rPr>
          <w:color w:val="FF0000"/>
          <w:szCs w:val="20"/>
        </w:rPr>
        <w:t xml:space="preserve"> </w:t>
      </w:r>
      <w:r w:rsidRPr="00772C40">
        <w:t xml:space="preserve">93% of secondary schools </w:t>
      </w:r>
      <w:r w:rsidRPr="00100737">
        <w:t>had</w:t>
      </w:r>
      <w:r w:rsidRPr="00B804F4">
        <w:rPr>
          <w:color w:val="FF0000"/>
        </w:rPr>
        <w:t xml:space="preserve"> </w:t>
      </w:r>
      <w:r w:rsidRPr="00772C40">
        <w:t xml:space="preserve">these systems, however, solely 36% at </w:t>
      </w:r>
      <w:r w:rsidRPr="00100737">
        <w:t>elementary</w:t>
      </w:r>
      <w:r w:rsidRPr="00B804F4">
        <w:rPr>
          <w:color w:val="FF0000"/>
        </w:rPr>
        <w:t xml:space="preserve"> </w:t>
      </w:r>
      <w:r w:rsidRPr="00772C40">
        <w:t>schools.</w:t>
      </w:r>
    </w:p>
    <w:p w:rsidR="007B46EA" w:rsidRPr="0013532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135320">
        <w:lastRenderedPageBreak/>
        <w:t>The availability of information technology at schools has not changed much over the past years in the Czech Republic. In the</w:t>
      </w:r>
      <w:r>
        <w:t xml:space="preserve"> 2017/</w:t>
      </w:r>
      <w:r w:rsidRPr="004A708D">
        <w:t>2018 school year</w:t>
      </w:r>
      <w:r w:rsidRPr="00135320">
        <w:t>, there were, for instance, on average</w:t>
      </w:r>
      <w:r w:rsidRPr="004A708D">
        <w:rPr>
          <w:szCs w:val="20"/>
        </w:rPr>
        <w:t>,</w:t>
      </w:r>
      <w:r w:rsidRPr="004A708D">
        <w:t xml:space="preserve"> </w:t>
      </w:r>
      <w:r w:rsidRPr="007C6640">
        <w:rPr>
          <w:b/>
        </w:rPr>
        <w:t>25 computers per 100 students</w:t>
      </w:r>
      <w:r w:rsidRPr="00135320">
        <w:t xml:space="preserve"> at Czech secondary schools</w:t>
      </w:r>
      <w:r w:rsidRPr="004A708D">
        <w:rPr>
          <w:szCs w:val="20"/>
        </w:rPr>
        <w:t>,</w:t>
      </w:r>
      <w:r w:rsidRPr="00135320">
        <w:t xml:space="preserve"> compared to 24 computers the year before. Nowadays, the absolute majority of these computers are connected to the internet.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At the same time, the number of </w:t>
      </w:r>
      <w:r w:rsidRPr="00772C40">
        <w:rPr>
          <w:b/>
        </w:rPr>
        <w:t xml:space="preserve">portable computers </w:t>
      </w:r>
      <w:r w:rsidRPr="00772C40">
        <w:t>has been increasing, too. In 2017, for instance, 3.2</w:t>
      </w:r>
      <w:r>
        <w:t> </w:t>
      </w:r>
      <w:r w:rsidRPr="00772C40">
        <w:t xml:space="preserve">laptops were used per 100 pupils at </w:t>
      </w:r>
      <w:r w:rsidRPr="00B24C17">
        <w:t>elementary</w:t>
      </w:r>
      <w:r w:rsidRPr="00AD26EF">
        <w:rPr>
          <w:color w:val="FF0000"/>
        </w:rPr>
        <w:t xml:space="preserve"> </w:t>
      </w:r>
      <w:r w:rsidRPr="00772C40">
        <w:t xml:space="preserve">schools </w:t>
      </w:r>
      <w:r>
        <w:t>–</w:t>
      </w:r>
      <w:r w:rsidRPr="00772C40">
        <w:t xml:space="preserve"> 2nd stage, compared to 2.6 laptops in 2015. Even the highest </w:t>
      </w:r>
      <w:r w:rsidRPr="00772C40">
        <w:rPr>
          <w:b/>
        </w:rPr>
        <w:t>number of tablets</w:t>
      </w:r>
      <w:r w:rsidRPr="00772C40">
        <w:t xml:space="preserve"> in 2017 was recorded with the pupils of </w:t>
      </w:r>
      <w:r w:rsidRPr="00B24C17">
        <w:t xml:space="preserve">elementary </w:t>
      </w:r>
      <w:r w:rsidRPr="00772C40">
        <w:t xml:space="preserve">schools </w:t>
      </w:r>
      <w:r>
        <w:t>–</w:t>
      </w:r>
      <w:r w:rsidRPr="00772C40">
        <w:t xml:space="preserve"> 2nd stage, nearly 4 tablets per 100 pupils, i.e. nearly three times as </w:t>
      </w:r>
      <w:r w:rsidRPr="00B24C17">
        <w:t>many</w:t>
      </w:r>
      <w:r w:rsidRPr="00AD26EF">
        <w:rPr>
          <w:color w:val="FF0000"/>
        </w:rPr>
        <w:t xml:space="preserve"> </w:t>
      </w:r>
      <w:r w:rsidRPr="00772C40">
        <w:t>as two years ago.</w:t>
      </w:r>
    </w:p>
    <w:p w:rsidR="007B46EA" w:rsidRDefault="007B46EA" w:rsidP="007B46EA">
      <w:pPr>
        <w:tabs>
          <w:tab w:val="num" w:pos="284"/>
        </w:tabs>
        <w:autoSpaceDE w:val="0"/>
        <w:autoSpaceDN w:val="0"/>
        <w:adjustRightInd w:val="0"/>
        <w:spacing w:after="100" w:line="264" w:lineRule="auto"/>
        <w:jc w:val="both"/>
      </w:pPr>
      <w:r w:rsidRPr="00772C40">
        <w:rPr>
          <w:noProof/>
          <w:lang w:val="cs-CZ"/>
        </w:rPr>
        <w:drawing>
          <wp:inline distT="0" distB="0" distL="0" distR="0" wp14:anchorId="74A3151F" wp14:editId="2F6E329C">
            <wp:extent cx="3024000" cy="2520000"/>
            <wp:effectExtent l="0" t="0" r="5080" b="13970"/>
            <wp:docPr id="207" name="Graf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sidRPr="00772C40">
        <w:t xml:space="preserve"> </w:t>
      </w:r>
      <w:r w:rsidRPr="00772C40">
        <w:rPr>
          <w:noProof/>
          <w:lang w:val="cs-CZ"/>
        </w:rPr>
        <w:drawing>
          <wp:inline distT="0" distB="0" distL="0" distR="0" wp14:anchorId="31985753" wp14:editId="3C5ADE06">
            <wp:extent cx="3024000" cy="2520000"/>
            <wp:effectExtent l="0" t="0" r="5080" b="13970"/>
            <wp:docPr id="208" name="Graf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rPr>
          <w:b/>
        </w:rPr>
        <w:t xml:space="preserve">In </w:t>
      </w:r>
      <w:r>
        <w:rPr>
          <w:b/>
        </w:rPr>
        <w:t xml:space="preserve">absolute </w:t>
      </w:r>
      <w:r w:rsidRPr="00772C40">
        <w:rPr>
          <w:b/>
        </w:rPr>
        <w:t>number</w:t>
      </w:r>
      <w:r>
        <w:rPr>
          <w:b/>
        </w:rPr>
        <w:t>s</w:t>
      </w:r>
      <w:r w:rsidRPr="00772C40">
        <w:rPr>
          <w:b/>
        </w:rPr>
        <w:t xml:space="preserve"> </w:t>
      </w:r>
      <w:r>
        <w:t>–</w:t>
      </w:r>
      <w:r w:rsidRPr="00772C40">
        <w:t xml:space="preserve"> desktop, portable ones or tablets </w:t>
      </w:r>
      <w:r>
        <w:t>–</w:t>
      </w:r>
      <w:r w:rsidRPr="00772C40">
        <w:t xml:space="preserve"> available to pupils/students of </w:t>
      </w:r>
      <w:r w:rsidRPr="00B24C17">
        <w:t xml:space="preserve">elementary </w:t>
      </w:r>
      <w:r w:rsidRPr="00772C40">
        <w:t>schools and secondary schools</w:t>
      </w:r>
      <w:r w:rsidRPr="00B24C17">
        <w:rPr>
          <w:szCs w:val="20"/>
        </w:rPr>
        <w:t>,</w:t>
      </w:r>
      <w:r w:rsidRPr="00B24C17">
        <w:t xml:space="preserve"> </w:t>
      </w:r>
      <w:r w:rsidRPr="00772C40">
        <w:t>in the Czech Republic</w:t>
      </w:r>
      <w:r w:rsidRPr="00B24C17">
        <w:rPr>
          <w:szCs w:val="20"/>
        </w:rPr>
        <w:t>,</w:t>
      </w:r>
      <w:r w:rsidRPr="00B24C17">
        <w:t xml:space="preserve"> in 2017</w:t>
      </w:r>
      <w:r w:rsidRPr="00B24C17">
        <w:rPr>
          <w:szCs w:val="20"/>
        </w:rPr>
        <w:t>,</w:t>
      </w:r>
      <w:r w:rsidRPr="00B24C17">
        <w:t xml:space="preserve"> </w:t>
      </w:r>
      <w:r w:rsidRPr="00772C40">
        <w:t xml:space="preserve">reached a total of 262 thousand. Three quarters of </w:t>
      </w:r>
      <w:r w:rsidRPr="00B24C17">
        <w:t xml:space="preserve">them (200 thousand) still consisted of </w:t>
      </w:r>
      <w:r w:rsidRPr="00772C40">
        <w:t xml:space="preserve">desktop computers. </w:t>
      </w:r>
      <w:r w:rsidRPr="00B24C17">
        <w:t xml:space="preserve">In elementary </w:t>
      </w:r>
      <w:r w:rsidRPr="00772C40">
        <w:t>schools, their share was approx. 10% lower (70</w:t>
      </w:r>
      <w:r w:rsidRPr="00B24C17">
        <w:t>%)</w:t>
      </w:r>
      <w:r w:rsidRPr="00B24C17">
        <w:rPr>
          <w:szCs w:val="20"/>
        </w:rPr>
        <w:t>,</w:t>
      </w:r>
      <w:r w:rsidRPr="00B24C17">
        <w:t xml:space="preserve"> than in </w:t>
      </w:r>
      <w:r w:rsidRPr="00772C40">
        <w:t>secondary schools (80%). In both cases, the n</w:t>
      </w:r>
      <w:r>
        <w:t xml:space="preserve">umber of tablets and laptops </w:t>
      </w:r>
      <w:r w:rsidRPr="00B24C17">
        <w:t xml:space="preserve">in elementary </w:t>
      </w:r>
      <w:r w:rsidRPr="00772C40">
        <w:t xml:space="preserve">schools reached 21 thousand. </w:t>
      </w:r>
    </w:p>
    <w:p w:rsidR="007B46EA" w:rsidRDefault="007B46EA" w:rsidP="007B46EA">
      <w:pPr>
        <w:autoSpaceDE w:val="0"/>
        <w:autoSpaceDN w:val="0"/>
        <w:adjustRightInd w:val="0"/>
        <w:spacing w:after="100" w:line="264" w:lineRule="auto"/>
        <w:jc w:val="both"/>
      </w:pPr>
      <w:r w:rsidRPr="00772C40">
        <w:rPr>
          <w:noProof/>
          <w:lang w:val="cs-CZ"/>
        </w:rPr>
        <w:drawing>
          <wp:inline distT="0" distB="0" distL="0" distR="0" wp14:anchorId="050461FA" wp14:editId="142F667A">
            <wp:extent cx="2880000" cy="2880000"/>
            <wp:effectExtent l="0" t="0" r="0" b="0"/>
            <wp:docPr id="209" name="Graf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Pr="00772C40">
        <w:t xml:space="preserve"> </w:t>
      </w:r>
      <w:r>
        <w:rPr>
          <w:noProof/>
          <w:lang w:val="cs-CZ"/>
        </w:rPr>
        <w:drawing>
          <wp:inline distT="0" distB="0" distL="0" distR="0" wp14:anchorId="797B01B3" wp14:editId="7EFD36BF">
            <wp:extent cx="3132000" cy="2880000"/>
            <wp:effectExtent l="0" t="0" r="0" b="0"/>
            <wp:docPr id="67" name="Graf 67">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The </w:t>
      </w:r>
      <w:r w:rsidRPr="00772C40">
        <w:rPr>
          <w:b/>
        </w:rPr>
        <w:t>age</w:t>
      </w:r>
      <w:r w:rsidRPr="00772C40">
        <w:t xml:space="preserve"> </w:t>
      </w:r>
      <w:r w:rsidRPr="00772C40">
        <w:rPr>
          <w:b/>
        </w:rPr>
        <w:t xml:space="preserve">of </w:t>
      </w:r>
      <w:r w:rsidRPr="00B24C17">
        <w:rPr>
          <w:b/>
        </w:rPr>
        <w:t>computers</w:t>
      </w:r>
      <w:r w:rsidRPr="00B24C17">
        <w:rPr>
          <w:szCs w:val="20"/>
        </w:rPr>
        <w:t>,</w:t>
      </w:r>
      <w:r w:rsidRPr="00B24C17">
        <w:rPr>
          <w:b/>
        </w:rPr>
        <w:t xml:space="preserve"> </w:t>
      </w:r>
      <w:r w:rsidRPr="00B24C17">
        <w:t xml:space="preserve">available to pupils/students of Czech elementary </w:t>
      </w:r>
      <w:r w:rsidRPr="00772C40">
        <w:t xml:space="preserve">and secondary </w:t>
      </w:r>
      <w:r w:rsidRPr="00B24C17">
        <w:t>schools</w:t>
      </w:r>
      <w:r w:rsidRPr="00B24C17">
        <w:rPr>
          <w:szCs w:val="20"/>
        </w:rPr>
        <w:t>,</w:t>
      </w:r>
      <w:r w:rsidRPr="00B24C17">
        <w:t xml:space="preserve"> is </w:t>
      </w:r>
      <w:r w:rsidRPr="00772C40">
        <w:t xml:space="preserve">most frequently around 3 to 9 years. As mentioned above, the students of all types of schools are most frequently provided with desktop </w:t>
      </w:r>
      <w:r w:rsidRPr="00B24C17">
        <w:t>computers</w:t>
      </w:r>
      <w:r w:rsidRPr="00B24C17">
        <w:rPr>
          <w:szCs w:val="20"/>
        </w:rPr>
        <w:t>,</w:t>
      </w:r>
      <w:r w:rsidRPr="00772C40">
        <w:t xml:space="preserve"> which are also of the oldest service age. Only 14% (28</w:t>
      </w:r>
      <w:r w:rsidR="0020767E">
        <w:t xml:space="preserve"> thousand</w:t>
      </w:r>
      <w:r w:rsidRPr="00772C40">
        <w:t xml:space="preserve">) </w:t>
      </w:r>
      <w:r w:rsidRPr="00B24C17">
        <w:t xml:space="preserve">of them are of a service age of </w:t>
      </w:r>
      <w:r w:rsidRPr="00772C40">
        <w:t>up to 2 years. The relatively “youngest” device (service age of up to 2 years</w:t>
      </w:r>
      <w:r w:rsidRPr="00B24C17">
        <w:t>)</w:t>
      </w:r>
      <w:r w:rsidRPr="00B24C17">
        <w:rPr>
          <w:szCs w:val="20"/>
        </w:rPr>
        <w:t>,</w:t>
      </w:r>
      <w:r w:rsidRPr="00B24C17">
        <w:t xml:space="preserve"> at elementary and </w:t>
      </w:r>
      <w:r w:rsidRPr="00772C40">
        <w:t xml:space="preserve">secondary </w:t>
      </w:r>
      <w:r w:rsidRPr="00B24C17">
        <w:t>schools</w:t>
      </w:r>
      <w:r w:rsidRPr="00B24C17">
        <w:rPr>
          <w:szCs w:val="20"/>
        </w:rPr>
        <w:t>,</w:t>
      </w:r>
      <w:r w:rsidRPr="00B24C17">
        <w:t xml:space="preserve"> in the Czech Republic</w:t>
      </w:r>
      <w:r w:rsidRPr="00B24C17">
        <w:rPr>
          <w:szCs w:val="20"/>
        </w:rPr>
        <w:t>,</w:t>
      </w:r>
      <w:r w:rsidRPr="00B24C17">
        <w:t xml:space="preserve"> </w:t>
      </w:r>
      <w:r w:rsidRPr="00772C40">
        <w:t xml:space="preserve">are tablets (34% of all tablets). The rest </w:t>
      </w:r>
      <w:r w:rsidRPr="00B24C17">
        <w:t xml:space="preserve">of the tablets </w:t>
      </w:r>
      <w:r w:rsidRPr="00772C40">
        <w:t>were purchased 3 to 9 years ago for study purposes.</w:t>
      </w:r>
    </w:p>
    <w:p w:rsidR="007B46EA" w:rsidRPr="00772C40" w:rsidRDefault="007B46EA" w:rsidP="002875D6">
      <w:pPr>
        <w:pStyle w:val="Nadpis2"/>
        <w:spacing w:before="0"/>
      </w:pPr>
      <w:bookmarkStart w:id="168" w:name="_Toc533697548"/>
      <w:bookmarkStart w:id="169" w:name="_Toc534712047"/>
      <w:r w:rsidRPr="00772C40">
        <w:lastRenderedPageBreak/>
        <w:t>F.2 Access of 15-year-old pupils to ICT</w:t>
      </w:r>
      <w:bookmarkEnd w:id="168"/>
      <w:bookmarkEnd w:id="169"/>
    </w:p>
    <w:p w:rsidR="007B46EA" w:rsidRPr="008D6DC5" w:rsidRDefault="007B46EA" w:rsidP="007B46EA">
      <w:pPr>
        <w:pStyle w:val="Zkladntext"/>
        <w:spacing w:before="0" w:after="80" w:line="264" w:lineRule="auto"/>
        <w:rPr>
          <w:i/>
          <w:sz w:val="20"/>
          <w:szCs w:val="20"/>
          <w:lang w:val="en-GB"/>
        </w:rPr>
      </w:pPr>
      <w:r w:rsidRPr="008D6DC5">
        <w:rPr>
          <w:i/>
          <w:sz w:val="20"/>
          <w:szCs w:val="20"/>
          <w:lang w:val="en-GB"/>
        </w:rPr>
        <w:t>The internet permeates every aspect of the economy and society, and is also becoming an essential element of children’s lives. However, it carries a spectrum of risks</w:t>
      </w:r>
      <w:r w:rsidRPr="00454CEE">
        <w:rPr>
          <w:i/>
          <w:sz w:val="20"/>
          <w:szCs w:val="20"/>
        </w:rPr>
        <w:t>,</w:t>
      </w:r>
      <w:r w:rsidRPr="008D6DC5">
        <w:rPr>
          <w:i/>
          <w:sz w:val="20"/>
          <w:szCs w:val="20"/>
          <w:lang w:val="en-GB"/>
        </w:rPr>
        <w:t xml:space="preserve"> to which children are more vulnerable than adults. While access to information via the internet may bring considerable benefits for children’s education, it also exposes them to online risks, such as access to inappropriate content, harmful interactions with other children or adults, and exposure to aggressive marketing practices. Children online may </w:t>
      </w:r>
      <w:r w:rsidRPr="00454CEE">
        <w:rPr>
          <w:i/>
          <w:sz w:val="20"/>
          <w:szCs w:val="20"/>
          <w:lang w:val="en-GB"/>
        </w:rPr>
        <w:t xml:space="preserve">also be </w:t>
      </w:r>
      <w:r w:rsidRPr="008D6DC5">
        <w:rPr>
          <w:i/>
          <w:sz w:val="20"/>
          <w:szCs w:val="20"/>
          <w:lang w:val="en-GB"/>
        </w:rPr>
        <w:t xml:space="preserve">put at risk </w:t>
      </w:r>
      <w:r w:rsidRPr="00454CEE">
        <w:rPr>
          <w:i/>
          <w:sz w:val="20"/>
          <w:szCs w:val="20"/>
          <w:lang w:val="en-GB"/>
        </w:rPr>
        <w:t xml:space="preserve">though the computers </w:t>
      </w:r>
      <w:r w:rsidRPr="008D6DC5">
        <w:rPr>
          <w:i/>
          <w:sz w:val="20"/>
          <w:szCs w:val="20"/>
          <w:lang w:val="en-GB"/>
        </w:rPr>
        <w:t xml:space="preserve">they </w:t>
      </w:r>
      <w:r w:rsidRPr="00454CEE">
        <w:rPr>
          <w:i/>
          <w:sz w:val="20"/>
          <w:szCs w:val="20"/>
          <w:lang w:val="en-GB"/>
        </w:rPr>
        <w:t>use</w:t>
      </w:r>
      <w:r w:rsidRPr="00454CEE">
        <w:rPr>
          <w:i/>
          <w:sz w:val="20"/>
          <w:szCs w:val="20"/>
        </w:rPr>
        <w:t>,</w:t>
      </w:r>
      <w:r w:rsidRPr="00454CEE">
        <w:rPr>
          <w:i/>
          <w:sz w:val="20"/>
          <w:szCs w:val="20"/>
          <w:lang w:val="en-GB"/>
        </w:rPr>
        <w:t xml:space="preserve"> especially by inadvertently disseminating </w:t>
      </w:r>
      <w:r w:rsidRPr="008D6DC5">
        <w:rPr>
          <w:i/>
          <w:sz w:val="20"/>
          <w:szCs w:val="20"/>
          <w:lang w:val="en-GB"/>
        </w:rPr>
        <w:t>their own personal data. Addressing risks faced by children online is becoming a policy priority for an increasing number of governments.</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In 2015, the international survey PISA (</w:t>
      </w:r>
      <w:r>
        <w:t>OECD</w:t>
      </w:r>
      <w:r w:rsidRPr="00454CEE">
        <w:t>)</w:t>
      </w:r>
      <w:r w:rsidRPr="00454CEE">
        <w:rPr>
          <w:szCs w:val="20"/>
        </w:rPr>
        <w:t>,</w:t>
      </w:r>
      <w:r>
        <w:t xml:space="preserve"> was conducted at schools</w:t>
      </w:r>
      <w:r w:rsidRPr="00772C40">
        <w:rPr>
          <w:rStyle w:val="Znakapoznpodarou"/>
        </w:rPr>
        <w:footnoteReference w:id="59"/>
      </w:r>
      <w:r>
        <w:t>,</w:t>
      </w:r>
      <w:r w:rsidRPr="00772C40">
        <w:t xml:space="preserve"> </w:t>
      </w:r>
      <w:r w:rsidRPr="00454CEE">
        <w:t>focusing</w:t>
      </w:r>
      <w:r w:rsidRPr="00772C40">
        <w:t xml:space="preserve">, besides other things, on whether 15-year-old pupils </w:t>
      </w:r>
      <w:r w:rsidRPr="00454CEE">
        <w:t xml:space="preserve">in schools </w:t>
      </w:r>
      <w:r w:rsidRPr="00772C40">
        <w:t xml:space="preserve">have </w:t>
      </w:r>
      <w:r w:rsidRPr="00772C40">
        <w:rPr>
          <w:b/>
        </w:rPr>
        <w:t>internet access</w:t>
      </w:r>
      <w:r w:rsidRPr="00454CEE">
        <w:rPr>
          <w:szCs w:val="20"/>
        </w:rPr>
        <w:t>,</w:t>
      </w:r>
      <w:r w:rsidRPr="00454CEE">
        <w:t xml:space="preserve"> </w:t>
      </w:r>
      <w:r w:rsidRPr="00772C40">
        <w:t>and whether they use this opportun</w:t>
      </w:r>
      <w:r>
        <w:t>ity. In 2015, Czech pupils took</w:t>
      </w:r>
      <w:r w:rsidRPr="008D6DC5">
        <w:rPr>
          <w:color w:val="FF0000"/>
        </w:rPr>
        <w:t xml:space="preserve"> </w:t>
      </w:r>
      <w:r w:rsidRPr="00772C40">
        <w:t xml:space="preserve">seventh place in </w:t>
      </w:r>
      <w:r w:rsidRPr="00772C40">
        <w:rPr>
          <w:b/>
        </w:rPr>
        <w:t>EU ranking</w:t>
      </w:r>
      <w:r w:rsidRPr="00772C40">
        <w:t xml:space="preserve"> </w:t>
      </w:r>
      <w:r>
        <w:t>–</w:t>
      </w:r>
      <w:r w:rsidRPr="00772C40">
        <w:t xml:space="preserve"> 78% of 15-year-olds had internet </w:t>
      </w:r>
      <w:r w:rsidRPr="00454CEE">
        <w:t xml:space="preserve">access in </w:t>
      </w:r>
      <w:r w:rsidRPr="00772C40">
        <w:t>school and used it. The EU28 average was 71%.</w:t>
      </w:r>
    </w:p>
    <w:p w:rsidR="007B46EA" w:rsidRPr="005025AB" w:rsidRDefault="007B46EA" w:rsidP="0020767E">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PISA </w:t>
      </w:r>
      <w:r w:rsidRPr="00454CEE">
        <w:t>assessment</w:t>
      </w:r>
      <w:r w:rsidRPr="00454CEE">
        <w:rPr>
          <w:szCs w:val="20"/>
        </w:rPr>
        <w:t>,</w:t>
      </w:r>
      <w:r w:rsidRPr="00772C40">
        <w:t xml:space="preserve"> carried out on 15-year-old pupils in the Czech </w:t>
      </w:r>
      <w:r w:rsidRPr="00454CEE">
        <w:t>Republic</w:t>
      </w:r>
      <w:r w:rsidRPr="00454CEE">
        <w:rPr>
          <w:szCs w:val="20"/>
        </w:rPr>
        <w:t>,</w:t>
      </w:r>
      <w:r w:rsidRPr="00454CEE">
        <w:t xml:space="preserve"> </w:t>
      </w:r>
      <w:r w:rsidRPr="00772C40">
        <w:t xml:space="preserve">also implies that nearly all (97%) of them </w:t>
      </w:r>
      <w:r w:rsidRPr="00454CEE">
        <w:t xml:space="preserve">used </w:t>
      </w:r>
      <w:r w:rsidRPr="00772C40">
        <w:t xml:space="preserve">the internet at home. </w:t>
      </w:r>
      <w:r w:rsidRPr="00454CEE">
        <w:t>In schools</w:t>
      </w:r>
      <w:r w:rsidRPr="00454CEE">
        <w:rPr>
          <w:szCs w:val="20"/>
        </w:rPr>
        <w:t>,</w:t>
      </w:r>
      <w:r w:rsidRPr="00454CEE">
        <w:t xml:space="preserve"> </w:t>
      </w:r>
      <w:r w:rsidRPr="00772C40">
        <w:t>it is 78% of them – once again data for the year 2015. Desktop computers are available</w:t>
      </w:r>
      <w:r w:rsidRPr="00454CEE">
        <w:rPr>
          <w:szCs w:val="20"/>
        </w:rPr>
        <w:t>,</w:t>
      </w:r>
      <w:r w:rsidRPr="00454CEE">
        <w:t xml:space="preserve"> </w:t>
      </w:r>
      <w:r w:rsidRPr="00772C40">
        <w:t>and used</w:t>
      </w:r>
      <w:r w:rsidRPr="00454CEE">
        <w:rPr>
          <w:szCs w:val="20"/>
        </w:rPr>
        <w:t>,</w:t>
      </w:r>
      <w:r w:rsidRPr="00454CEE">
        <w:t xml:space="preserve"> </w:t>
      </w:r>
      <w:r w:rsidRPr="00772C40">
        <w:t>by the same number of pupils at home and at school (66%). Laptops used by 15-year-old pupils are significantly more often used at home (76</w:t>
      </w:r>
      <w:r w:rsidRPr="00454CEE">
        <w:t>%)</w:t>
      </w:r>
      <w:r w:rsidRPr="00454CEE">
        <w:rPr>
          <w:szCs w:val="20"/>
        </w:rPr>
        <w:t>,</w:t>
      </w:r>
      <w:r w:rsidRPr="00454CEE">
        <w:t xml:space="preserve"> t</w:t>
      </w:r>
      <w:r w:rsidRPr="00772C40">
        <w:t xml:space="preserve">han at schools (18%). The same </w:t>
      </w:r>
      <w:r w:rsidRPr="00454CEE">
        <w:t xml:space="preserve">applies for </w:t>
      </w:r>
      <w:r w:rsidRPr="00772C40">
        <w:t>the use of tablets (at home used by 50%, at schools 13%).</w:t>
      </w:r>
    </w:p>
    <w:p w:rsidR="007B46EA" w:rsidRPr="00772C40" w:rsidRDefault="007B46EA" w:rsidP="007B46EA">
      <w:pPr>
        <w:autoSpaceDE w:val="0"/>
        <w:autoSpaceDN w:val="0"/>
        <w:adjustRightInd w:val="0"/>
        <w:spacing w:after="100" w:line="264" w:lineRule="auto"/>
        <w:jc w:val="both"/>
      </w:pPr>
      <w:r w:rsidRPr="00772C40">
        <w:rPr>
          <w:noProof/>
          <w:lang w:val="cs-CZ"/>
        </w:rPr>
        <w:drawing>
          <wp:inline distT="0" distB="0" distL="0" distR="0" wp14:anchorId="532A2E01" wp14:editId="1433B681">
            <wp:extent cx="6076950" cy="4320000"/>
            <wp:effectExtent l="0" t="0" r="0" b="4445"/>
            <wp:docPr id="211" name="Graf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20767E" w:rsidRDefault="0020767E">
      <w:pPr>
        <w:spacing w:after="0" w:line="240" w:lineRule="auto"/>
        <w:rPr>
          <w:rFonts w:eastAsia="MS Gothic"/>
          <w:b/>
          <w:bCs/>
          <w:color w:val="009BB4"/>
          <w:sz w:val="28"/>
          <w:szCs w:val="26"/>
        </w:rPr>
      </w:pPr>
      <w:bookmarkStart w:id="170" w:name="_Toc533697549"/>
      <w:r>
        <w:br w:type="page"/>
      </w:r>
    </w:p>
    <w:p w:rsidR="007B46EA" w:rsidRPr="00772C40" w:rsidRDefault="007B46EA" w:rsidP="002875D6">
      <w:pPr>
        <w:pStyle w:val="Nadpis2"/>
        <w:spacing w:before="0"/>
      </w:pPr>
      <w:bookmarkStart w:id="171" w:name="_Toc534712048"/>
      <w:r w:rsidRPr="00772C40">
        <w:lastRenderedPageBreak/>
        <w:t xml:space="preserve">F.3 Internet use </w:t>
      </w:r>
      <w:r>
        <w:t xml:space="preserve">by </w:t>
      </w:r>
      <w:r w:rsidRPr="00772C40">
        <w:t>students aged 16+</w:t>
      </w:r>
      <w:bookmarkEnd w:id="170"/>
      <w:bookmarkEnd w:id="171"/>
    </w:p>
    <w:p w:rsidR="007B46EA" w:rsidRPr="00772C40" w:rsidRDefault="007B46EA" w:rsidP="007B46EA">
      <w:pPr>
        <w:autoSpaceDE w:val="0"/>
        <w:autoSpaceDN w:val="0"/>
        <w:adjustRightInd w:val="0"/>
        <w:spacing w:after="80" w:line="264" w:lineRule="auto"/>
        <w:jc w:val="both"/>
        <w:rPr>
          <w:i/>
        </w:rPr>
      </w:pPr>
      <w:r w:rsidRPr="00772C40">
        <w:rPr>
          <w:i/>
        </w:rPr>
        <w:t>Nowadays, probably hardly anyone can imagine a life without the internet. Millennials, also know</w:t>
      </w:r>
      <w:r w:rsidR="006A0FA2">
        <w:rPr>
          <w:i/>
        </w:rPr>
        <w:t xml:space="preserve">n as Generation Y (born </w:t>
      </w:r>
      <w:r w:rsidR="00895063">
        <w:rPr>
          <w:i/>
        </w:rPr>
        <w:t xml:space="preserve">in </w:t>
      </w:r>
      <w:r w:rsidRPr="00772C40">
        <w:rPr>
          <w:i/>
        </w:rPr>
        <w:t>1985</w:t>
      </w:r>
      <w:r>
        <w:rPr>
          <w:i/>
        </w:rPr>
        <w:t>–</w:t>
      </w:r>
      <w:r w:rsidRPr="00772C40">
        <w:rPr>
          <w:i/>
        </w:rPr>
        <w:t xml:space="preserve">2000) grew up </w:t>
      </w:r>
      <w:r w:rsidRPr="00454CEE">
        <w:rPr>
          <w:i/>
        </w:rPr>
        <w:t xml:space="preserve">in an </w:t>
      </w:r>
      <w:r w:rsidRPr="00772C40">
        <w:rPr>
          <w:i/>
        </w:rPr>
        <w:t xml:space="preserve">era of great development of information and communication technologies, which </w:t>
      </w:r>
      <w:r w:rsidRPr="00454CEE">
        <w:rPr>
          <w:i/>
        </w:rPr>
        <w:t>significantly affect</w:t>
      </w:r>
      <w:r>
        <w:rPr>
          <w:i/>
        </w:rPr>
        <w:t>s</w:t>
      </w:r>
      <w:r w:rsidRPr="00454CEE">
        <w:rPr>
          <w:i/>
        </w:rPr>
        <w:t xml:space="preserve"> their </w:t>
      </w:r>
      <w:r w:rsidRPr="00772C40">
        <w:rPr>
          <w:i/>
        </w:rPr>
        <w:t>lifestyles. They use the internet to communicate with each other, meet friends</w:t>
      </w:r>
      <w:r w:rsidRPr="00BA0807">
        <w:rPr>
          <w:i/>
        </w:rPr>
        <w:t xml:space="preserve">, to shop, or to </w:t>
      </w:r>
      <w:r w:rsidRPr="00772C40">
        <w:rPr>
          <w:i/>
        </w:rPr>
        <w:t xml:space="preserve">educate themselves. </w:t>
      </w:r>
      <w:r w:rsidRPr="00BA0807">
        <w:rPr>
          <w:i/>
        </w:rPr>
        <w:t xml:space="preserve">The school system plays an important role </w:t>
      </w:r>
      <w:r w:rsidRPr="003C435D">
        <w:rPr>
          <w:i/>
        </w:rPr>
        <w:t>in providing all children and students with the skills needed to actively participate in an increasingly digital life and world of work.</w:t>
      </w:r>
      <w:r w:rsidRPr="00772C40">
        <w:rPr>
          <w:i/>
        </w:rPr>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the years 2015 to 2017, nearly all </w:t>
      </w:r>
      <w:r w:rsidRPr="00772C40">
        <w:rPr>
          <w:b/>
        </w:rPr>
        <w:t xml:space="preserve">students over the age of 16 </w:t>
      </w:r>
      <w:r w:rsidRPr="00772C40">
        <w:t>(99.5</w:t>
      </w:r>
      <w:r w:rsidRPr="00BA0807">
        <w:t>%)</w:t>
      </w:r>
      <w:r w:rsidRPr="00BA0807">
        <w:rPr>
          <w:szCs w:val="20"/>
        </w:rPr>
        <w:t>,</w:t>
      </w:r>
      <w:r w:rsidRPr="00BA0807">
        <w:t xml:space="preserve"> in </w:t>
      </w:r>
      <w:r w:rsidRPr="00772C40">
        <w:t xml:space="preserve">the Czech </w:t>
      </w:r>
      <w:r w:rsidRPr="00BA0807">
        <w:t>Republic</w:t>
      </w:r>
      <w:r w:rsidRPr="00BA0807">
        <w:rPr>
          <w:szCs w:val="20"/>
        </w:rPr>
        <w:t xml:space="preserve">, </w:t>
      </w:r>
      <w:r w:rsidRPr="00772C40">
        <w:t xml:space="preserve">used the internet. In the same period of time, nearly 80% of students used </w:t>
      </w:r>
      <w:r w:rsidRPr="00772C40">
        <w:rPr>
          <w:b/>
        </w:rPr>
        <w:t>mobile internet</w:t>
      </w:r>
      <w:r w:rsidRPr="0020767E">
        <w:rPr>
          <w:rStyle w:val="Znakapoznpodarou"/>
          <w:b/>
        </w:rPr>
        <w:footnoteReference w:id="60"/>
      </w:r>
      <w:r w:rsidRPr="003C435D">
        <w:t xml:space="preserve">.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On average, from 2015 to 2017</w:t>
      </w:r>
      <w:r w:rsidRPr="00BA0807">
        <w:rPr>
          <w:szCs w:val="20"/>
        </w:rPr>
        <w:t>,</w:t>
      </w:r>
      <w:r w:rsidRPr="00BA0807">
        <w:t xml:space="preserve"> </w:t>
      </w:r>
      <w:r w:rsidRPr="00772C40">
        <w:t xml:space="preserve">the most frequent activity of </w:t>
      </w:r>
      <w:r w:rsidRPr="00BA0807">
        <w:t>students</w:t>
      </w:r>
      <w:r w:rsidRPr="00BA0807">
        <w:rPr>
          <w:szCs w:val="20"/>
        </w:rPr>
        <w:t>,</w:t>
      </w:r>
      <w:r w:rsidRPr="00772C40">
        <w:t xml:space="preserve"> with respect to internet </w:t>
      </w:r>
      <w:r w:rsidRPr="00BA0807">
        <w:t>usage</w:t>
      </w:r>
      <w:r w:rsidRPr="00BA0807">
        <w:rPr>
          <w:szCs w:val="20"/>
        </w:rPr>
        <w:t>,</w:t>
      </w:r>
      <w:r w:rsidRPr="00BA0807">
        <w:t xml:space="preserve"> </w:t>
      </w:r>
      <w:r w:rsidRPr="00772C40">
        <w:t xml:space="preserve">was to monitor events </w:t>
      </w:r>
      <w:r w:rsidRPr="00BA0807">
        <w:t>on</w:t>
      </w:r>
      <w:r w:rsidRPr="004714BE">
        <w:rPr>
          <w:color w:val="FF0000"/>
        </w:rPr>
        <w:t xml:space="preserve"> </w:t>
      </w:r>
      <w:r w:rsidRPr="00772C40">
        <w:t xml:space="preserve">social networks (94%), a </w:t>
      </w:r>
      <w:r w:rsidRPr="00BA0807">
        <w:t xml:space="preserve">further frequent activity </w:t>
      </w:r>
      <w:r w:rsidRPr="00772C40">
        <w:t>is to read the news (84</w:t>
      </w:r>
      <w:r w:rsidRPr="00BA0807">
        <w:t>%)</w:t>
      </w:r>
      <w:r w:rsidRPr="00BA0807">
        <w:rPr>
          <w:szCs w:val="20"/>
        </w:rPr>
        <w:t>,</w:t>
      </w:r>
      <w:r w:rsidRPr="00BA0807">
        <w:t xml:space="preserve"> o</w:t>
      </w:r>
      <w:r w:rsidRPr="00772C40">
        <w:t xml:space="preserve">r play online games (63%).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If we focus on the internet usage by </w:t>
      </w:r>
      <w:r w:rsidRPr="00BA0807">
        <w:t>students</w:t>
      </w:r>
      <w:r w:rsidRPr="00BA0807">
        <w:rPr>
          <w:szCs w:val="20"/>
        </w:rPr>
        <w:t>,</w:t>
      </w:r>
      <w:r w:rsidRPr="00BA0807">
        <w:t xml:space="preserve"> </w:t>
      </w:r>
      <w:r w:rsidRPr="00772C40">
        <w:t xml:space="preserve">with respect to </w:t>
      </w:r>
      <w:r w:rsidRPr="00772C40">
        <w:rPr>
          <w:b/>
        </w:rPr>
        <w:t>educational activities</w:t>
      </w:r>
      <w:r w:rsidRPr="00772C40">
        <w:t xml:space="preserve">, we can see that between 2015 and 2017, 39% of them used online </w:t>
      </w:r>
      <w:r w:rsidRPr="00772C40">
        <w:rPr>
          <w:b/>
        </w:rPr>
        <w:t>educational resources</w:t>
      </w:r>
      <w:r w:rsidRPr="00BA0807">
        <w:rPr>
          <w:szCs w:val="20"/>
        </w:rPr>
        <w:t>,</w:t>
      </w:r>
      <w:r w:rsidRPr="00772C40">
        <w:t xml:space="preserve"> and 31% of students communicated with their lecturers</w:t>
      </w:r>
      <w:r w:rsidRPr="00BA0807">
        <w:rPr>
          <w:szCs w:val="20"/>
        </w:rPr>
        <w:t>,</w:t>
      </w:r>
      <w:r w:rsidRPr="00772C40">
        <w:t xml:space="preserve"> or other </w:t>
      </w:r>
      <w:r w:rsidRPr="00BA0807">
        <w:t>students</w:t>
      </w:r>
      <w:r w:rsidRPr="00BA0807">
        <w:rPr>
          <w:szCs w:val="20"/>
        </w:rPr>
        <w:t>,</w:t>
      </w:r>
      <w:r w:rsidRPr="00BA0807">
        <w:t xml:space="preserve"> by </w:t>
      </w:r>
      <w:r w:rsidRPr="00772C40">
        <w:t xml:space="preserve">means of </w:t>
      </w:r>
      <w:r w:rsidRPr="00772C40">
        <w:rPr>
          <w:b/>
        </w:rPr>
        <w:t>educational portals</w:t>
      </w:r>
      <w:r w:rsidRPr="00772C40">
        <w:t xml:space="preserve">. Nearly 7% of students attended an </w:t>
      </w:r>
      <w:r w:rsidRPr="00772C40">
        <w:rPr>
          <w:b/>
        </w:rPr>
        <w:t>online course</w:t>
      </w:r>
      <w:r w:rsidRPr="00772C40">
        <w:t>.</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international comparison, the position of Czech </w:t>
      </w:r>
      <w:r w:rsidRPr="00BA0807">
        <w:t>students</w:t>
      </w:r>
      <w:r w:rsidRPr="00BA0807">
        <w:rPr>
          <w:szCs w:val="20"/>
        </w:rPr>
        <w:t>,</w:t>
      </w:r>
      <w:r w:rsidRPr="00772C40">
        <w:t xml:space="preserve"> in </w:t>
      </w:r>
      <w:r w:rsidRPr="00BA0807">
        <w:t>2017</w:t>
      </w:r>
      <w:r w:rsidRPr="00BA0807">
        <w:rPr>
          <w:szCs w:val="20"/>
        </w:rPr>
        <w:t>,</w:t>
      </w:r>
      <w:r w:rsidRPr="00BA0807">
        <w:t xml:space="preserve"> </w:t>
      </w:r>
      <w:r w:rsidRPr="00772C40">
        <w:t xml:space="preserve">with respect to the usage of educational resources over the </w:t>
      </w:r>
      <w:r w:rsidRPr="00BA0807">
        <w:t>internet</w:t>
      </w:r>
      <w:r w:rsidRPr="00BA0807">
        <w:rPr>
          <w:szCs w:val="20"/>
        </w:rPr>
        <w:t>,</w:t>
      </w:r>
      <w:r w:rsidRPr="00772C40">
        <w:t xml:space="preserve"> is the tenth, i.e. significantly </w:t>
      </w:r>
      <w:r w:rsidRPr="00772C40">
        <w:rPr>
          <w:b/>
        </w:rPr>
        <w:t>above the European average</w:t>
      </w:r>
      <w:r w:rsidRPr="00772C40">
        <w:t xml:space="preserve">. However, </w:t>
      </w:r>
      <w:r w:rsidRPr="00BA0807">
        <w:t xml:space="preserve">in regard to </w:t>
      </w:r>
      <w:r w:rsidRPr="00772C40">
        <w:t>the communication with lecturers</w:t>
      </w:r>
      <w:r w:rsidRPr="00BA0807">
        <w:rPr>
          <w:szCs w:val="20"/>
        </w:rPr>
        <w:t>,</w:t>
      </w:r>
      <w:r w:rsidRPr="00772C40">
        <w:t xml:space="preserve"> or other </w:t>
      </w:r>
      <w:r w:rsidRPr="00BA0807">
        <w:t>students</w:t>
      </w:r>
      <w:r w:rsidRPr="00BA0807">
        <w:rPr>
          <w:szCs w:val="20"/>
        </w:rPr>
        <w:t>,</w:t>
      </w:r>
      <w:r w:rsidRPr="00BA0807">
        <w:t xml:space="preserve"> </w:t>
      </w:r>
      <w:r w:rsidRPr="00772C40">
        <w:t>over the internet, we take fourteenth place of the European scale</w:t>
      </w:r>
      <w:r w:rsidRPr="00BA0807">
        <w:rPr>
          <w:szCs w:val="20"/>
        </w:rPr>
        <w:t>,</w:t>
      </w:r>
      <w:r w:rsidRPr="00BA0807">
        <w:t xml:space="preserve"> </w:t>
      </w:r>
      <w:r w:rsidRPr="00772C40">
        <w:t xml:space="preserve">and we are </w:t>
      </w:r>
      <w:r w:rsidRPr="00BA0807">
        <w:t>exactly</w:t>
      </w:r>
      <w:r w:rsidRPr="00ED3D12">
        <w:rPr>
          <w:color w:val="FF0000"/>
        </w:rPr>
        <w:t xml:space="preserve"> </w:t>
      </w:r>
      <w:r w:rsidRPr="00772C40">
        <w:t>on the EU28 average.</w:t>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It may not come as a surprise that </w:t>
      </w:r>
      <w:r w:rsidRPr="00772C40">
        <w:rPr>
          <w:b/>
        </w:rPr>
        <w:t xml:space="preserve">students’ (16+) activity over the internet </w:t>
      </w:r>
      <w:r w:rsidRPr="00772C40">
        <w:t xml:space="preserve">is more common than the activity of adult </w:t>
      </w:r>
      <w:r w:rsidRPr="00772C40">
        <w:rPr>
          <w:b/>
        </w:rPr>
        <w:t>individuals (16+) in total</w:t>
      </w:r>
      <w:r w:rsidRPr="00772C40">
        <w:t xml:space="preserve">. The most significant difference lies in the subject of </w:t>
      </w:r>
      <w:r w:rsidRPr="00772C40">
        <w:rPr>
          <w:b/>
        </w:rPr>
        <w:t>participation in social networks</w:t>
      </w:r>
      <w:r w:rsidRPr="00772C40">
        <w:t xml:space="preserve"> (94% of students and 41% of individuals</w:t>
      </w:r>
      <w:r w:rsidRPr="00BA0807">
        <w:t>)</w:t>
      </w:r>
      <w:r w:rsidRPr="00BA0807">
        <w:rPr>
          <w:szCs w:val="20"/>
        </w:rPr>
        <w:t>,</w:t>
      </w:r>
      <w:r w:rsidRPr="00772C40">
        <w:t xml:space="preserve"> and in </w:t>
      </w:r>
      <w:r w:rsidRPr="00772C40">
        <w:rPr>
          <w:b/>
        </w:rPr>
        <w:t>online game playing</w:t>
      </w:r>
      <w:r w:rsidRPr="00772C40">
        <w:t xml:space="preserve"> (63% of students; 19% of individuals in total). The only area</w:t>
      </w:r>
      <w:r w:rsidRPr="00883E84">
        <w:rPr>
          <w:szCs w:val="20"/>
        </w:rPr>
        <w:t>,</w:t>
      </w:r>
      <w:r w:rsidRPr="00883E84">
        <w:t xml:space="preserve"> </w:t>
      </w:r>
      <w:r w:rsidRPr="00772C40">
        <w:t xml:space="preserve">where individuals outperformed </w:t>
      </w:r>
      <w:r w:rsidRPr="00883E84">
        <w:t>students</w:t>
      </w:r>
      <w:r w:rsidRPr="00883E84">
        <w:rPr>
          <w:szCs w:val="20"/>
        </w:rPr>
        <w:t>,</w:t>
      </w:r>
      <w:r w:rsidRPr="00883E84">
        <w:t xml:space="preserve"> </w:t>
      </w:r>
      <w:r w:rsidRPr="00772C40">
        <w:t xml:space="preserve">was the usage of </w:t>
      </w:r>
      <w:r w:rsidRPr="00772C40">
        <w:rPr>
          <w:b/>
        </w:rPr>
        <w:t xml:space="preserve">internet banking </w:t>
      </w:r>
      <w:r w:rsidRPr="00772C40">
        <w:t>(34% of students, 48% of individuals in total).</w:t>
      </w:r>
    </w:p>
    <w:p w:rsidR="007B46EA" w:rsidRDefault="007B46EA" w:rsidP="00C801C5">
      <w:pPr>
        <w:autoSpaceDE w:val="0"/>
        <w:autoSpaceDN w:val="0"/>
        <w:adjustRightInd w:val="0"/>
        <w:spacing w:after="80" w:line="264" w:lineRule="auto"/>
        <w:ind w:left="284"/>
        <w:jc w:val="both"/>
        <w:rPr>
          <w:color w:val="009BB4"/>
        </w:rPr>
        <w:sectPr w:rsidR="007B46EA" w:rsidSect="007B46EA">
          <w:headerReference w:type="even" r:id="rId181"/>
          <w:headerReference w:type="default" r:id="rId182"/>
          <w:footerReference w:type="even" r:id="rId183"/>
          <w:footerReference w:type="default" r:id="rId184"/>
          <w:type w:val="continuous"/>
          <w:pgSz w:w="11906" w:h="16838" w:code="9"/>
          <w:pgMar w:top="1134" w:right="1134" w:bottom="1418" w:left="1134" w:header="680" w:footer="680" w:gutter="0"/>
          <w:cols w:space="2"/>
          <w:docGrid w:linePitch="360"/>
        </w:sectPr>
      </w:pPr>
      <w:r>
        <w:rPr>
          <w:noProof/>
          <w:lang w:val="cs-CZ"/>
        </w:rPr>
        <w:drawing>
          <wp:anchor distT="0" distB="0" distL="114300" distR="114300" simplePos="0" relativeHeight="251670016" behindDoc="1" locked="0" layoutInCell="1" allowOverlap="1">
            <wp:simplePos x="0" y="0"/>
            <wp:positionH relativeFrom="column">
              <wp:posOffset>3128010</wp:posOffset>
            </wp:positionH>
            <wp:positionV relativeFrom="paragraph">
              <wp:posOffset>153035</wp:posOffset>
            </wp:positionV>
            <wp:extent cx="2988000" cy="3420000"/>
            <wp:effectExtent l="0" t="0" r="3175" b="0"/>
            <wp:wrapTight wrapText="bothSides">
              <wp:wrapPolygon edited="0">
                <wp:start x="0" y="0"/>
                <wp:lineTo x="0" y="21419"/>
                <wp:lineTo x="21485" y="21419"/>
                <wp:lineTo x="21485" y="0"/>
                <wp:lineTo x="0" y="0"/>
              </wp:wrapPolygon>
            </wp:wrapTight>
            <wp:docPr id="213" name="Graf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677184" behindDoc="1" locked="0" layoutInCell="1" allowOverlap="1">
            <wp:simplePos x="0" y="0"/>
            <wp:positionH relativeFrom="column">
              <wp:posOffset>41910</wp:posOffset>
            </wp:positionH>
            <wp:positionV relativeFrom="paragraph">
              <wp:posOffset>160655</wp:posOffset>
            </wp:positionV>
            <wp:extent cx="2916000" cy="3420000"/>
            <wp:effectExtent l="0" t="0" r="0" b="0"/>
            <wp:wrapTight wrapText="bothSides">
              <wp:wrapPolygon edited="0">
                <wp:start x="0" y="0"/>
                <wp:lineTo x="0" y="21419"/>
                <wp:lineTo x="21449" y="21419"/>
                <wp:lineTo x="21449" y="0"/>
                <wp:lineTo x="0" y="0"/>
              </wp:wrapPolygon>
            </wp:wrapTight>
            <wp:docPr id="212" name="Graf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14:sizeRelH relativeFrom="page">
              <wp14:pctWidth>0</wp14:pctWidth>
            </wp14:sizeRelH>
            <wp14:sizeRelV relativeFrom="page">
              <wp14:pctHeight>0</wp14:pctHeight>
            </wp14:sizeRelV>
          </wp:anchor>
        </w:drawing>
      </w:r>
    </w:p>
    <w:p w:rsidR="007B46EA" w:rsidRPr="00772C40" w:rsidRDefault="007B46EA" w:rsidP="007B46EA">
      <w:pPr>
        <w:pStyle w:val="Nadpis2"/>
        <w:spacing w:before="0"/>
      </w:pPr>
      <w:bookmarkStart w:id="172" w:name="_Toc533697550"/>
      <w:bookmarkStart w:id="173" w:name="_Toc534712049"/>
      <w:r w:rsidRPr="00772C40">
        <w:lastRenderedPageBreak/>
        <w:t xml:space="preserve">F.4 </w:t>
      </w:r>
      <w:r>
        <w:t>D</w:t>
      </w:r>
      <w:r w:rsidRPr="00772C40">
        <w:t>igital skills</w:t>
      </w:r>
      <w:bookmarkEnd w:id="172"/>
      <w:bookmarkEnd w:id="173"/>
    </w:p>
    <w:p w:rsidR="007B46EA" w:rsidRDefault="007B46EA" w:rsidP="007B46EA">
      <w:pPr>
        <w:pStyle w:val="Zkladntext"/>
        <w:spacing w:before="0" w:after="80" w:line="264" w:lineRule="auto"/>
        <w:rPr>
          <w:i/>
          <w:sz w:val="20"/>
          <w:lang w:val="en-GB"/>
        </w:rPr>
      </w:pPr>
      <w:r w:rsidRPr="00772C40">
        <w:rPr>
          <w:i/>
          <w:sz w:val="20"/>
          <w:lang w:val="en-GB"/>
        </w:rPr>
        <w:t xml:space="preserve">Not only </w:t>
      </w:r>
      <w:r w:rsidRPr="00883E84">
        <w:rPr>
          <w:i/>
          <w:sz w:val="20"/>
          <w:lang w:val="en-GB"/>
        </w:rPr>
        <w:t xml:space="preserve">access to the internet </w:t>
      </w:r>
      <w:r w:rsidRPr="00772C40">
        <w:rPr>
          <w:i/>
          <w:sz w:val="20"/>
          <w:lang w:val="en-GB"/>
        </w:rPr>
        <w:t>and access to other IC</w:t>
      </w:r>
      <w:r w:rsidRPr="00883E84">
        <w:rPr>
          <w:i/>
          <w:sz w:val="20"/>
          <w:lang w:val="en-GB"/>
        </w:rPr>
        <w:t>Ts</w:t>
      </w:r>
      <w:r w:rsidRPr="00772C40">
        <w:rPr>
          <w:i/>
          <w:sz w:val="20"/>
          <w:lang w:val="en-GB"/>
        </w:rPr>
        <w:t xml:space="preserve">, but primarily the motivation and ability of individuals to </w:t>
      </w:r>
      <w:r w:rsidRPr="00883E84">
        <w:rPr>
          <w:i/>
          <w:sz w:val="20"/>
          <w:lang w:val="en-GB"/>
        </w:rPr>
        <w:t>efficiently</w:t>
      </w:r>
      <w:r>
        <w:rPr>
          <w:i/>
          <w:color w:val="FF0000"/>
          <w:sz w:val="20"/>
          <w:lang w:val="en-GB"/>
        </w:rPr>
        <w:t xml:space="preserve"> </w:t>
      </w:r>
      <w:r w:rsidRPr="00772C40">
        <w:rPr>
          <w:i/>
          <w:sz w:val="20"/>
          <w:lang w:val="en-GB"/>
        </w:rPr>
        <w:t xml:space="preserve">use the applications and services </w:t>
      </w:r>
      <w:r w:rsidRPr="00883E84">
        <w:rPr>
          <w:i/>
          <w:sz w:val="20"/>
          <w:lang w:val="en-GB"/>
        </w:rPr>
        <w:t>offered</w:t>
      </w:r>
      <w:r w:rsidRPr="00883E84">
        <w:rPr>
          <w:szCs w:val="20"/>
        </w:rPr>
        <w:t>,</w:t>
      </w:r>
      <w:r w:rsidRPr="00772C40">
        <w:rPr>
          <w:i/>
          <w:sz w:val="20"/>
          <w:lang w:val="en-GB"/>
        </w:rPr>
        <w:t xml:space="preserve"> through these technologies (digital skills)</w:t>
      </w:r>
      <w:r>
        <w:rPr>
          <w:i/>
          <w:sz w:val="20"/>
          <w:lang w:val="en-GB"/>
        </w:rPr>
        <w:t>,</w:t>
      </w:r>
      <w:r w:rsidRPr="00772C40">
        <w:rPr>
          <w:i/>
          <w:sz w:val="20"/>
          <w:lang w:val="en-GB"/>
        </w:rPr>
        <w:t xml:space="preserve"> is currently considered as one of the key factors of economic, social, and political development of society. The ability to work with digital technologies belongs among eight key </w:t>
      </w:r>
      <w:r w:rsidRPr="00883E84">
        <w:rPr>
          <w:i/>
          <w:sz w:val="20"/>
          <w:lang w:val="en-GB"/>
        </w:rPr>
        <w:t>skills</w:t>
      </w:r>
      <w:r w:rsidRPr="00883E84">
        <w:rPr>
          <w:szCs w:val="20"/>
        </w:rPr>
        <w:t>,</w:t>
      </w:r>
      <w:r w:rsidRPr="00772C40">
        <w:rPr>
          <w:i/>
          <w:sz w:val="20"/>
          <w:lang w:val="en-GB"/>
        </w:rPr>
        <w:t xml:space="preserve"> which are absolutely indispensab</w:t>
      </w:r>
      <w:r>
        <w:rPr>
          <w:i/>
          <w:sz w:val="20"/>
          <w:lang w:val="en-GB"/>
        </w:rPr>
        <w:t xml:space="preserve">le for know-how-based </w:t>
      </w:r>
      <w:r w:rsidR="00DE59BE">
        <w:rPr>
          <w:i/>
          <w:sz w:val="20"/>
          <w:lang w:val="en-GB"/>
        </w:rPr>
        <w:t>society</w:t>
      </w:r>
      <w:r w:rsidRPr="00772C40">
        <w:rPr>
          <w:rStyle w:val="Znakapoznpodarou"/>
          <w:i/>
          <w:sz w:val="20"/>
          <w:lang w:val="en-GB"/>
        </w:rPr>
        <w:footnoteReference w:id="61"/>
      </w:r>
      <w:r>
        <w:rPr>
          <w:i/>
          <w:sz w:val="20"/>
          <w:lang w:val="en-GB"/>
        </w:rPr>
        <w:t>.</w:t>
      </w:r>
      <w:r w:rsidRPr="00772C40">
        <w:rPr>
          <w:i/>
          <w:sz w:val="20"/>
          <w:lang w:val="en-GB"/>
        </w:rPr>
        <w:t xml:space="preserve"> At the same time, safe navigation through the internet is </w:t>
      </w:r>
      <w:r w:rsidRPr="00883E84">
        <w:rPr>
          <w:i/>
          <w:sz w:val="20"/>
          <w:lang w:val="en-GB"/>
        </w:rPr>
        <w:t>equally</w:t>
      </w:r>
      <w:r w:rsidRPr="009F7D37">
        <w:rPr>
          <w:i/>
          <w:color w:val="FF0000"/>
          <w:sz w:val="20"/>
          <w:lang w:val="en-GB"/>
        </w:rPr>
        <w:t xml:space="preserve"> </w:t>
      </w:r>
      <w:r w:rsidRPr="00772C40">
        <w:rPr>
          <w:i/>
          <w:sz w:val="20"/>
          <w:lang w:val="en-GB"/>
        </w:rPr>
        <w:t>important.</w:t>
      </w:r>
    </w:p>
    <w:p w:rsidR="007B46EA" w:rsidRDefault="007B46EA" w:rsidP="007B46EA">
      <w:pPr>
        <w:pStyle w:val="Zkladntext"/>
        <w:spacing w:before="0" w:after="80" w:line="264" w:lineRule="auto"/>
        <w:rPr>
          <w:i/>
          <w:sz w:val="20"/>
          <w:lang w:val="en-GB"/>
        </w:rPr>
      </w:pPr>
      <w:r w:rsidRPr="00793C4A">
        <w:rPr>
          <w:i/>
          <w:sz w:val="20"/>
          <w:lang w:val="en-GB"/>
        </w:rPr>
        <w:t xml:space="preserve">With the intensive use of ICT at work, individuals are required to make use of new skills along three lines. Firstly, the production of ICT products and services – software, web pages, e-commerce, cloud, big data, etc. – requires ICT specialist skills </w:t>
      </w:r>
      <w:r w:rsidRPr="00883E84">
        <w:rPr>
          <w:i/>
          <w:sz w:val="20"/>
          <w:lang w:val="en-GB"/>
        </w:rPr>
        <w:t>for the programming and development of applications, as well as for managing networks.</w:t>
      </w:r>
      <w:r w:rsidRPr="00793C4A">
        <w:rPr>
          <w:i/>
          <w:sz w:val="20"/>
          <w:lang w:val="en-GB"/>
        </w:rPr>
        <w:t xml:space="preserve"> Secondly, workers across an increasing range of occupations need to acquire generic ICT skills </w:t>
      </w:r>
      <w:r w:rsidRPr="00883E84">
        <w:rPr>
          <w:i/>
          <w:sz w:val="20"/>
          <w:lang w:val="en-GB"/>
        </w:rPr>
        <w:t>in order</w:t>
      </w:r>
      <w:r>
        <w:rPr>
          <w:i/>
          <w:color w:val="FF0000"/>
          <w:sz w:val="20"/>
          <w:lang w:val="en-GB"/>
        </w:rPr>
        <w:t xml:space="preserve"> </w:t>
      </w:r>
      <w:r w:rsidRPr="00793C4A">
        <w:rPr>
          <w:i/>
          <w:sz w:val="20"/>
          <w:lang w:val="en-GB"/>
        </w:rPr>
        <w:t xml:space="preserve">to be able to use such technologies in their daily work – to access information online, use software, etc. Finally, the use of ICT is changing, the way work is carried </w:t>
      </w:r>
      <w:r w:rsidRPr="00883E84">
        <w:rPr>
          <w:i/>
          <w:sz w:val="20"/>
          <w:lang w:val="en-GB"/>
        </w:rPr>
        <w:t>out</w:t>
      </w:r>
      <w:r w:rsidRPr="00883E84">
        <w:rPr>
          <w:sz w:val="20"/>
          <w:szCs w:val="20"/>
        </w:rPr>
        <w:t>,</w:t>
      </w:r>
      <w:r w:rsidRPr="00793C4A">
        <w:rPr>
          <w:i/>
          <w:sz w:val="20"/>
          <w:lang w:val="en-GB"/>
        </w:rPr>
        <w:t xml:space="preserve"> and raising the demand for ICT complementary skills, e.g. the capability to communicate </w:t>
      </w:r>
      <w:r w:rsidRPr="00883E84">
        <w:rPr>
          <w:i/>
          <w:sz w:val="20"/>
          <w:lang w:val="en-GB"/>
        </w:rPr>
        <w:t>on</w:t>
      </w:r>
      <w:r w:rsidRPr="00F02CF5">
        <w:rPr>
          <w:i/>
          <w:color w:val="FF0000"/>
          <w:sz w:val="20"/>
          <w:lang w:val="en-GB"/>
        </w:rPr>
        <w:t xml:space="preserve"> </w:t>
      </w:r>
      <w:r w:rsidRPr="00793C4A">
        <w:rPr>
          <w:i/>
          <w:sz w:val="20"/>
          <w:lang w:val="en-GB"/>
        </w:rPr>
        <w:t>social networks, to brand products on e-commerce platforms or capability to find, evaluate and create information in different media and</w:t>
      </w:r>
      <w:r>
        <w:rPr>
          <w:i/>
          <w:sz w:val="20"/>
          <w:lang w:val="en-GB"/>
        </w:rPr>
        <w:t xml:space="preserve"> </w:t>
      </w:r>
      <w:r w:rsidRPr="00883E84">
        <w:rPr>
          <w:i/>
          <w:sz w:val="20"/>
          <w:lang w:val="en-GB"/>
        </w:rPr>
        <w:t xml:space="preserve">for different </w:t>
      </w:r>
      <w:r w:rsidRPr="00793C4A">
        <w:rPr>
          <w:i/>
          <w:sz w:val="20"/>
          <w:lang w:val="en-GB"/>
        </w:rPr>
        <w:t xml:space="preserve">contexts (media and information literacy). </w:t>
      </w:r>
    </w:p>
    <w:p w:rsidR="007B46EA" w:rsidRPr="00441E4F" w:rsidRDefault="007B46EA" w:rsidP="007B46EA">
      <w:pPr>
        <w:pStyle w:val="Zkladntext"/>
        <w:spacing w:before="0" w:after="80" w:line="264" w:lineRule="auto"/>
        <w:rPr>
          <w:i/>
          <w:sz w:val="20"/>
          <w:lang w:val="en-GB"/>
        </w:rPr>
      </w:pPr>
      <w:r w:rsidRPr="00323024">
        <w:rPr>
          <w:i/>
          <w:sz w:val="20"/>
          <w:lang w:val="en-GB"/>
        </w:rPr>
        <w:t>While the majority of people in the Cz</w:t>
      </w:r>
      <w:r w:rsidR="003312EF">
        <w:rPr>
          <w:i/>
          <w:sz w:val="20"/>
          <w:lang w:val="en-GB"/>
        </w:rPr>
        <w:t>ech Republic now have access to the i</w:t>
      </w:r>
      <w:r w:rsidRPr="00323024">
        <w:rPr>
          <w:i/>
          <w:sz w:val="20"/>
          <w:lang w:val="en-GB"/>
        </w:rPr>
        <w:t>nternet, the digital divide based on lack of skills to use the internet efficiently limits not just people’s job prospects, but its implications extend to all areas of well-being. In people’s daily lives, this inequality in digital skills manifests itself in the form of different abili</w:t>
      </w:r>
      <w:r w:rsidR="003312EF">
        <w:rPr>
          <w:i/>
          <w:sz w:val="20"/>
          <w:lang w:val="en-GB"/>
        </w:rPr>
        <w:t>ties to use the i</w:t>
      </w:r>
      <w:r w:rsidRPr="00323024">
        <w:rPr>
          <w:i/>
          <w:sz w:val="20"/>
          <w:lang w:val="en-GB"/>
        </w:rPr>
        <w:t xml:space="preserve">nternet in a variety of ways. All time-saving opportunities, new ways to access information and social networking depend on people’s ability to take advantage of the various possibilities that </w:t>
      </w:r>
      <w:r w:rsidR="003312EF">
        <w:rPr>
          <w:i/>
          <w:sz w:val="20"/>
          <w:lang w:val="en-GB"/>
        </w:rPr>
        <w:t>internet provided. As i</w:t>
      </w:r>
      <w:r w:rsidRPr="00323024">
        <w:rPr>
          <w:i/>
          <w:sz w:val="20"/>
          <w:lang w:val="en-GB"/>
        </w:rPr>
        <w:t xml:space="preserve">nternet access rates are very high in all EU countries, differences in ability to use the </w:t>
      </w:r>
      <w:r w:rsidR="003312EF">
        <w:rPr>
          <w:i/>
          <w:sz w:val="20"/>
          <w:lang w:val="en-GB"/>
        </w:rPr>
        <w:t>i</w:t>
      </w:r>
      <w:r w:rsidRPr="00323024">
        <w:rPr>
          <w:i/>
          <w:sz w:val="20"/>
          <w:lang w:val="en-GB"/>
        </w:rPr>
        <w:t>nternet are a key motor of inequalities.</w:t>
      </w:r>
    </w:p>
    <w:p w:rsidR="007B46EA"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In the Czech Republic, three fifths of persons over the age of 16 (60%) stated</w:t>
      </w:r>
      <w:r w:rsidRPr="00883E84">
        <w:rPr>
          <w:szCs w:val="20"/>
        </w:rPr>
        <w:t>,</w:t>
      </w:r>
      <w:r w:rsidRPr="00772C40">
        <w:t xml:space="preserve"> in </w:t>
      </w:r>
      <w:r w:rsidRPr="00883E84">
        <w:t>2016</w:t>
      </w:r>
      <w:r w:rsidRPr="00883E84">
        <w:rPr>
          <w:szCs w:val="20"/>
        </w:rPr>
        <w:t>,</w:t>
      </w:r>
      <w:r w:rsidRPr="00883E84">
        <w:t xml:space="preserve"> </w:t>
      </w:r>
      <w:r w:rsidRPr="00772C40">
        <w:t xml:space="preserve">to have </w:t>
      </w:r>
      <w:r w:rsidRPr="00772C40">
        <w:rPr>
          <w:b/>
        </w:rPr>
        <w:t>copied</w:t>
      </w:r>
      <w:r w:rsidRPr="00772C40">
        <w:t xml:space="preserve"> or transferred files or folders throughout their </w:t>
      </w:r>
      <w:r w:rsidRPr="00883E84">
        <w:t>computer</w:t>
      </w:r>
      <w:r w:rsidRPr="00883E84">
        <w:rPr>
          <w:szCs w:val="20"/>
        </w:rPr>
        <w:t>,</w:t>
      </w:r>
      <w:r w:rsidRPr="00883E84">
        <w:t xml:space="preserve"> in </w:t>
      </w:r>
      <w:r w:rsidRPr="00772C40">
        <w:t>the past 12 months</w:t>
      </w:r>
      <w:r w:rsidRPr="00883E84">
        <w:t xml:space="preserve">. A </w:t>
      </w:r>
      <w:r w:rsidRPr="00772C40">
        <w:t xml:space="preserve">quarter of individuals worked with a graphic </w:t>
      </w:r>
      <w:r w:rsidRPr="00772C40">
        <w:rPr>
          <w:b/>
        </w:rPr>
        <w:t>photo-editing programme</w:t>
      </w:r>
      <w:r w:rsidRPr="00883E84">
        <w:rPr>
          <w:szCs w:val="20"/>
        </w:rPr>
        <w:t>,</w:t>
      </w:r>
      <w:r w:rsidRPr="00772C40">
        <w:rPr>
          <w:b/>
        </w:rPr>
        <w:t xml:space="preserve"> </w:t>
      </w:r>
      <w:r w:rsidRPr="00772C40">
        <w:t xml:space="preserve">and 4% of them </w:t>
      </w:r>
      <w:r w:rsidRPr="00772C40">
        <w:rPr>
          <w:b/>
        </w:rPr>
        <w:t>did the programming</w:t>
      </w:r>
      <w:r w:rsidRPr="00772C40">
        <w:t xml:space="preserve">. These selected computer skills are mainly the </w:t>
      </w:r>
      <w:r w:rsidRPr="00883E84">
        <w:t xml:space="preserve">interests of the </w:t>
      </w:r>
      <w:r w:rsidRPr="00772C40">
        <w:t>young generation and men's (programming in particular). The aforementioned skills are also more frequently exhibited by students and people with a higher degree of education.</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The </w:t>
      </w:r>
      <w:r>
        <w:t xml:space="preserve">Czech Statistical Office </w:t>
      </w:r>
      <w:r w:rsidRPr="00772C40">
        <w:t xml:space="preserve">also inquired on the number of </w:t>
      </w:r>
      <w:r w:rsidRPr="00883E84">
        <w:t>inhabitants</w:t>
      </w:r>
      <w:r w:rsidRPr="00883E84">
        <w:rPr>
          <w:szCs w:val="20"/>
        </w:rPr>
        <w:t>,</w:t>
      </w:r>
      <w:r w:rsidRPr="00883E84">
        <w:t xml:space="preserve"> </w:t>
      </w:r>
      <w:r>
        <w:t xml:space="preserve">of the Czech </w:t>
      </w:r>
      <w:r w:rsidRPr="00883E84">
        <w:t>Republic</w:t>
      </w:r>
      <w:r w:rsidRPr="00883E84">
        <w:rPr>
          <w:szCs w:val="20"/>
        </w:rPr>
        <w:t xml:space="preserve">, </w:t>
      </w:r>
      <w:r w:rsidRPr="00883E84">
        <w:t xml:space="preserve">using </w:t>
      </w:r>
      <w:r w:rsidRPr="00772C40">
        <w:t xml:space="preserve">the common </w:t>
      </w:r>
      <w:r w:rsidRPr="00772C40">
        <w:rPr>
          <w:b/>
        </w:rPr>
        <w:t>office computer programmes</w:t>
      </w:r>
      <w:r w:rsidRPr="00772C40">
        <w:t xml:space="preserve">. Most individuals aged 16+ stated to have been using </w:t>
      </w:r>
      <w:r w:rsidRPr="00772C40">
        <w:rPr>
          <w:b/>
        </w:rPr>
        <w:t xml:space="preserve">word processing software </w:t>
      </w:r>
      <w:r w:rsidRPr="00772C40">
        <w:t xml:space="preserve">(e.g. MS Word) </w:t>
      </w:r>
      <w:r>
        <w:t>–</w:t>
      </w:r>
      <w:r w:rsidRPr="00772C40">
        <w:t xml:space="preserve"> in 2017, there was nearly a half of them (54%). In the same year, more than a third (41%) of them used </w:t>
      </w:r>
      <w:r w:rsidRPr="00772C40">
        <w:rPr>
          <w:b/>
        </w:rPr>
        <w:t>spread sheet software</w:t>
      </w:r>
      <w:r w:rsidRPr="00772C40">
        <w:t xml:space="preserve"> (e.g. MS Excel), and a quarter of them (25%) stated to have been using </w:t>
      </w:r>
      <w:r w:rsidRPr="00772C40">
        <w:rPr>
          <w:b/>
        </w:rPr>
        <w:t>presentation software</w:t>
      </w:r>
      <w:r w:rsidRPr="00772C40">
        <w:t xml:space="preserve"> (e.g. MS PowerPoint). All these office programmes are </w:t>
      </w:r>
      <w:r w:rsidRPr="00772C40">
        <w:rPr>
          <w:b/>
        </w:rPr>
        <w:t>more frequently used by men than women</w:t>
      </w:r>
      <w:r w:rsidRPr="00772C40">
        <w:t xml:space="preserve">. With increasing </w:t>
      </w:r>
      <w:r w:rsidRPr="00772C40">
        <w:rPr>
          <w:b/>
        </w:rPr>
        <w:t>age</w:t>
      </w:r>
      <w:r w:rsidRPr="00772C40">
        <w:t xml:space="preserve">, the percentage of people using the given software is decreasing, </w:t>
      </w:r>
      <w:r w:rsidRPr="00387B64">
        <w:t xml:space="preserve">however, with an </w:t>
      </w:r>
      <w:r w:rsidRPr="00772C40">
        <w:t xml:space="preserve">increasing level of </w:t>
      </w:r>
      <w:r w:rsidRPr="00387B64">
        <w:rPr>
          <w:b/>
        </w:rPr>
        <w:t>education</w:t>
      </w:r>
      <w:r w:rsidRPr="00387B64">
        <w:rPr>
          <w:szCs w:val="20"/>
        </w:rPr>
        <w:t>,</w:t>
      </w:r>
      <w:r w:rsidRPr="00387B64">
        <w:t xml:space="preserve"> the </w:t>
      </w:r>
      <w:r w:rsidRPr="00772C40">
        <w:t>percentage of such people is increasing.</w:t>
      </w:r>
    </w:p>
    <w:p w:rsidR="007B46EA" w:rsidRDefault="007B46EA" w:rsidP="007B46EA">
      <w:pPr>
        <w:autoSpaceDE w:val="0"/>
        <w:autoSpaceDN w:val="0"/>
        <w:adjustRightInd w:val="0"/>
        <w:spacing w:after="100" w:line="264" w:lineRule="auto"/>
        <w:jc w:val="both"/>
      </w:pPr>
      <w:r>
        <w:rPr>
          <w:noProof/>
          <w:lang w:val="cs-CZ"/>
        </w:rPr>
        <w:lastRenderedPageBreak/>
        <w:drawing>
          <wp:inline distT="0" distB="0" distL="0" distR="0" wp14:anchorId="37FADEC6" wp14:editId="2E4113F1">
            <wp:extent cx="2952000" cy="3060000"/>
            <wp:effectExtent l="0" t="0" r="1270" b="762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r w:rsidRPr="00E1026A">
        <w:rPr>
          <w:noProof/>
        </w:rPr>
        <w:t xml:space="preserve"> </w:t>
      </w:r>
      <w:r>
        <w:rPr>
          <w:noProof/>
          <w:lang w:val="cs-CZ"/>
        </w:rPr>
        <w:drawing>
          <wp:inline distT="0" distB="0" distL="0" distR="0" wp14:anchorId="11A6DF5E" wp14:editId="49D3D252">
            <wp:extent cx="3132000" cy="3060000"/>
            <wp:effectExtent l="0" t="0" r="0" b="762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rPr>
          <w:b/>
        </w:rPr>
        <w:t xml:space="preserve">In international </w:t>
      </w:r>
      <w:r w:rsidRPr="00387B64">
        <w:rPr>
          <w:b/>
        </w:rPr>
        <w:t>comparison</w:t>
      </w:r>
      <w:r w:rsidRPr="00387B64">
        <w:rPr>
          <w:szCs w:val="20"/>
        </w:rPr>
        <w:t>,</w:t>
      </w:r>
      <w:r w:rsidRPr="00772C40">
        <w:t xml:space="preserve"> the percentage of </w:t>
      </w:r>
      <w:r w:rsidRPr="00387B64">
        <w:t xml:space="preserve">Czech </w:t>
      </w:r>
      <w:r w:rsidRPr="00772C40">
        <w:t xml:space="preserve">individuals using </w:t>
      </w:r>
      <w:r w:rsidRPr="00772C40">
        <w:rPr>
          <w:b/>
        </w:rPr>
        <w:t>spread</w:t>
      </w:r>
      <w:r w:rsidRPr="00772C40">
        <w:t xml:space="preserve"> </w:t>
      </w:r>
      <w:r w:rsidRPr="00772C40">
        <w:rPr>
          <w:b/>
        </w:rPr>
        <w:t>sheet software</w:t>
      </w:r>
      <w:r w:rsidRPr="00772C40">
        <w:t xml:space="preserve">, found themselves approximately in the middle position, slightly </w:t>
      </w:r>
      <w:r w:rsidRPr="00772C40">
        <w:rPr>
          <w:b/>
        </w:rPr>
        <w:t>above the EU28 average</w:t>
      </w:r>
      <w:r w:rsidRPr="00772C40">
        <w:t xml:space="preserve">. If solely </w:t>
      </w:r>
      <w:r w:rsidRPr="00387B64">
        <w:t>assessing</w:t>
      </w:r>
      <w:r>
        <w:rPr>
          <w:color w:val="FF0000"/>
        </w:rPr>
        <w:t xml:space="preserve"> </w:t>
      </w:r>
      <w:r w:rsidRPr="00772C40">
        <w:t xml:space="preserve">the advanced skills of </w:t>
      </w:r>
      <w:r>
        <w:t>using the spread sheet software</w:t>
      </w:r>
      <w:r w:rsidRPr="00224AA7">
        <w:rPr>
          <w:color w:val="FF0000"/>
        </w:rPr>
        <w:t xml:space="preserve"> </w:t>
      </w:r>
      <w:r w:rsidRPr="00772C40">
        <w:t>(e.g. calculations usage, graph creation, filter usage, and so on), the Czechs would be placed below the EU28 average.</w:t>
      </w:r>
    </w:p>
    <w:p w:rsidR="007B46EA" w:rsidRPr="00772C40" w:rsidRDefault="007B46EA" w:rsidP="007B46EA">
      <w:pPr>
        <w:autoSpaceDE w:val="0"/>
        <w:autoSpaceDN w:val="0"/>
        <w:adjustRightInd w:val="0"/>
        <w:spacing w:after="100" w:line="264" w:lineRule="auto"/>
        <w:jc w:val="both"/>
      </w:pPr>
      <w:r>
        <w:rPr>
          <w:noProof/>
          <w:lang w:val="cs-CZ"/>
        </w:rPr>
        <w:drawing>
          <wp:inline distT="0" distB="0" distL="0" distR="0" wp14:anchorId="5E385DF7" wp14:editId="3379C631">
            <wp:extent cx="5972810" cy="4320000"/>
            <wp:effectExtent l="0" t="0" r="8890" b="4445"/>
            <wp:docPr id="216" name="Graf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7B46EA" w:rsidRDefault="007B46EA" w:rsidP="007B46EA">
      <w:pPr>
        <w:spacing w:line="240" w:lineRule="auto"/>
        <w:rPr>
          <w:b/>
          <w:color w:val="009BB4"/>
          <w:sz w:val="28"/>
        </w:rPr>
      </w:pPr>
      <w:r>
        <w:rPr>
          <w:b/>
          <w:color w:val="009BB4"/>
          <w:sz w:val="28"/>
        </w:rPr>
        <w:br w:type="page"/>
      </w:r>
    </w:p>
    <w:p w:rsidR="007B46EA" w:rsidRPr="00772C40" w:rsidRDefault="007B46EA" w:rsidP="00A650F3">
      <w:pPr>
        <w:pStyle w:val="Nadpis2"/>
        <w:spacing w:before="0"/>
      </w:pPr>
      <w:bookmarkStart w:id="174" w:name="_Toc533697551"/>
      <w:bookmarkStart w:id="175" w:name="_Toc534712050"/>
      <w:r w:rsidRPr="00772C40">
        <w:lastRenderedPageBreak/>
        <w:t xml:space="preserve">F.5 Students and graduates </w:t>
      </w:r>
      <w:r>
        <w:t xml:space="preserve">in </w:t>
      </w:r>
      <w:r w:rsidRPr="00772C40">
        <w:t>ICT field</w:t>
      </w:r>
      <w:r>
        <w:t xml:space="preserve"> of education</w:t>
      </w:r>
      <w:bookmarkEnd w:id="174"/>
      <w:bookmarkEnd w:id="175"/>
      <w:r w:rsidRPr="00772C40">
        <w:t xml:space="preserve"> </w:t>
      </w:r>
    </w:p>
    <w:p w:rsidR="007B46EA" w:rsidRPr="00224AA7" w:rsidRDefault="007B46EA" w:rsidP="007B46EA">
      <w:pPr>
        <w:autoSpaceDE w:val="0"/>
        <w:autoSpaceDN w:val="0"/>
        <w:adjustRightInd w:val="0"/>
        <w:spacing w:after="80" w:line="264" w:lineRule="auto"/>
        <w:jc w:val="both"/>
        <w:rPr>
          <w:i/>
          <w:szCs w:val="20"/>
        </w:rPr>
      </w:pPr>
      <w:r w:rsidRPr="00224AA7">
        <w:rPr>
          <w:i/>
          <w:szCs w:val="20"/>
        </w:rPr>
        <w:t xml:space="preserve">When choosing a university to </w:t>
      </w:r>
      <w:r w:rsidRPr="00387B64">
        <w:rPr>
          <w:i/>
          <w:szCs w:val="20"/>
        </w:rPr>
        <w:t>study at</w:t>
      </w:r>
      <w:r w:rsidRPr="00224AA7">
        <w:rPr>
          <w:i/>
          <w:szCs w:val="20"/>
        </w:rPr>
        <w:t xml:space="preserve">, the future of the ICT </w:t>
      </w:r>
      <w:r w:rsidRPr="00387B64">
        <w:rPr>
          <w:i/>
          <w:szCs w:val="20"/>
        </w:rPr>
        <w:t xml:space="preserve">field, and the </w:t>
      </w:r>
      <w:r w:rsidRPr="00224AA7">
        <w:rPr>
          <w:i/>
          <w:szCs w:val="20"/>
        </w:rPr>
        <w:t xml:space="preserve">opportunities it </w:t>
      </w:r>
      <w:r w:rsidRPr="00387B64">
        <w:rPr>
          <w:i/>
          <w:szCs w:val="20"/>
        </w:rPr>
        <w:t xml:space="preserve">provides, </w:t>
      </w:r>
      <w:r w:rsidRPr="00224AA7">
        <w:rPr>
          <w:i/>
          <w:szCs w:val="20"/>
        </w:rPr>
        <w:t xml:space="preserve">are acknowledged by a large number of students. Apart from motivating earnings potential, which belongs to the higher ones within the national economy, applicants are often tempted by the possibility of home office, flexible working hours, custom-made work, and other advantages.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w:t>
      </w:r>
      <w:r>
        <w:t xml:space="preserve">over </w:t>
      </w:r>
      <w:r w:rsidRPr="00387B64">
        <w:t xml:space="preserve">17 thousand students at Czech universities studied within </w:t>
      </w:r>
      <w:r w:rsidRPr="00224AA7">
        <w:rPr>
          <w:color w:val="000000" w:themeColor="text1"/>
        </w:rPr>
        <w:t xml:space="preserve">the </w:t>
      </w:r>
      <w:r w:rsidRPr="00772C40">
        <w:rPr>
          <w:b/>
        </w:rPr>
        <w:t>ICT field</w:t>
      </w:r>
      <w:r>
        <w:rPr>
          <w:b/>
        </w:rPr>
        <w:t xml:space="preserve">s of education, </w:t>
      </w:r>
      <w:r w:rsidRPr="00772C40">
        <w:t>which is 5.5% of the total number of students</w:t>
      </w:r>
      <w:r w:rsidRPr="00772C40">
        <w:rPr>
          <w:rStyle w:val="Znakapoznpodarou"/>
        </w:rPr>
        <w:footnoteReference w:id="62"/>
      </w:r>
      <w:r w:rsidRPr="00772C40">
        <w:t xml:space="preserve">. Nearly a fifth (15.7%) of the total number of ICT field studies was formed by </w:t>
      </w:r>
      <w:r w:rsidRPr="00772C40">
        <w:rPr>
          <w:b/>
        </w:rPr>
        <w:t>women</w:t>
      </w:r>
      <w:r>
        <w:rPr>
          <w:b/>
        </w:rPr>
        <w:t xml:space="preserve"> </w:t>
      </w:r>
      <w:r w:rsidRPr="00772C40">
        <w:t xml:space="preserve">a quarter (25%) of all these students had </w:t>
      </w:r>
      <w:r w:rsidRPr="00772C40">
        <w:rPr>
          <w:b/>
        </w:rPr>
        <w:t>foreign citizenship</w:t>
      </w:r>
      <w:r w:rsidRPr="00772C40">
        <w:t>.</w:t>
      </w:r>
    </w:p>
    <w:p w:rsidR="007B46EA" w:rsidRDefault="007B46EA" w:rsidP="007B46EA">
      <w:pPr>
        <w:autoSpaceDE w:val="0"/>
        <w:autoSpaceDN w:val="0"/>
        <w:adjustRightInd w:val="0"/>
        <w:spacing w:after="100" w:line="264" w:lineRule="auto"/>
        <w:jc w:val="both"/>
      </w:pPr>
      <w:r>
        <w:rPr>
          <w:noProof/>
          <w:lang w:val="cs-CZ"/>
        </w:rPr>
        <w:drawing>
          <wp:inline distT="0" distB="0" distL="0" distR="0" wp14:anchorId="61B50A22" wp14:editId="7952AD5D">
            <wp:extent cx="3132000" cy="3240000"/>
            <wp:effectExtent l="0" t="0" r="0" b="0"/>
            <wp:docPr id="217" name="Graf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r w:rsidRPr="00E1026A">
        <w:rPr>
          <w:noProof/>
        </w:rPr>
        <w:t xml:space="preserve"> </w:t>
      </w:r>
      <w:r>
        <w:rPr>
          <w:noProof/>
          <w:lang w:val="cs-CZ"/>
        </w:rPr>
        <w:drawing>
          <wp:inline distT="0" distB="0" distL="0" distR="0" wp14:anchorId="73D1C204" wp14:editId="510D0FC2">
            <wp:extent cx="2952000" cy="3240000"/>
            <wp:effectExtent l="0" t="0" r="1270" b="0"/>
            <wp:docPr id="218" name="Graf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The highest share of university students of ICT was found in </w:t>
      </w:r>
      <w:r w:rsidRPr="00772C40">
        <w:rPr>
          <w:b/>
        </w:rPr>
        <w:t>bachelor degree programmes</w:t>
      </w:r>
      <w:r w:rsidRPr="00772C40">
        <w:t xml:space="preserve"> (68%), more than a quarter (27%) in master programmes, and 5% in</w:t>
      </w:r>
      <w:r w:rsidRPr="00772C40">
        <w:rPr>
          <w:b/>
        </w:rPr>
        <w:t xml:space="preserve"> </w:t>
      </w:r>
      <w:r w:rsidRPr="00772C40">
        <w:t>doctoral studies.</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Compared to other </w:t>
      </w:r>
      <w:r w:rsidRPr="00772C40">
        <w:rPr>
          <w:b/>
        </w:rPr>
        <w:t>EU28 countries</w:t>
      </w:r>
      <w:r w:rsidRPr="00772C40">
        <w:t>, in 2015</w:t>
      </w:r>
      <w:r w:rsidRPr="005860C6">
        <w:rPr>
          <w:szCs w:val="20"/>
        </w:rPr>
        <w:t>,</w:t>
      </w:r>
      <w:r w:rsidRPr="00772C40">
        <w:t xml:space="preserve"> the Czech Republic’s </w:t>
      </w:r>
      <w:r w:rsidRPr="00387B64">
        <w:t xml:space="preserve">20–29 </w:t>
      </w:r>
      <w:r w:rsidRPr="00772C40">
        <w:t xml:space="preserve">age group was formed by an extraordinarily higher number of ICT university students (1.4%; EU28 average was 1.2%). The highest share of ICT </w:t>
      </w:r>
      <w:r w:rsidRPr="00387B64">
        <w:t>students</w:t>
      </w:r>
      <w:r w:rsidRPr="00387B64">
        <w:rPr>
          <w:szCs w:val="20"/>
        </w:rPr>
        <w:t>,</w:t>
      </w:r>
      <w:r w:rsidRPr="00387B64">
        <w:t xml:space="preserve"> </w:t>
      </w:r>
      <w:r w:rsidRPr="00772C40">
        <w:t xml:space="preserve">within the aforementioned </w:t>
      </w:r>
      <w:r w:rsidRPr="00387B64">
        <w:t>group</w:t>
      </w:r>
      <w:r w:rsidRPr="00387B64">
        <w:rPr>
          <w:szCs w:val="20"/>
        </w:rPr>
        <w:t>,</w:t>
      </w:r>
      <w:r w:rsidRPr="00387B64">
        <w:t xml:space="preserve"> </w:t>
      </w:r>
      <w:r w:rsidRPr="00772C40">
        <w:t xml:space="preserve">was reported by </w:t>
      </w:r>
      <w:r w:rsidRPr="00387B64">
        <w:t xml:space="preserve">universities in </w:t>
      </w:r>
      <w:r w:rsidRPr="00772C40">
        <w:t xml:space="preserve">Finland, Ireland, and Greece; the lowest share by those </w:t>
      </w:r>
      <w:r w:rsidRPr="00387B64">
        <w:t>in</w:t>
      </w:r>
      <w:r w:rsidRPr="00DF3D26">
        <w:rPr>
          <w:color w:val="FF0000"/>
        </w:rPr>
        <w:t xml:space="preserve"> </w:t>
      </w:r>
      <w:r w:rsidRPr="00772C40">
        <w:t>France and Portugal.</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 xml:space="preserve">In 2016, nearly 3 500 university students </w:t>
      </w:r>
      <w:r w:rsidRPr="00772C40">
        <w:rPr>
          <w:b/>
        </w:rPr>
        <w:t>graduated from the ICT field</w:t>
      </w:r>
      <w:r w:rsidRPr="00772C40">
        <w:t xml:space="preserve">. </w:t>
      </w:r>
      <w:r w:rsidRPr="00387B64">
        <w:t xml:space="preserve">They </w:t>
      </w:r>
      <w:r w:rsidRPr="00772C40">
        <w:t>represent 4.5% of all graduates from bachelor and master programmes. 85% of all ICT graduates were men.</w:t>
      </w:r>
    </w:p>
    <w:p w:rsidR="007B46EA" w:rsidRPr="00772C40" w:rsidRDefault="007B46EA" w:rsidP="007B46EA">
      <w:pPr>
        <w:numPr>
          <w:ilvl w:val="0"/>
          <w:numId w:val="15"/>
        </w:numPr>
        <w:tabs>
          <w:tab w:val="clear" w:pos="360"/>
          <w:tab w:val="num" w:pos="284"/>
        </w:tabs>
        <w:autoSpaceDE w:val="0"/>
        <w:autoSpaceDN w:val="0"/>
        <w:adjustRightInd w:val="0"/>
        <w:spacing w:after="80" w:line="240" w:lineRule="auto"/>
        <w:ind w:left="284" w:hanging="284"/>
        <w:jc w:val="both"/>
      </w:pPr>
      <w:r w:rsidRPr="00772C40">
        <w:t>The highest share of ICT graduates</w:t>
      </w:r>
      <w:r w:rsidRPr="00387B64">
        <w:rPr>
          <w:szCs w:val="20"/>
        </w:rPr>
        <w:t>,</w:t>
      </w:r>
      <w:r w:rsidRPr="00387B64">
        <w:t xml:space="preserve"> </w:t>
      </w:r>
      <w:r w:rsidRPr="00772C40">
        <w:t>among university graduates (bachelor and master degree programmes</w:t>
      </w:r>
      <w:r w:rsidRPr="00387B64">
        <w:t>)</w:t>
      </w:r>
      <w:r w:rsidRPr="00387B64">
        <w:rPr>
          <w:szCs w:val="20"/>
        </w:rPr>
        <w:t>,</w:t>
      </w:r>
      <w:r w:rsidRPr="00387B64">
        <w:t xml:space="preserve"> </w:t>
      </w:r>
      <w:r w:rsidRPr="00772C40">
        <w:t>was found in Irel</w:t>
      </w:r>
      <w:r>
        <w:t>and and Finland, the lowest one</w:t>
      </w:r>
      <w:r w:rsidRPr="0055673C">
        <w:rPr>
          <w:color w:val="FF0000"/>
        </w:rPr>
        <w:t xml:space="preserve"> </w:t>
      </w:r>
      <w:r w:rsidRPr="00772C40">
        <w:t xml:space="preserve">in Belgium and in Portugal. The Czech Republic is found approximately in </w:t>
      </w:r>
      <w:r w:rsidRPr="00387B64">
        <w:t xml:space="preserve">the </w:t>
      </w:r>
      <w:r w:rsidRPr="00772C40">
        <w:t>mid-position.</w:t>
      </w:r>
    </w:p>
    <w:p w:rsidR="007B46EA" w:rsidRPr="00772C40" w:rsidRDefault="007B46EA" w:rsidP="00A650F3">
      <w:pPr>
        <w:pStyle w:val="Nadpis2"/>
        <w:pageBreakBefore/>
        <w:spacing w:before="0"/>
      </w:pPr>
      <w:bookmarkStart w:id="176" w:name="_Toc533697552"/>
      <w:bookmarkStart w:id="177" w:name="_Toc534712051"/>
      <w:r w:rsidRPr="00772C40">
        <w:lastRenderedPageBreak/>
        <w:t>F.6 ICT professionals</w:t>
      </w:r>
      <w:bookmarkEnd w:id="176"/>
      <w:bookmarkEnd w:id="177"/>
      <w:r w:rsidRPr="00772C40">
        <w:t xml:space="preserve"> </w:t>
      </w:r>
    </w:p>
    <w:p w:rsidR="007B46EA" w:rsidRPr="009C6AD6" w:rsidRDefault="007B46EA" w:rsidP="007B46EA">
      <w:pPr>
        <w:pStyle w:val="Zkladntext"/>
        <w:spacing w:before="0" w:after="80" w:line="264" w:lineRule="auto"/>
        <w:rPr>
          <w:i/>
          <w:sz w:val="20"/>
          <w:szCs w:val="20"/>
          <w:lang w:val="en-GB"/>
        </w:rPr>
      </w:pPr>
      <w:r w:rsidRPr="009C6AD6">
        <w:rPr>
          <w:i/>
          <w:sz w:val="20"/>
          <w:szCs w:val="20"/>
          <w:lang w:val="en-GB"/>
        </w:rPr>
        <w:t xml:space="preserve">ICT has already been the cause of significant changes to both </w:t>
      </w:r>
      <w:r w:rsidRPr="00A0348F">
        <w:rPr>
          <w:i/>
          <w:sz w:val="20"/>
          <w:szCs w:val="20"/>
          <w:lang w:val="en-GB"/>
        </w:rPr>
        <w:t xml:space="preserve">methods and patterns of production. Policy-makers and researchers are therefore interested </w:t>
      </w:r>
      <w:r w:rsidRPr="009C6AD6">
        <w:rPr>
          <w:i/>
          <w:sz w:val="20"/>
          <w:szCs w:val="20"/>
          <w:lang w:val="en-GB"/>
        </w:rPr>
        <w:t>in tracking employment developments for ICT professionals, which influence a country’s comparative advantage in the development, inst</w:t>
      </w:r>
      <w:r w:rsidR="00A650F3">
        <w:rPr>
          <w:i/>
          <w:sz w:val="20"/>
          <w:szCs w:val="20"/>
          <w:lang w:val="en-GB"/>
        </w:rPr>
        <w:t>allation, and servicing of ICT.</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nearly </w:t>
      </w:r>
      <w:r w:rsidRPr="00772C40">
        <w:rPr>
          <w:b/>
        </w:rPr>
        <w:t>72 thousand ICT specialists</w:t>
      </w:r>
      <w:r w:rsidRPr="00772C40">
        <w:t xml:space="preserve"> worked in the Czech Republic</w:t>
      </w:r>
      <w:r w:rsidR="00171A89">
        <w:rPr>
          <w:rStyle w:val="Znakapoznpodarou"/>
        </w:rPr>
        <w:footnoteReference w:id="63"/>
      </w:r>
      <w:r>
        <w:t>.</w:t>
      </w:r>
      <w:r w:rsidRPr="00772C40">
        <w:t xml:space="preserve"> </w:t>
      </w:r>
      <w:r w:rsidRPr="00A0348F">
        <w:t>Approximately</w:t>
      </w:r>
      <w:r>
        <w:rPr>
          <w:color w:val="FF0000"/>
        </w:rPr>
        <w:t xml:space="preserve"> </w:t>
      </w:r>
      <w:r w:rsidRPr="00772C40">
        <w:t>two thirds</w:t>
      </w:r>
      <w:r>
        <w:rPr>
          <w:color w:val="FF0000"/>
        </w:rPr>
        <w:t xml:space="preserve"> </w:t>
      </w:r>
      <w:r w:rsidRPr="00A0348F">
        <w:t xml:space="preserve">of them </w:t>
      </w:r>
      <w:r w:rsidRPr="00772C40">
        <w:t xml:space="preserve">were </w:t>
      </w:r>
      <w:r>
        <w:t>analysts</w:t>
      </w:r>
      <w:r w:rsidRPr="00A0348F">
        <w:t>,</w:t>
      </w:r>
      <w:r>
        <w:t xml:space="preserve"> </w:t>
      </w:r>
      <w:r w:rsidRPr="00772C40">
        <w:t>software</w:t>
      </w:r>
      <w:r w:rsidRPr="00A0348F">
        <w:t>,</w:t>
      </w:r>
      <w:r w:rsidRPr="00772C40">
        <w:t xml:space="preserve"> and computer application developers. A third was formed by specialists in the field of databases and computer networks. </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Only a tenth of ICT specialists</w:t>
      </w:r>
      <w:r w:rsidRPr="00A0348F">
        <w:t>,</w:t>
      </w:r>
      <w:r w:rsidRPr="00772C40">
        <w:t xml:space="preserve"> in 2016</w:t>
      </w:r>
      <w:r w:rsidRPr="00A0348F">
        <w:t xml:space="preserve">, </w:t>
      </w:r>
      <w:r w:rsidRPr="00772C40">
        <w:t xml:space="preserve">were </w:t>
      </w:r>
      <w:r w:rsidRPr="00772C40">
        <w:rPr>
          <w:b/>
        </w:rPr>
        <w:t>women</w:t>
      </w:r>
      <w:r w:rsidRPr="00772C40">
        <w:t>. A half of ICT specialists</w:t>
      </w:r>
      <w:r w:rsidRPr="00260927">
        <w:t>,</w:t>
      </w:r>
      <w:r w:rsidRPr="00772C40">
        <w:t xml:space="preserve"> in 2016</w:t>
      </w:r>
      <w:r w:rsidRPr="00260927">
        <w:t>,</w:t>
      </w:r>
      <w:r w:rsidRPr="00772C40">
        <w:t xml:space="preserve"> had a master’s or doctoral degree; </w:t>
      </w:r>
      <w:r w:rsidRPr="00260927">
        <w:t xml:space="preserve">looking at the age group, </w:t>
      </w:r>
      <w:r w:rsidRPr="00772C40">
        <w:t>the surpassing group was 30</w:t>
      </w:r>
      <w:r>
        <w:t>–</w:t>
      </w:r>
      <w:r w:rsidRPr="00772C40">
        <w:t>39 (28%)</w:t>
      </w:r>
      <w:r w:rsidRPr="00260927">
        <w:t xml:space="preserve">, </w:t>
      </w:r>
      <w:r w:rsidRPr="00772C40">
        <w:t xml:space="preserve">followed by the age </w:t>
      </w:r>
      <w:r w:rsidRPr="00260927">
        <w:t xml:space="preserve">40–49 </w:t>
      </w:r>
      <w:r w:rsidRPr="00772C40">
        <w:t>group (18%).</w:t>
      </w:r>
    </w:p>
    <w:p w:rsidR="007B46EA" w:rsidRPr="00772C40" w:rsidRDefault="007B46EA" w:rsidP="007B46E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In 2016, the average </w:t>
      </w:r>
      <w:r w:rsidRPr="00772C40">
        <w:rPr>
          <w:b/>
        </w:rPr>
        <w:t>gross monthly earnings of ICT specialists</w:t>
      </w:r>
      <w:r w:rsidR="00171A89">
        <w:rPr>
          <w:rStyle w:val="Znakapoznpodarou"/>
          <w:b/>
        </w:rPr>
        <w:footnoteReference w:id="64"/>
      </w:r>
      <w:r>
        <w:rPr>
          <w:b/>
        </w:rPr>
        <w:t xml:space="preserve"> </w:t>
      </w:r>
      <w:r w:rsidRPr="00260927">
        <w:t>exceeded 53,000 CZK</w:t>
      </w:r>
      <w:r w:rsidRPr="00670BC2">
        <w:rPr>
          <w:color w:val="FF0000"/>
        </w:rPr>
        <w:t xml:space="preserve"> </w:t>
      </w:r>
      <w:r w:rsidRPr="00772C40">
        <w:t xml:space="preserve">and formed 183% of the average Czech wages. On average, men working in the ICT field earned nearly </w:t>
      </w:r>
      <w:r w:rsidRPr="00260927">
        <w:t xml:space="preserve">10,000 CZK </w:t>
      </w:r>
      <w:r w:rsidRPr="00772C40">
        <w:t>more than women. It may not come as a surprise</w:t>
      </w:r>
      <w:r w:rsidRPr="00260927">
        <w:t>, t</w:t>
      </w:r>
      <w:r w:rsidRPr="00772C40">
        <w:t>hat higher earnings are found with ICT professionals in the private sector (receiving wages</w:t>
      </w:r>
      <w:r w:rsidRPr="00260927">
        <w:t xml:space="preserve">), </w:t>
      </w:r>
      <w:r w:rsidRPr="00772C40">
        <w:t>than ICT professionals in the public sector (receiving salaries), and the earnings of ICT professionals grow along with their highest attained education</w:t>
      </w:r>
      <w:r w:rsidRPr="00260927">
        <w:t xml:space="preserve">. The </w:t>
      </w:r>
      <w:r w:rsidRPr="00772C40">
        <w:t xml:space="preserve">highest average wages are earned by </w:t>
      </w:r>
      <w:r w:rsidRPr="00260927">
        <w:t xml:space="preserve">“middle aged” </w:t>
      </w:r>
      <w:r w:rsidRPr="00772C40">
        <w:t>ICT professionals, i.e. 35</w:t>
      </w:r>
      <w:r>
        <w:t>–</w:t>
      </w:r>
      <w:r w:rsidRPr="00772C40">
        <w:t xml:space="preserve">44 years of age. </w:t>
      </w:r>
    </w:p>
    <w:p w:rsidR="0009465A" w:rsidRDefault="007B46EA" w:rsidP="0009465A">
      <w:pPr>
        <w:numPr>
          <w:ilvl w:val="0"/>
          <w:numId w:val="15"/>
        </w:numPr>
        <w:tabs>
          <w:tab w:val="clear" w:pos="360"/>
          <w:tab w:val="num" w:pos="284"/>
        </w:tabs>
        <w:autoSpaceDE w:val="0"/>
        <w:autoSpaceDN w:val="0"/>
        <w:adjustRightInd w:val="0"/>
        <w:spacing w:after="80" w:line="264" w:lineRule="auto"/>
        <w:ind w:left="284" w:hanging="284"/>
        <w:jc w:val="both"/>
      </w:pPr>
      <w:r w:rsidRPr="00772C40">
        <w:t xml:space="preserve">With respect to selected ICT professions, the highest income exceeding </w:t>
      </w:r>
      <w:r w:rsidRPr="00260927">
        <w:t xml:space="preserve">61 thousand CZK </w:t>
      </w:r>
      <w:r w:rsidRPr="00772C40">
        <w:t xml:space="preserve">is earned by </w:t>
      </w:r>
      <w:r w:rsidRPr="00772C40">
        <w:rPr>
          <w:b/>
        </w:rPr>
        <w:t>professionals in the area of data security</w:t>
      </w:r>
      <w:r w:rsidRPr="00772C40">
        <w:t xml:space="preserve">. In 2016, over </w:t>
      </w:r>
      <w:r w:rsidRPr="00260927">
        <w:t xml:space="preserve">58 thousand CZK </w:t>
      </w:r>
      <w:r w:rsidRPr="00772C40">
        <w:t>of gross wage was earned by system analysts or software developers. The relatively lowest earnings in the ICT field were found with system administrators and network administrators</w:t>
      </w:r>
      <w:r w:rsidRPr="00260927">
        <w:t>,</w:t>
      </w:r>
      <w:r w:rsidRPr="00772C40">
        <w:t xml:space="preserve"> or database designers and administrators (less than </w:t>
      </w:r>
      <w:r w:rsidRPr="00260927">
        <w:t>50 thousand CZK</w:t>
      </w:r>
      <w:r w:rsidRPr="00772C40">
        <w:t xml:space="preserve">). </w:t>
      </w:r>
    </w:p>
    <w:p w:rsidR="004C7BC9" w:rsidRDefault="004C7BC9" w:rsidP="0038283A">
      <w:pPr>
        <w:numPr>
          <w:ilvl w:val="0"/>
          <w:numId w:val="15"/>
        </w:numPr>
        <w:tabs>
          <w:tab w:val="clear" w:pos="360"/>
          <w:tab w:val="num" w:pos="284"/>
        </w:tabs>
        <w:autoSpaceDE w:val="0"/>
        <w:autoSpaceDN w:val="0"/>
        <w:adjustRightInd w:val="0"/>
        <w:spacing w:after="80" w:line="264" w:lineRule="auto"/>
        <w:ind w:left="284" w:hanging="284"/>
        <w:jc w:val="both"/>
        <w:rPr>
          <w:noProof/>
          <w:lang w:val="cs-CZ"/>
        </w:rPr>
      </w:pPr>
      <w:r>
        <w:rPr>
          <w:noProof/>
          <w:lang w:val="cs-CZ"/>
        </w:rPr>
        <w:drawing>
          <wp:anchor distT="0" distB="0" distL="114300" distR="114300" simplePos="0" relativeHeight="251682304" behindDoc="0" locked="0" layoutInCell="1" allowOverlap="1" wp14:anchorId="5CB60B65" wp14:editId="4EE00160">
            <wp:simplePos x="0" y="0"/>
            <wp:positionH relativeFrom="column">
              <wp:posOffset>3280410</wp:posOffset>
            </wp:positionH>
            <wp:positionV relativeFrom="paragraph">
              <wp:posOffset>950595</wp:posOffset>
            </wp:positionV>
            <wp:extent cx="2781300" cy="2524125"/>
            <wp:effectExtent l="0" t="0" r="0" b="0"/>
            <wp:wrapSquare wrapText="bothSides"/>
            <wp:docPr id="220" name="Graf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14:sizeRelV relativeFrom="margin">
              <wp14:pctHeight>0</wp14:pctHeight>
            </wp14:sizeRelV>
          </wp:anchor>
        </w:drawing>
      </w:r>
      <w:r>
        <w:rPr>
          <w:noProof/>
          <w:lang w:val="cs-CZ"/>
        </w:rPr>
        <w:drawing>
          <wp:anchor distT="0" distB="0" distL="114300" distR="114300" simplePos="0" relativeHeight="251687424" behindDoc="1" locked="0" layoutInCell="1" allowOverlap="1" wp14:anchorId="743F4617" wp14:editId="3A70E2A8">
            <wp:simplePos x="0" y="0"/>
            <wp:positionH relativeFrom="column">
              <wp:posOffset>3810</wp:posOffset>
            </wp:positionH>
            <wp:positionV relativeFrom="paragraph">
              <wp:posOffset>1017270</wp:posOffset>
            </wp:positionV>
            <wp:extent cx="3028950" cy="2533650"/>
            <wp:effectExtent l="0" t="0" r="0" b="0"/>
            <wp:wrapTight wrapText="bothSides">
              <wp:wrapPolygon edited="0">
                <wp:start x="0" y="0"/>
                <wp:lineTo x="0" y="21438"/>
                <wp:lineTo x="21464" y="21438"/>
                <wp:lineTo x="21464" y="0"/>
                <wp:lineTo x="0" y="0"/>
              </wp:wrapPolygon>
            </wp:wrapTight>
            <wp:docPr id="219" name="Graf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V relativeFrom="margin">
              <wp14:pctHeight>0</wp14:pctHeight>
            </wp14:sizeRelV>
          </wp:anchor>
        </w:drawing>
      </w:r>
      <w:r w:rsidR="0009465A" w:rsidRPr="00772C40">
        <w:t xml:space="preserve">With respect to the income of ICT professionals in selected industries (in accordance with CZ-NACE classification), in </w:t>
      </w:r>
      <w:r w:rsidR="0009465A" w:rsidRPr="00260927">
        <w:t>2016,</w:t>
      </w:r>
      <w:r w:rsidR="0009465A" w:rsidRPr="00772C40">
        <w:t xml:space="preserve"> the highest income was earned by ICT professionals engaged in the field of </w:t>
      </w:r>
      <w:r w:rsidR="0009465A" w:rsidRPr="00171A89">
        <w:rPr>
          <w:b/>
        </w:rPr>
        <w:t>Financial and insurance activities</w:t>
      </w:r>
      <w:r w:rsidR="0009465A" w:rsidRPr="00772C40">
        <w:t xml:space="preserve"> (over </w:t>
      </w:r>
      <w:r w:rsidR="0009465A" w:rsidRPr="00260927">
        <w:t xml:space="preserve">64 thousand CZK), </w:t>
      </w:r>
      <w:r w:rsidR="0009465A" w:rsidRPr="00772C40">
        <w:t xml:space="preserve">or </w:t>
      </w:r>
      <w:r w:rsidR="0009465A" w:rsidRPr="00260927">
        <w:t xml:space="preserve">within the sector </w:t>
      </w:r>
      <w:r w:rsidR="0009465A" w:rsidRPr="00171A89">
        <w:rPr>
          <w:b/>
        </w:rPr>
        <w:t>Information and communication activities</w:t>
      </w:r>
      <w:r w:rsidR="0009465A" w:rsidRPr="00260927">
        <w:t xml:space="preserve"> sector </w:t>
      </w:r>
      <w:r w:rsidR="0009465A" w:rsidRPr="00772C40">
        <w:t xml:space="preserve">(nearly </w:t>
      </w:r>
      <w:r w:rsidR="0009465A" w:rsidRPr="00260927">
        <w:t>58 thousand CZK</w:t>
      </w:r>
      <w:r w:rsidR="0009465A" w:rsidRPr="00772C40">
        <w:t xml:space="preserve">). At the end of the scale, there were ICT professionals involved in the </w:t>
      </w:r>
      <w:r w:rsidR="0009465A" w:rsidRPr="00260927">
        <w:t>Public administration sector, whose income nearly amounted to 37</w:t>
      </w:r>
      <w:r w:rsidR="0009465A">
        <w:t> </w:t>
      </w:r>
      <w:r w:rsidR="0009465A" w:rsidRPr="00260927">
        <w:t>thousand</w:t>
      </w:r>
      <w:r w:rsidR="0009465A">
        <w:t> </w:t>
      </w:r>
      <w:r w:rsidR="0009465A" w:rsidRPr="00260927">
        <w:t>CZK, in 2016.</w:t>
      </w:r>
      <w:r w:rsidR="00171A89" w:rsidRPr="00171A89">
        <w:rPr>
          <w:noProof/>
          <w:lang w:val="cs-CZ"/>
        </w:rPr>
        <w:t xml:space="preserve"> </w:t>
      </w:r>
    </w:p>
    <w:p w:rsidR="004C7BC9" w:rsidRDefault="004C7BC9" w:rsidP="004C7BC9">
      <w:pPr>
        <w:pStyle w:val="Nadpis1"/>
        <w:rPr>
          <w:sz w:val="36"/>
        </w:rPr>
      </w:pPr>
      <w:bookmarkStart w:id="178" w:name="_Toc533697553"/>
      <w:bookmarkStart w:id="179" w:name="_Toc534712052"/>
      <w:r>
        <w:lastRenderedPageBreak/>
        <w:t>Chapter G Health and ICT</w:t>
      </w:r>
      <w:bookmarkEnd w:id="178"/>
      <w:bookmarkEnd w:id="179"/>
    </w:p>
    <w:p w:rsidR="004C7BC9" w:rsidRPr="00CC38F3" w:rsidRDefault="004C7BC9" w:rsidP="004C7BC9">
      <w:pPr>
        <w:spacing w:after="80" w:line="264" w:lineRule="auto"/>
        <w:jc w:val="both"/>
        <w:rPr>
          <w:i/>
          <w:szCs w:val="20"/>
        </w:rPr>
      </w:pPr>
      <w:r w:rsidRPr="00CC38F3">
        <w:rPr>
          <w:i/>
          <w:szCs w:val="20"/>
        </w:rPr>
        <w:t>Electronic healthcare, or eHealth, is a dynamically developing area of ICT. The main purpose of eHealth is the complete computerization of processes related to the provision of healthcare. For instance, the electronic healthcare concept includes safely stored electronic health records</w:t>
      </w:r>
      <w:r w:rsidRPr="0033092D">
        <w:rPr>
          <w:i/>
          <w:szCs w:val="20"/>
        </w:rPr>
        <w:t>,</w:t>
      </w:r>
      <w:r w:rsidRPr="00CC38F3">
        <w:rPr>
          <w:i/>
          <w:szCs w:val="20"/>
        </w:rPr>
        <w:t xml:space="preserve"> with the possibility of sharing between physicians, as well as electronic communication between physicians and patients. eHealth also includes telemedicine (personal portable and mobile communication systems for patient monitoring and support)</w:t>
      </w:r>
      <w:r w:rsidRPr="0033092D">
        <w:rPr>
          <w:i/>
          <w:szCs w:val="20"/>
        </w:rPr>
        <w:t>,</w:t>
      </w:r>
      <w:r w:rsidRPr="00CC38F3">
        <w:rPr>
          <w:i/>
          <w:szCs w:val="20"/>
        </w:rPr>
        <w:t xml:space="preserve"> or expert systems used by healthcare providers (in order to make diagnoses and prescribe drugs). The use of these tools should improve the prevention, diagnostics, treatment, monitoring, and controlling of health and lifestyle.</w:t>
      </w:r>
    </w:p>
    <w:p w:rsidR="004C7BC9" w:rsidRPr="00DD6A21" w:rsidRDefault="004C7BC9" w:rsidP="004C7BC9">
      <w:pPr>
        <w:pStyle w:val="Zkladntext"/>
        <w:spacing w:before="0" w:after="80" w:line="264" w:lineRule="auto"/>
        <w:rPr>
          <w:i/>
          <w:sz w:val="20"/>
          <w:szCs w:val="20"/>
          <w:lang w:val="en-GB"/>
        </w:rPr>
      </w:pPr>
      <w:r w:rsidRPr="0033092D">
        <w:rPr>
          <w:i/>
          <w:sz w:val="20"/>
          <w:szCs w:val="20"/>
          <w:lang w:val="en-GB"/>
        </w:rPr>
        <w:t xml:space="preserve">Information technology </w:t>
      </w:r>
      <w:r w:rsidRPr="00DD6A21">
        <w:rPr>
          <w:i/>
          <w:sz w:val="20"/>
          <w:szCs w:val="20"/>
          <w:lang w:val="en-GB"/>
        </w:rPr>
        <w:t>usage in healthcare is broad enough on its own, therefore, this chapter is dedicated solely to selected indicators</w:t>
      </w:r>
      <w:r w:rsidRPr="0033092D">
        <w:rPr>
          <w:i/>
          <w:sz w:val="20"/>
          <w:szCs w:val="20"/>
        </w:rPr>
        <w:t>,</w:t>
      </w:r>
      <w:r w:rsidRPr="00DD6A21">
        <w:rPr>
          <w:i/>
          <w:sz w:val="20"/>
          <w:szCs w:val="20"/>
          <w:lang w:val="en-GB"/>
        </w:rPr>
        <w:t xml:space="preserve"> focused on the usage of computers and the internet</w:t>
      </w:r>
      <w:r w:rsidRPr="0033092D">
        <w:rPr>
          <w:i/>
          <w:sz w:val="20"/>
          <w:szCs w:val="20"/>
        </w:rPr>
        <w:t>,</w:t>
      </w:r>
      <w:r w:rsidRPr="00DD6A21">
        <w:rPr>
          <w:i/>
          <w:sz w:val="20"/>
          <w:szCs w:val="20"/>
          <w:lang w:val="en-GB"/>
        </w:rPr>
        <w:t xml:space="preserve"> by independent physician</w:t>
      </w:r>
      <w:r w:rsidRPr="0033092D">
        <w:rPr>
          <w:i/>
          <w:sz w:val="20"/>
          <w:szCs w:val="20"/>
          <w:lang w:val="en-GB"/>
        </w:rPr>
        <w:t>s</w:t>
      </w:r>
      <w:r w:rsidRPr="0033092D">
        <w:rPr>
          <w:i/>
          <w:sz w:val="20"/>
          <w:szCs w:val="20"/>
        </w:rPr>
        <w:t>,</w:t>
      </w:r>
      <w:r w:rsidRPr="0033092D">
        <w:rPr>
          <w:i/>
          <w:sz w:val="20"/>
          <w:szCs w:val="20"/>
          <w:lang w:val="en-GB"/>
        </w:rPr>
        <w:t xml:space="preserve"> </w:t>
      </w:r>
      <w:r w:rsidRPr="00DD6A21">
        <w:rPr>
          <w:i/>
          <w:sz w:val="20"/>
          <w:szCs w:val="20"/>
          <w:lang w:val="en-GB"/>
        </w:rPr>
        <w:t>in the Czech Republi</w:t>
      </w:r>
      <w:r w:rsidRPr="0033092D">
        <w:rPr>
          <w:i/>
          <w:sz w:val="20"/>
          <w:szCs w:val="20"/>
          <w:lang w:val="en-GB"/>
        </w:rPr>
        <w:t>c</w:t>
      </w:r>
      <w:r w:rsidRPr="0033092D">
        <w:rPr>
          <w:i/>
          <w:sz w:val="20"/>
          <w:szCs w:val="20"/>
        </w:rPr>
        <w:t>,</w:t>
      </w:r>
      <w:r w:rsidRPr="0033092D">
        <w:rPr>
          <w:i/>
          <w:sz w:val="20"/>
          <w:szCs w:val="20"/>
          <w:lang w:val="en-GB"/>
        </w:rPr>
        <w:t xml:space="preserve"> </w:t>
      </w:r>
      <w:r w:rsidRPr="00DD6A21">
        <w:rPr>
          <w:i/>
          <w:sz w:val="20"/>
          <w:szCs w:val="20"/>
          <w:lang w:val="en-GB"/>
        </w:rPr>
        <w:t>and the usage of information technologies by individual</w:t>
      </w:r>
      <w:r w:rsidRPr="0033092D">
        <w:rPr>
          <w:i/>
          <w:sz w:val="20"/>
          <w:szCs w:val="20"/>
          <w:lang w:val="en-GB"/>
        </w:rPr>
        <w:t>s</w:t>
      </w:r>
      <w:r w:rsidRPr="0033092D">
        <w:rPr>
          <w:i/>
          <w:sz w:val="20"/>
          <w:szCs w:val="20"/>
        </w:rPr>
        <w:t>,</w:t>
      </w:r>
      <w:r w:rsidRPr="0033092D">
        <w:rPr>
          <w:i/>
          <w:sz w:val="20"/>
          <w:szCs w:val="20"/>
          <w:lang w:val="en-GB"/>
        </w:rPr>
        <w:t xml:space="preserve"> </w:t>
      </w:r>
      <w:r w:rsidRPr="00DD6A21">
        <w:rPr>
          <w:i/>
          <w:sz w:val="20"/>
          <w:szCs w:val="20"/>
          <w:lang w:val="en-GB"/>
        </w:rPr>
        <w:t>with respect to their health.</w:t>
      </w:r>
    </w:p>
    <w:p w:rsidR="004C7BC9" w:rsidRDefault="004C7BC9" w:rsidP="004C7BC9">
      <w:pPr>
        <w:pStyle w:val="Nadpis2"/>
      </w:pPr>
      <w:bookmarkStart w:id="180" w:name="_Toc533697554"/>
      <w:bookmarkStart w:id="181" w:name="_Toc534712053"/>
      <w:r>
        <w:t>G.1 Practices of physicians with access to selected ICTs</w:t>
      </w:r>
      <w:bookmarkEnd w:id="180"/>
      <w:bookmarkEnd w:id="181"/>
      <w:r>
        <w:t xml:space="preserve"> </w:t>
      </w:r>
    </w:p>
    <w:p w:rsidR="004C7BC9" w:rsidRDefault="004C7BC9" w:rsidP="004C7BC9">
      <w:pPr>
        <w:spacing w:after="80" w:line="264" w:lineRule="auto"/>
        <w:jc w:val="both"/>
        <w:rPr>
          <w:i/>
        </w:rPr>
      </w:pPr>
      <w:r>
        <w:rPr>
          <w:i/>
        </w:rPr>
        <w:t>Nowadays, ICTs belong to standard equipment of the majority of healthcare facilitie</w:t>
      </w:r>
      <w:r w:rsidRPr="004F6312">
        <w:rPr>
          <w:i/>
        </w:rPr>
        <w:t>s</w:t>
      </w:r>
      <w:r w:rsidRPr="004F6312">
        <w:t>,</w:t>
      </w:r>
      <w:r w:rsidRPr="004F6312">
        <w:rPr>
          <w:i/>
        </w:rPr>
        <w:t xml:space="preserve"> </w:t>
      </w:r>
      <w:r>
        <w:rPr>
          <w:i/>
        </w:rPr>
        <w:t xml:space="preserve">in the Czech </w:t>
      </w:r>
      <w:r w:rsidRPr="004F6312">
        <w:rPr>
          <w:i/>
        </w:rPr>
        <w:t>Republic</w:t>
      </w:r>
      <w:r w:rsidRPr="004F6312">
        <w:t>,</w:t>
      </w:r>
      <w:r>
        <w:rPr>
          <w:i/>
        </w:rPr>
        <w:t xml:space="preserve"> and computer usage by physicians is an indispensable part of their everyday work routine. </w:t>
      </w:r>
      <w:r w:rsidRPr="006B0B2C">
        <w:rPr>
          <w:rStyle w:val="Siln"/>
          <w:b w:val="0"/>
          <w:i/>
        </w:rPr>
        <w:t xml:space="preserve">Only an insignificant percentage of physicians </w:t>
      </w:r>
      <w:r w:rsidRPr="004F6312">
        <w:rPr>
          <w:rStyle w:val="Siln"/>
          <w:b w:val="0"/>
          <w:i/>
        </w:rPr>
        <w:t xml:space="preserve">does not use </w:t>
      </w:r>
      <w:r w:rsidRPr="006B0B2C">
        <w:rPr>
          <w:rStyle w:val="Siln"/>
          <w:b w:val="0"/>
          <w:i/>
        </w:rPr>
        <w:t xml:space="preserve">a computer in their practices – this is due to the </w:t>
      </w:r>
      <w:r w:rsidRPr="004F6312">
        <w:rPr>
          <w:rStyle w:val="Siln"/>
          <w:b w:val="0"/>
          <w:i/>
        </w:rPr>
        <w:t>fact</w:t>
      </w:r>
      <w:r w:rsidRPr="004F6312">
        <w:t>,</w:t>
      </w:r>
      <w:r w:rsidRPr="006B0B2C">
        <w:rPr>
          <w:rStyle w:val="Siln"/>
          <w:b w:val="0"/>
          <w:i/>
        </w:rPr>
        <w:t xml:space="preserve"> that physicians need computers in order to fulfil their obligations arising out of specific legal regulations. </w:t>
      </w:r>
      <w:r w:rsidRPr="004F6312">
        <w:rPr>
          <w:rStyle w:val="Siln"/>
          <w:b w:val="0"/>
          <w:i/>
        </w:rPr>
        <w:t>These include</w:t>
      </w:r>
      <w:r w:rsidRPr="006B0B2C">
        <w:rPr>
          <w:rStyle w:val="Siln"/>
          <w:b w:val="0"/>
          <w:i/>
        </w:rPr>
        <w:t>, for instance, reporting to the Register of Healthcare Providers and to</w:t>
      </w:r>
      <w:r>
        <w:rPr>
          <w:rStyle w:val="Siln"/>
          <w:b w:val="0"/>
          <w:i/>
        </w:rPr>
        <w:t xml:space="preserve"> </w:t>
      </w:r>
      <w:r w:rsidRPr="004F6312">
        <w:rPr>
          <w:rStyle w:val="Siln"/>
          <w:b w:val="0"/>
          <w:i/>
        </w:rPr>
        <w:t>the</w:t>
      </w:r>
      <w:r w:rsidRPr="006B0B2C">
        <w:rPr>
          <w:rStyle w:val="Siln"/>
          <w:b w:val="0"/>
          <w:i/>
        </w:rPr>
        <w:t xml:space="preserve"> Register of Healthcare Professionals. </w:t>
      </w:r>
      <w:r>
        <w:rPr>
          <w:i/>
        </w:rPr>
        <w:t xml:space="preserve">By means of the internet, however, physicians are </w:t>
      </w:r>
      <w:r w:rsidRPr="004F6312">
        <w:rPr>
          <w:i/>
        </w:rPr>
        <w:t xml:space="preserve">also provided with </w:t>
      </w:r>
      <w:r>
        <w:rPr>
          <w:i/>
        </w:rPr>
        <w:t xml:space="preserve">other information relevant to </w:t>
      </w:r>
      <w:r w:rsidRPr="004F6312">
        <w:rPr>
          <w:i/>
        </w:rPr>
        <w:t>the operation of their practice</w:t>
      </w:r>
      <w:r>
        <w:rPr>
          <w:i/>
        </w:rPr>
        <w:t>.</w:t>
      </w:r>
      <w:r>
        <w:rPr>
          <w:i/>
          <w:szCs w:val="20"/>
        </w:rPr>
        <w:t xml:space="preserve"> </w:t>
      </w:r>
      <w:r>
        <w:rPr>
          <w:i/>
        </w:rPr>
        <w:t>Therefore, the blanket usage of computers will be inevitable.</w:t>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In 2016, 96% of </w:t>
      </w:r>
      <w:r>
        <w:rPr>
          <w:b/>
        </w:rPr>
        <w:t xml:space="preserve">independent physician’s practices </w:t>
      </w:r>
      <w:r>
        <w:t xml:space="preserve">in the Czech Republic were equipped with a </w:t>
      </w:r>
      <w:r>
        <w:rPr>
          <w:b/>
        </w:rPr>
        <w:t>desktop computer</w:t>
      </w:r>
      <w:r>
        <w:t xml:space="preserve">. More than 92% of </w:t>
      </w:r>
      <w:r w:rsidRPr="004F6312">
        <w:t>them</w:t>
      </w:r>
      <w:r w:rsidRPr="009C7430">
        <w:rPr>
          <w:color w:val="FF0000"/>
        </w:rPr>
        <w:t xml:space="preserve"> </w:t>
      </w:r>
      <w:r>
        <w:t xml:space="preserve">had </w:t>
      </w:r>
      <w:r>
        <w:rPr>
          <w:b/>
        </w:rPr>
        <w:t xml:space="preserve">internet </w:t>
      </w:r>
      <w:r w:rsidRPr="004F6312">
        <w:t xml:space="preserve">access, </w:t>
      </w:r>
      <w:r>
        <w:t>and more than a third (36%) of practices had</w:t>
      </w:r>
      <w:r>
        <w:rPr>
          <w:b/>
        </w:rPr>
        <w:t xml:space="preserve"> a website</w:t>
      </w:r>
      <w:r>
        <w:t xml:space="preserve">. </w:t>
      </w:r>
      <w:r w:rsidRPr="004F6312">
        <w:t>Opposed to this</w:t>
      </w:r>
      <w:r>
        <w:t xml:space="preserve">, in </w:t>
      </w:r>
      <w:r w:rsidRPr="004F6312">
        <w:t xml:space="preserve">2006, </w:t>
      </w:r>
      <w:r>
        <w:t xml:space="preserve">only six out of ten physicians had internet access in their </w:t>
      </w:r>
      <w:r w:rsidRPr="004F6312">
        <w:t xml:space="preserve">practices, </w:t>
      </w:r>
      <w:r>
        <w:t>and only every tenth practice had its own website.</w:t>
      </w:r>
    </w:p>
    <w:p w:rsidR="004C7BC9" w:rsidRDefault="004C7BC9" w:rsidP="004C7BC9">
      <w:pPr>
        <w:numPr>
          <w:ilvl w:val="0"/>
          <w:numId w:val="15"/>
        </w:numPr>
        <w:autoSpaceDE w:val="0"/>
        <w:autoSpaceDN w:val="0"/>
        <w:adjustRightInd w:val="0"/>
        <w:spacing w:after="80" w:line="264" w:lineRule="auto"/>
        <w:ind w:left="284" w:hanging="284"/>
        <w:jc w:val="both"/>
      </w:pPr>
      <w:r>
        <w:t xml:space="preserve">The percentage of medical </w:t>
      </w:r>
      <w:r w:rsidRPr="004F6312">
        <w:t xml:space="preserve">facilities, </w:t>
      </w:r>
      <w:r>
        <w:t xml:space="preserve">with their own </w:t>
      </w:r>
      <w:r w:rsidRPr="004F6312">
        <w:t xml:space="preserve">website, </w:t>
      </w:r>
      <w:r>
        <w:t xml:space="preserve">is significantly lower in comparison with other entities (enterprises or authorities), since in </w:t>
      </w:r>
      <w:r w:rsidRPr="004F6312">
        <w:t>2016,</w:t>
      </w:r>
      <w:r>
        <w:t xml:space="preserve"> the aforementioned 36% of independent physician’s practices had a </w:t>
      </w:r>
      <w:r w:rsidRPr="004F6312">
        <w:t xml:space="preserve">website, </w:t>
      </w:r>
      <w:r>
        <w:t xml:space="preserve">as opposed to more than 80% of </w:t>
      </w:r>
      <w:r w:rsidRPr="004F6312">
        <w:t xml:space="preserve">enterprises, </w:t>
      </w:r>
      <w:r>
        <w:t xml:space="preserve">or 100% of public administration organisations, including the individual municipal authorities. </w:t>
      </w:r>
    </w:p>
    <w:p w:rsidR="004C7BC9" w:rsidRDefault="004C7BC9" w:rsidP="004C7BC9">
      <w:pPr>
        <w:numPr>
          <w:ilvl w:val="0"/>
          <w:numId w:val="15"/>
        </w:numPr>
        <w:autoSpaceDE w:val="0"/>
        <w:autoSpaceDN w:val="0"/>
        <w:adjustRightInd w:val="0"/>
        <w:spacing w:after="80" w:line="264" w:lineRule="auto"/>
        <w:ind w:left="284" w:hanging="284"/>
        <w:jc w:val="both"/>
      </w:pPr>
      <w:r w:rsidRPr="004F6312">
        <w:t xml:space="preserve">In regard to </w:t>
      </w:r>
      <w:r>
        <w:t xml:space="preserve">the individual </w:t>
      </w:r>
      <w:r>
        <w:rPr>
          <w:b/>
        </w:rPr>
        <w:t>types of practices</w:t>
      </w:r>
      <w:r>
        <w:t>, we find a significant difference in the occurrence of website</w:t>
      </w:r>
      <w:r w:rsidRPr="004F6312">
        <w:t>s</w:t>
      </w:r>
      <w:r>
        <w:t xml:space="preserve">: for instance, in </w:t>
      </w:r>
      <w:r w:rsidRPr="004F6312">
        <w:t>2016,</w:t>
      </w:r>
      <w:r>
        <w:t xml:space="preserve"> a website was already owned by 56% of gynaecological practices, 51% of paediatric practices, but only 34% of general practitioner’s surgeries or 23% of dentists.</w:t>
      </w:r>
    </w:p>
    <w:p w:rsidR="004C7BC9" w:rsidRDefault="004C7BC9" w:rsidP="004C7BC9">
      <w:pPr>
        <w:autoSpaceDE w:val="0"/>
        <w:autoSpaceDN w:val="0"/>
        <w:adjustRightInd w:val="0"/>
        <w:spacing w:after="100" w:line="264" w:lineRule="auto"/>
        <w:jc w:val="both"/>
        <w:rPr>
          <w:lang w:val="cs-CZ"/>
        </w:rPr>
      </w:pPr>
      <w:r>
        <w:rPr>
          <w:noProof/>
          <w:lang w:val="cs-CZ"/>
        </w:rPr>
        <w:drawing>
          <wp:inline distT="0" distB="0" distL="0" distR="0" wp14:anchorId="0DE91D82" wp14:editId="431DAF03">
            <wp:extent cx="3057525" cy="2700000"/>
            <wp:effectExtent l="0" t="0" r="9525" b="5715"/>
            <wp:docPr id="239" name="Graf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r>
        <w:rPr>
          <w:noProof/>
          <w:lang w:val="cs-CZ"/>
        </w:rPr>
        <w:drawing>
          <wp:inline distT="0" distB="0" distL="0" distR="0" wp14:anchorId="64CFD510" wp14:editId="142DB1E3">
            <wp:extent cx="2971800" cy="2700000"/>
            <wp:effectExtent l="0" t="0" r="0" b="5715"/>
            <wp:docPr id="238" name="Graf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4C7BC9" w:rsidRDefault="004C7BC9" w:rsidP="004C7BC9">
      <w:pPr>
        <w:pStyle w:val="Bezmezer"/>
        <w:numPr>
          <w:ilvl w:val="0"/>
          <w:numId w:val="15"/>
        </w:numPr>
        <w:spacing w:after="80" w:line="264" w:lineRule="auto"/>
        <w:ind w:left="284" w:hanging="284"/>
        <w:rPr>
          <w:rFonts w:cs="Arial"/>
          <w:szCs w:val="20"/>
          <w:lang w:val="en-GB"/>
        </w:rPr>
      </w:pPr>
      <w:r>
        <w:rPr>
          <w:lang w:val="en-GB"/>
        </w:rPr>
        <w:lastRenderedPageBreak/>
        <w:t xml:space="preserve">Despite the fact that a third of physician’s practices has </w:t>
      </w:r>
      <w:r w:rsidRPr="004F6312">
        <w:rPr>
          <w:lang w:val="en-GB"/>
        </w:rPr>
        <w:t>a</w:t>
      </w:r>
      <w:r w:rsidRPr="0082201E">
        <w:rPr>
          <w:color w:val="FF0000"/>
          <w:lang w:val="en-GB"/>
        </w:rPr>
        <w:t xml:space="preserve"> </w:t>
      </w:r>
      <w:r>
        <w:rPr>
          <w:lang w:val="en-GB"/>
        </w:rPr>
        <w:t xml:space="preserve">website, compared to </w:t>
      </w:r>
      <w:r w:rsidRPr="004F6312">
        <w:rPr>
          <w:lang w:val="en-GB"/>
        </w:rPr>
        <w:t>pharmacies</w:t>
      </w:r>
      <w:r w:rsidRPr="004F6312">
        <w:t>,</w:t>
      </w:r>
      <w:r>
        <w:rPr>
          <w:lang w:val="en-GB"/>
        </w:rPr>
        <w:t xml:space="preserve"> the percentage is still very low. 62% of pharmacies have their own website, however, this may be due to the </w:t>
      </w:r>
      <w:r w:rsidRPr="004F6312">
        <w:rPr>
          <w:lang w:val="en-GB"/>
        </w:rPr>
        <w:t>fact</w:t>
      </w:r>
      <w:r w:rsidRPr="004F6312">
        <w:t>,</w:t>
      </w:r>
      <w:r w:rsidRPr="004F6312">
        <w:rPr>
          <w:lang w:val="en-GB"/>
        </w:rPr>
        <w:t xml:space="preserve"> that </w:t>
      </w:r>
      <w:r>
        <w:rPr>
          <w:lang w:val="en-GB"/>
        </w:rPr>
        <w:t>they often belong to one of the commercial pharmacy networks.</w:t>
      </w:r>
    </w:p>
    <w:p w:rsidR="004C7BC9" w:rsidRDefault="004C7BC9" w:rsidP="004C7BC9">
      <w:pPr>
        <w:pStyle w:val="Nadpis2"/>
        <w:rPr>
          <w:szCs w:val="24"/>
        </w:rPr>
      </w:pPr>
      <w:bookmarkStart w:id="182" w:name="_Toc533697555"/>
      <w:bookmarkStart w:id="183" w:name="_Toc534712054"/>
      <w:r>
        <w:t>G.2 Online services offered by independent physicians on their website</w:t>
      </w:r>
      <w:bookmarkEnd w:id="182"/>
      <w:bookmarkEnd w:id="183"/>
      <w:r>
        <w:t xml:space="preserve"> </w:t>
      </w:r>
    </w:p>
    <w:p w:rsidR="004C7BC9" w:rsidRPr="004B4C7F" w:rsidRDefault="004C7BC9" w:rsidP="004C7BC9">
      <w:pPr>
        <w:spacing w:after="80" w:line="264" w:lineRule="auto"/>
        <w:jc w:val="both"/>
        <w:rPr>
          <w:i/>
        </w:rPr>
      </w:pPr>
      <w:r w:rsidRPr="004B4C7F">
        <w:rPr>
          <w:i/>
        </w:rPr>
        <w:t xml:space="preserve">Apparently, the most commonly used means of medical facilities presentation is their own website. Besides basic contact details and opening hours, physicians also present the types of services provided, publish </w:t>
      </w:r>
      <w:r w:rsidRPr="008457D9">
        <w:rPr>
          <w:i/>
        </w:rPr>
        <w:t>the</w:t>
      </w:r>
      <w:r w:rsidRPr="004B4C7F">
        <w:rPr>
          <w:i/>
          <w:color w:val="FF0000"/>
        </w:rPr>
        <w:t xml:space="preserve"> </w:t>
      </w:r>
      <w:r w:rsidRPr="004B4C7F">
        <w:rPr>
          <w:i/>
        </w:rPr>
        <w:t xml:space="preserve">price </w:t>
      </w:r>
      <w:r w:rsidRPr="008457D9">
        <w:rPr>
          <w:i/>
        </w:rPr>
        <w:t xml:space="preserve">list for </w:t>
      </w:r>
      <w:r w:rsidRPr="004B4C7F">
        <w:rPr>
          <w:i/>
        </w:rPr>
        <w:t>individual procedures, news, and in some cases the websites provide</w:t>
      </w:r>
      <w:r w:rsidRPr="008457D9">
        <w:rPr>
          <w:i/>
        </w:rPr>
        <w:t>s</w:t>
      </w:r>
      <w:r w:rsidRPr="004B4C7F">
        <w:rPr>
          <w:i/>
        </w:rPr>
        <w:t xml:space="preserve"> other online services for patients, such as online consultations or </w:t>
      </w:r>
      <w:r w:rsidRPr="008457D9">
        <w:rPr>
          <w:i/>
        </w:rPr>
        <w:t>appointment-booking</w:t>
      </w:r>
      <w:r w:rsidRPr="004B4C7F">
        <w:rPr>
          <w:rStyle w:val="Znakapoznpodarou"/>
          <w:i/>
        </w:rPr>
        <w:footnoteReference w:id="65"/>
      </w:r>
      <w:r w:rsidRPr="004B4C7F">
        <w:rPr>
          <w:i/>
        </w:rPr>
        <w:t xml:space="preserve">. Within the scope of the Selective Survey on ICT usage in households (VŠIT), the Czech Statistical Office ascertains the usage of such services by the </w:t>
      </w:r>
      <w:r w:rsidRPr="008457D9">
        <w:rPr>
          <w:i/>
        </w:rPr>
        <w:t>individual</w:t>
      </w:r>
      <w:r w:rsidRPr="004B4C7F">
        <w:rPr>
          <w:i/>
        </w:rPr>
        <w:t>.</w:t>
      </w:r>
    </w:p>
    <w:p w:rsidR="004C7BC9" w:rsidRPr="004B4C7F" w:rsidRDefault="004C7BC9" w:rsidP="004C7BC9">
      <w:pPr>
        <w:pStyle w:val="Odstavecseseznamem"/>
        <w:numPr>
          <w:ilvl w:val="0"/>
          <w:numId w:val="34"/>
        </w:numPr>
        <w:autoSpaceDE w:val="0"/>
        <w:autoSpaceDN w:val="0"/>
        <w:adjustRightInd w:val="0"/>
        <w:spacing w:after="80" w:line="264" w:lineRule="auto"/>
        <w:jc w:val="both"/>
        <w:rPr>
          <w:rFonts w:ascii="Arial" w:hAnsi="Arial" w:cs="Arial"/>
          <w:sz w:val="20"/>
          <w:szCs w:val="20"/>
          <w:lang w:val="en-GB"/>
        </w:rPr>
      </w:pPr>
      <w:r w:rsidRPr="004B4C7F">
        <w:rPr>
          <w:rFonts w:ascii="Arial" w:hAnsi="Arial" w:cs="Arial"/>
          <w:sz w:val="20"/>
          <w:szCs w:val="20"/>
          <w:lang w:val="en-GB"/>
        </w:rPr>
        <w:t xml:space="preserve">Whereas in </w:t>
      </w:r>
      <w:r w:rsidRPr="008457D9">
        <w:rPr>
          <w:rFonts w:ascii="Arial" w:hAnsi="Arial" w:cs="Arial"/>
          <w:sz w:val="20"/>
          <w:szCs w:val="20"/>
          <w:lang w:val="en-GB"/>
        </w:rPr>
        <w:t>2006</w:t>
      </w:r>
      <w:r w:rsidRPr="008457D9">
        <w:rPr>
          <w:rFonts w:ascii="Arial" w:hAnsi="Arial" w:cs="Arial"/>
          <w:sz w:val="20"/>
          <w:szCs w:val="20"/>
        </w:rPr>
        <w:t>,</w:t>
      </w:r>
      <w:r w:rsidRPr="004B4C7F">
        <w:rPr>
          <w:rFonts w:ascii="Arial" w:hAnsi="Arial" w:cs="Arial"/>
          <w:sz w:val="20"/>
          <w:szCs w:val="20"/>
          <w:lang w:val="en-GB"/>
        </w:rPr>
        <w:t xml:space="preserve"> patients could </w:t>
      </w:r>
      <w:r w:rsidRPr="004B4C7F">
        <w:rPr>
          <w:rFonts w:ascii="Arial" w:hAnsi="Arial" w:cs="Arial"/>
          <w:b/>
          <w:sz w:val="20"/>
          <w:szCs w:val="20"/>
          <w:lang w:val="en-GB"/>
        </w:rPr>
        <w:t xml:space="preserve">make an appointment through an online form </w:t>
      </w:r>
      <w:r w:rsidRPr="004B4C7F">
        <w:rPr>
          <w:rFonts w:ascii="Arial" w:hAnsi="Arial" w:cs="Arial"/>
          <w:sz w:val="20"/>
          <w:szCs w:val="20"/>
          <w:lang w:val="en-GB"/>
        </w:rPr>
        <w:t xml:space="preserve">merely </w:t>
      </w:r>
      <w:r w:rsidRPr="008457D9">
        <w:rPr>
          <w:rFonts w:ascii="Arial" w:hAnsi="Arial" w:cs="Arial"/>
          <w:sz w:val="20"/>
          <w:szCs w:val="20"/>
          <w:lang w:val="en-GB"/>
        </w:rPr>
        <w:t>in</w:t>
      </w:r>
      <w:r w:rsidRPr="004B4C7F">
        <w:rPr>
          <w:rFonts w:ascii="Arial" w:hAnsi="Arial" w:cs="Arial"/>
          <w:sz w:val="20"/>
          <w:szCs w:val="20"/>
          <w:lang w:val="en-GB"/>
        </w:rPr>
        <w:t xml:space="preserve"> 3% of practices, in </w:t>
      </w:r>
      <w:r w:rsidRPr="008457D9">
        <w:rPr>
          <w:rFonts w:ascii="Arial" w:hAnsi="Arial" w:cs="Arial"/>
          <w:sz w:val="20"/>
          <w:szCs w:val="20"/>
          <w:lang w:val="en-GB"/>
        </w:rPr>
        <w:t>2016</w:t>
      </w:r>
      <w:r w:rsidRPr="008457D9">
        <w:rPr>
          <w:rFonts w:ascii="Arial" w:hAnsi="Arial" w:cs="Arial"/>
          <w:sz w:val="20"/>
          <w:szCs w:val="20"/>
        </w:rPr>
        <w:t>,</w:t>
      </w:r>
      <w:r w:rsidRPr="004B4C7F">
        <w:rPr>
          <w:rFonts w:ascii="Arial" w:hAnsi="Arial" w:cs="Arial"/>
          <w:sz w:val="20"/>
          <w:szCs w:val="20"/>
          <w:lang w:val="en-GB"/>
        </w:rPr>
        <w:t xml:space="preserve"> this option was offered by 12% of independent physician’s practices. The online appointment form is sent directly from the given practice website or via an electronic appointment system. In 2016, online appointment system was used by 8% of Czech citizens, out of which the number of women was twice as high (11%</w:t>
      </w:r>
      <w:r w:rsidRPr="008457D9">
        <w:rPr>
          <w:rFonts w:ascii="Arial" w:hAnsi="Arial" w:cs="Arial"/>
          <w:sz w:val="20"/>
          <w:szCs w:val="20"/>
          <w:lang w:val="en-GB"/>
        </w:rPr>
        <w:t>)</w:t>
      </w:r>
      <w:r w:rsidRPr="008457D9">
        <w:rPr>
          <w:rFonts w:ascii="Arial" w:hAnsi="Arial" w:cs="Arial"/>
          <w:sz w:val="20"/>
          <w:szCs w:val="20"/>
        </w:rPr>
        <w:t>,</w:t>
      </w:r>
      <w:r w:rsidRPr="008457D9">
        <w:rPr>
          <w:rFonts w:ascii="Arial" w:hAnsi="Arial" w:cs="Arial"/>
          <w:sz w:val="20"/>
          <w:szCs w:val="20"/>
          <w:lang w:val="en-GB"/>
        </w:rPr>
        <w:t xml:space="preserve"> </w:t>
      </w:r>
      <w:r w:rsidRPr="004B4C7F">
        <w:rPr>
          <w:rFonts w:ascii="Arial" w:hAnsi="Arial" w:cs="Arial"/>
          <w:sz w:val="20"/>
          <w:szCs w:val="20"/>
          <w:lang w:val="en-GB"/>
        </w:rPr>
        <w:t xml:space="preserve">compared to the number of men (5%). In 2016, online appointment- </w:t>
      </w:r>
      <w:r w:rsidRPr="008457D9">
        <w:rPr>
          <w:rFonts w:ascii="Arial" w:hAnsi="Arial" w:cs="Arial"/>
          <w:sz w:val="20"/>
          <w:szCs w:val="20"/>
          <w:lang w:val="en-GB"/>
        </w:rPr>
        <w:t>booking</w:t>
      </w:r>
      <w:r w:rsidRPr="008457D9">
        <w:rPr>
          <w:rFonts w:ascii="Arial" w:hAnsi="Arial" w:cs="Arial"/>
          <w:sz w:val="20"/>
          <w:szCs w:val="20"/>
        </w:rPr>
        <w:t>,</w:t>
      </w:r>
      <w:r w:rsidRPr="004B4C7F">
        <w:rPr>
          <w:rFonts w:ascii="Arial" w:hAnsi="Arial" w:cs="Arial"/>
          <w:sz w:val="20"/>
          <w:szCs w:val="20"/>
          <w:lang w:val="en-GB"/>
        </w:rPr>
        <w:t xml:space="preserve"> with a physician</w:t>
      </w:r>
      <w:r w:rsidRPr="008457D9">
        <w:rPr>
          <w:rFonts w:ascii="Arial" w:hAnsi="Arial" w:cs="Arial"/>
          <w:sz w:val="20"/>
          <w:szCs w:val="20"/>
        </w:rPr>
        <w:t>,</w:t>
      </w:r>
      <w:r w:rsidRPr="008457D9">
        <w:rPr>
          <w:rFonts w:ascii="Arial" w:hAnsi="Arial" w:cs="Arial"/>
          <w:sz w:val="20"/>
          <w:szCs w:val="20"/>
          <w:lang w:val="en-GB"/>
        </w:rPr>
        <w:t xml:space="preserve"> </w:t>
      </w:r>
      <w:r w:rsidRPr="004B4C7F">
        <w:rPr>
          <w:rFonts w:ascii="Arial" w:hAnsi="Arial" w:cs="Arial"/>
          <w:sz w:val="20"/>
          <w:szCs w:val="20"/>
          <w:lang w:val="en-GB"/>
        </w:rPr>
        <w:t>was more frequently offered to gynaecological patients (23%) or to paediatric patients (19%). Online appointment</w:t>
      </w:r>
      <w:r w:rsidRPr="008457D9">
        <w:rPr>
          <w:rFonts w:ascii="Arial" w:hAnsi="Arial" w:cs="Arial"/>
          <w:sz w:val="20"/>
          <w:szCs w:val="20"/>
          <w:lang w:val="en-GB"/>
        </w:rPr>
        <w:t xml:space="preserve">-booking </w:t>
      </w:r>
      <w:r w:rsidRPr="004B4C7F">
        <w:rPr>
          <w:rFonts w:ascii="Arial" w:hAnsi="Arial" w:cs="Arial"/>
          <w:sz w:val="20"/>
          <w:szCs w:val="20"/>
          <w:lang w:val="en-GB"/>
        </w:rPr>
        <w:t xml:space="preserve">was the least frequently offered by dentists (4%). </w:t>
      </w:r>
    </w:p>
    <w:p w:rsidR="004C7BC9" w:rsidRDefault="004C7BC9" w:rsidP="004C7BC9">
      <w:pPr>
        <w:numPr>
          <w:ilvl w:val="0"/>
          <w:numId w:val="34"/>
        </w:numPr>
        <w:autoSpaceDE w:val="0"/>
        <w:autoSpaceDN w:val="0"/>
        <w:adjustRightInd w:val="0"/>
        <w:spacing w:after="80" w:line="264" w:lineRule="auto"/>
        <w:jc w:val="both"/>
      </w:pPr>
      <w:r>
        <w:t xml:space="preserve">As the percentage of practices enabling online </w:t>
      </w:r>
      <w:r w:rsidRPr="008457D9">
        <w:t xml:space="preserve">appointment-booking </w:t>
      </w:r>
      <w:r>
        <w:t xml:space="preserve">has grown, there is also an increase in the percentage of practices offering </w:t>
      </w:r>
      <w:r>
        <w:rPr>
          <w:b/>
        </w:rPr>
        <w:t>consultations via online forms</w:t>
      </w:r>
      <w:r>
        <w:t>, i.e. from 3.5% in 2006</w:t>
      </w:r>
      <w:r w:rsidRPr="008457D9">
        <w:t xml:space="preserve">, </w:t>
      </w:r>
      <w:r>
        <w:t xml:space="preserve">to 12% of practices in 2016. Despite this fact, the number of </w:t>
      </w:r>
      <w:r w:rsidRPr="008457D9">
        <w:t xml:space="preserve">individuals, </w:t>
      </w:r>
      <w:r>
        <w:t>using this consultation option</w:t>
      </w:r>
      <w:r w:rsidRPr="008457D9">
        <w:t xml:space="preserve">, </w:t>
      </w:r>
      <w:r>
        <w:t>is still low. In 2016, this service was solely used by 4% of Czech citizens; as well as in the case of online appointment-</w:t>
      </w:r>
      <w:r w:rsidRPr="008457D9">
        <w:t>booking,</w:t>
      </w:r>
      <w:r w:rsidRPr="002F1935">
        <w:rPr>
          <w:color w:val="FF0000"/>
        </w:rPr>
        <w:t xml:space="preserve"> </w:t>
      </w:r>
      <w:r>
        <w:t xml:space="preserve">it was used by women (5%) more frequently than by men (3%). Online consultation </w:t>
      </w:r>
      <w:r w:rsidRPr="008457D9">
        <w:t xml:space="preserve">services were </w:t>
      </w:r>
      <w:r w:rsidR="003F18AD">
        <w:t xml:space="preserve">the </w:t>
      </w:r>
      <w:r>
        <w:t xml:space="preserve">most frequently provided by gynaecologists (29%) </w:t>
      </w:r>
      <w:r w:rsidRPr="008457D9">
        <w:t>and</w:t>
      </w:r>
      <w:r w:rsidRPr="002F1935">
        <w:rPr>
          <w:color w:val="FF0000"/>
        </w:rPr>
        <w:t xml:space="preserve"> </w:t>
      </w:r>
      <w:r>
        <w:t>paediatricians (21%).</w:t>
      </w:r>
    </w:p>
    <w:p w:rsidR="004C7BC9" w:rsidRPr="00967977" w:rsidRDefault="004C7BC9" w:rsidP="004C7BC9">
      <w:pPr>
        <w:pStyle w:val="Odstavecseseznamem"/>
        <w:numPr>
          <w:ilvl w:val="0"/>
          <w:numId w:val="34"/>
        </w:numPr>
        <w:spacing w:after="80" w:line="264" w:lineRule="auto"/>
        <w:ind w:left="357" w:hanging="357"/>
        <w:jc w:val="both"/>
        <w:rPr>
          <w:rFonts w:ascii="Arial" w:hAnsi="Arial" w:cs="Arial"/>
          <w:sz w:val="20"/>
          <w:szCs w:val="20"/>
          <w:lang w:val="en-GB"/>
        </w:rPr>
      </w:pPr>
      <w:r w:rsidRPr="00967977">
        <w:rPr>
          <w:rFonts w:ascii="Arial" w:hAnsi="Arial" w:cs="Arial"/>
          <w:sz w:val="20"/>
          <w:szCs w:val="20"/>
          <w:lang w:val="en-GB"/>
        </w:rPr>
        <w:t xml:space="preserve">In 2016, the option to </w:t>
      </w:r>
      <w:r w:rsidRPr="00967977">
        <w:rPr>
          <w:rFonts w:ascii="Arial" w:hAnsi="Arial" w:cs="Arial"/>
          <w:b/>
          <w:sz w:val="20"/>
          <w:szCs w:val="20"/>
          <w:lang w:val="en-GB"/>
        </w:rPr>
        <w:t xml:space="preserve">write a prescription </w:t>
      </w:r>
      <w:r w:rsidRPr="008457D9">
        <w:rPr>
          <w:rFonts w:ascii="Arial" w:hAnsi="Arial" w:cs="Arial"/>
          <w:sz w:val="20"/>
          <w:szCs w:val="20"/>
          <w:lang w:val="en-GB"/>
        </w:rPr>
        <w:t>based</w:t>
      </w:r>
      <w:r w:rsidRPr="008457D9">
        <w:rPr>
          <w:rFonts w:ascii="Arial" w:hAnsi="Arial" w:cs="Arial"/>
          <w:sz w:val="20"/>
          <w:szCs w:val="20"/>
        </w:rPr>
        <w:t>,</w:t>
      </w:r>
      <w:r w:rsidRPr="008457D9">
        <w:rPr>
          <w:rFonts w:ascii="Arial" w:hAnsi="Arial" w:cs="Arial"/>
          <w:sz w:val="20"/>
          <w:szCs w:val="20"/>
          <w:lang w:val="en-GB"/>
        </w:rPr>
        <w:t xml:space="preserve"> </w:t>
      </w:r>
      <w:r w:rsidRPr="00967977">
        <w:rPr>
          <w:rFonts w:ascii="Arial" w:hAnsi="Arial" w:cs="Arial"/>
          <w:sz w:val="20"/>
          <w:szCs w:val="20"/>
          <w:lang w:val="en-GB"/>
        </w:rPr>
        <w:t xml:space="preserve">on a request via the practice’s </w:t>
      </w:r>
      <w:r w:rsidRPr="008457D9">
        <w:rPr>
          <w:rFonts w:ascii="Arial" w:hAnsi="Arial" w:cs="Arial"/>
          <w:sz w:val="20"/>
          <w:szCs w:val="20"/>
          <w:lang w:val="en-GB"/>
        </w:rPr>
        <w:t>website</w:t>
      </w:r>
      <w:r w:rsidRPr="008457D9">
        <w:rPr>
          <w:rFonts w:ascii="Arial" w:hAnsi="Arial" w:cs="Arial"/>
          <w:sz w:val="20"/>
          <w:szCs w:val="20"/>
        </w:rPr>
        <w:t>,</w:t>
      </w:r>
      <w:r w:rsidRPr="00967977">
        <w:rPr>
          <w:rFonts w:ascii="Arial" w:hAnsi="Arial" w:cs="Arial"/>
          <w:b/>
          <w:sz w:val="20"/>
          <w:szCs w:val="20"/>
          <w:lang w:val="en-GB"/>
        </w:rPr>
        <w:t xml:space="preserve"> </w:t>
      </w:r>
      <w:r w:rsidRPr="00967977">
        <w:rPr>
          <w:rFonts w:ascii="Arial" w:hAnsi="Arial" w:cs="Arial"/>
          <w:sz w:val="20"/>
          <w:szCs w:val="20"/>
          <w:lang w:val="en-GB"/>
        </w:rPr>
        <w:t xml:space="preserve">was offered by 9% of physician’s practices in the Czech Republic; </w:t>
      </w:r>
      <w:r w:rsidR="003F18AD">
        <w:rPr>
          <w:rFonts w:ascii="Arial" w:hAnsi="Arial" w:cs="Arial"/>
          <w:sz w:val="20"/>
          <w:szCs w:val="20"/>
          <w:lang w:val="en-GB"/>
        </w:rPr>
        <w:t xml:space="preserve">the </w:t>
      </w:r>
      <w:r w:rsidRPr="008457D9">
        <w:rPr>
          <w:rFonts w:ascii="Arial" w:hAnsi="Arial" w:cs="Arial"/>
          <w:sz w:val="20"/>
          <w:szCs w:val="20"/>
          <w:lang w:val="en-GB"/>
        </w:rPr>
        <w:t xml:space="preserve">most frequently by </w:t>
      </w:r>
      <w:r w:rsidRPr="00967977">
        <w:rPr>
          <w:rFonts w:ascii="Arial" w:hAnsi="Arial" w:cs="Arial"/>
          <w:sz w:val="20"/>
          <w:szCs w:val="20"/>
          <w:lang w:val="en-GB"/>
        </w:rPr>
        <w:t>gynaecologists (22%</w:t>
      </w:r>
      <w:r w:rsidRPr="008457D9">
        <w:rPr>
          <w:rFonts w:ascii="Arial" w:hAnsi="Arial" w:cs="Arial"/>
          <w:sz w:val="20"/>
          <w:szCs w:val="20"/>
          <w:lang w:val="en-GB"/>
        </w:rPr>
        <w:t>)</w:t>
      </w:r>
      <w:r w:rsidRPr="008457D9">
        <w:rPr>
          <w:rFonts w:ascii="Arial" w:hAnsi="Arial" w:cs="Arial"/>
          <w:sz w:val="20"/>
          <w:szCs w:val="20"/>
        </w:rPr>
        <w:t>,</w:t>
      </w:r>
      <w:r w:rsidRPr="008457D9">
        <w:rPr>
          <w:rFonts w:ascii="Arial" w:hAnsi="Arial" w:cs="Arial"/>
          <w:sz w:val="20"/>
          <w:szCs w:val="20"/>
          <w:lang w:val="en-GB"/>
        </w:rPr>
        <w:t xml:space="preserve"> </w:t>
      </w:r>
      <w:r w:rsidRPr="00967977">
        <w:rPr>
          <w:rFonts w:ascii="Arial" w:hAnsi="Arial" w:cs="Arial"/>
          <w:sz w:val="20"/>
          <w:szCs w:val="20"/>
          <w:lang w:val="en-GB"/>
        </w:rPr>
        <w:t xml:space="preserve">and </w:t>
      </w:r>
      <w:r w:rsidR="003F18AD">
        <w:rPr>
          <w:rFonts w:ascii="Arial" w:hAnsi="Arial" w:cs="Arial"/>
          <w:sz w:val="20"/>
          <w:szCs w:val="20"/>
          <w:lang w:val="en-GB"/>
        </w:rPr>
        <w:t xml:space="preserve">the </w:t>
      </w:r>
      <w:r w:rsidRPr="00967977">
        <w:rPr>
          <w:rFonts w:ascii="Arial" w:hAnsi="Arial" w:cs="Arial"/>
          <w:sz w:val="20"/>
          <w:szCs w:val="20"/>
          <w:lang w:val="en-GB"/>
        </w:rPr>
        <w:t>least frequently</w:t>
      </w:r>
      <w:r w:rsidR="003F18AD">
        <w:rPr>
          <w:rFonts w:ascii="Arial" w:hAnsi="Arial" w:cs="Arial"/>
          <w:sz w:val="20"/>
          <w:szCs w:val="20"/>
          <w:lang w:val="en-GB"/>
        </w:rPr>
        <w:t xml:space="preserve"> by</w:t>
      </w:r>
      <w:r w:rsidRPr="00967977">
        <w:rPr>
          <w:rFonts w:ascii="Arial" w:hAnsi="Arial" w:cs="Arial"/>
          <w:sz w:val="20"/>
          <w:szCs w:val="20"/>
          <w:lang w:val="en-GB"/>
        </w:rPr>
        <w:t xml:space="preserve"> dentists (1%). Dentists are the </w:t>
      </w:r>
      <w:r w:rsidRPr="008457D9">
        <w:rPr>
          <w:rFonts w:ascii="Arial" w:hAnsi="Arial" w:cs="Arial"/>
          <w:sz w:val="20"/>
          <w:szCs w:val="20"/>
          <w:lang w:val="en-GB"/>
        </w:rPr>
        <w:t>ones</w:t>
      </w:r>
      <w:r w:rsidRPr="008457D9">
        <w:rPr>
          <w:rFonts w:ascii="Arial" w:hAnsi="Arial" w:cs="Arial"/>
          <w:sz w:val="20"/>
          <w:szCs w:val="20"/>
        </w:rPr>
        <w:t>,</w:t>
      </w:r>
      <w:r w:rsidRPr="008457D9">
        <w:rPr>
          <w:rFonts w:ascii="Arial" w:hAnsi="Arial" w:cs="Arial"/>
          <w:sz w:val="20"/>
          <w:szCs w:val="20"/>
          <w:lang w:val="en-GB"/>
        </w:rPr>
        <w:t xml:space="preserve"> </w:t>
      </w:r>
      <w:r w:rsidRPr="00967977">
        <w:rPr>
          <w:rFonts w:ascii="Arial" w:hAnsi="Arial" w:cs="Arial"/>
          <w:sz w:val="20"/>
          <w:szCs w:val="20"/>
          <w:lang w:val="en-GB"/>
        </w:rPr>
        <w:t xml:space="preserve">who disagree with the obligation to prescribe drugs </w:t>
      </w:r>
      <w:r w:rsidRPr="008457D9">
        <w:rPr>
          <w:rFonts w:ascii="Arial" w:hAnsi="Arial" w:cs="Arial"/>
          <w:sz w:val="20"/>
          <w:szCs w:val="20"/>
          <w:lang w:val="en-GB"/>
        </w:rPr>
        <w:t>electronically</w:t>
      </w:r>
      <w:r w:rsidRPr="008457D9">
        <w:rPr>
          <w:rFonts w:ascii="Arial" w:hAnsi="Arial" w:cs="Arial"/>
          <w:sz w:val="20"/>
          <w:szCs w:val="20"/>
        </w:rPr>
        <w:t>,</w:t>
      </w:r>
      <w:r w:rsidRPr="00967977">
        <w:rPr>
          <w:rFonts w:ascii="Arial" w:hAnsi="Arial" w:cs="Arial"/>
          <w:sz w:val="20"/>
          <w:szCs w:val="20"/>
          <w:lang w:val="en-GB"/>
        </w:rPr>
        <w:t xml:space="preserve"> as they solely write several tens of prescriptions, the majority of which concerns antibiotics. With respect to the low number of prescribed drugs, the purchase of this system would not pay off. </w:t>
      </w:r>
    </w:p>
    <w:p w:rsidR="00AB5498" w:rsidRPr="00AB5498" w:rsidRDefault="00AB5498" w:rsidP="00AB5498">
      <w:pPr>
        <w:jc w:val="center"/>
        <w:rPr>
          <w:sz w:val="16"/>
          <w:szCs w:val="16"/>
        </w:rPr>
      </w:pPr>
      <w:r>
        <w:rPr>
          <w:noProof/>
          <w:lang w:val="cs-CZ"/>
        </w:rPr>
        <w:lastRenderedPageBreak/>
        <w:drawing>
          <wp:anchor distT="0" distB="0" distL="114300" distR="114300" simplePos="0" relativeHeight="251718144" behindDoc="1" locked="0" layoutInCell="1" allowOverlap="1">
            <wp:simplePos x="0" y="0"/>
            <wp:positionH relativeFrom="column">
              <wp:posOffset>3810</wp:posOffset>
            </wp:positionH>
            <wp:positionV relativeFrom="paragraph">
              <wp:posOffset>3810</wp:posOffset>
            </wp:positionV>
            <wp:extent cx="2971800" cy="2600325"/>
            <wp:effectExtent l="0" t="0" r="0" b="0"/>
            <wp:wrapTight wrapText="bothSides">
              <wp:wrapPolygon edited="0">
                <wp:start x="0" y="0"/>
                <wp:lineTo x="0" y="21363"/>
                <wp:lineTo x="21462" y="21363"/>
                <wp:lineTo x="21462" y="0"/>
                <wp:lineTo x="0" y="0"/>
              </wp:wrapPolygon>
            </wp:wrapTight>
            <wp:docPr id="237" name="Graf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page">
              <wp14:pctWidth>0</wp14:pctWidth>
            </wp14:sizeRelH>
            <wp14:sizeRelV relativeFrom="page">
              <wp14:pctHeight>0</wp14:pctHeight>
            </wp14:sizeRelV>
          </wp:anchor>
        </w:drawing>
      </w:r>
      <w:r>
        <w:rPr>
          <w:noProof/>
          <w:lang w:val="cs-CZ"/>
        </w:rPr>
        <w:drawing>
          <wp:anchor distT="0" distB="0" distL="114300" distR="114300" simplePos="0" relativeHeight="251725312" behindDoc="1" locked="0" layoutInCell="1" allowOverlap="1">
            <wp:simplePos x="0" y="0"/>
            <wp:positionH relativeFrom="column">
              <wp:posOffset>3032760</wp:posOffset>
            </wp:positionH>
            <wp:positionV relativeFrom="paragraph">
              <wp:posOffset>3810</wp:posOffset>
            </wp:positionV>
            <wp:extent cx="3086100" cy="2628900"/>
            <wp:effectExtent l="0" t="0" r="0" b="0"/>
            <wp:wrapTight wrapText="bothSides">
              <wp:wrapPolygon edited="0">
                <wp:start x="0" y="0"/>
                <wp:lineTo x="0" y="21443"/>
                <wp:lineTo x="21467" y="21443"/>
                <wp:lineTo x="21467" y="0"/>
                <wp:lineTo x="0" y="0"/>
              </wp:wrapPolygon>
            </wp:wrapTight>
            <wp:docPr id="236" name="Graf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page">
              <wp14:pctWidth>0</wp14:pctWidth>
            </wp14:sizeRelH>
            <wp14:sizeRelV relativeFrom="page">
              <wp14:pctHeight>0</wp14:pctHeight>
            </wp14:sizeRelV>
          </wp:anchor>
        </w:drawing>
      </w:r>
      <w:r w:rsidRPr="00AB5498">
        <w:rPr>
          <w:sz w:val="16"/>
          <w:szCs w:val="16"/>
        </w:rPr>
        <w:t>* as a percentage of all independent physicians of a given practice</w:t>
      </w:r>
    </w:p>
    <w:p w:rsidR="004C7BC9" w:rsidRDefault="004C7BC9" w:rsidP="004C7BC9">
      <w:pPr>
        <w:pStyle w:val="Nadpis2"/>
      </w:pPr>
      <w:bookmarkStart w:id="184" w:name="_Toc533697556"/>
      <w:bookmarkStart w:id="185" w:name="_Toc534712055"/>
      <w:r>
        <w:t>G.3 Keeping electronic health records</w:t>
      </w:r>
      <w:bookmarkEnd w:id="184"/>
      <w:bookmarkEnd w:id="185"/>
    </w:p>
    <w:p w:rsidR="004C7BC9" w:rsidRDefault="004C7BC9" w:rsidP="004C7BC9">
      <w:pPr>
        <w:autoSpaceDE w:val="0"/>
        <w:autoSpaceDN w:val="0"/>
        <w:adjustRightInd w:val="0"/>
        <w:spacing w:after="80" w:line="264" w:lineRule="auto"/>
        <w:jc w:val="both"/>
        <w:rPr>
          <w:rFonts w:cs="Arial"/>
          <w:szCs w:val="20"/>
        </w:rPr>
      </w:pPr>
      <w:r>
        <w:rPr>
          <w:i/>
        </w:rPr>
        <w:t xml:space="preserve">In the Czech Republic, a part of physicians </w:t>
      </w:r>
      <w:r w:rsidRPr="0035354C">
        <w:rPr>
          <w:i/>
        </w:rPr>
        <w:t xml:space="preserve">keeps </w:t>
      </w:r>
      <w:r>
        <w:rPr>
          <w:i/>
        </w:rPr>
        <w:t xml:space="preserve">their records electronically in their computers and a part of them still keeps them in paper form written by hand or on a typewriter. Even if physicians keep their medical documentation electronically, they often receive results and reports from other physicians in paper form. Both methods of </w:t>
      </w:r>
      <w:r w:rsidRPr="0035354C">
        <w:rPr>
          <w:i/>
        </w:rPr>
        <w:t xml:space="preserve">recording documents </w:t>
      </w:r>
      <w:r>
        <w:rPr>
          <w:i/>
        </w:rPr>
        <w:t xml:space="preserve">are most likely to be operating in parallel with each other, as the rewriting of existing paper records into the electronic version </w:t>
      </w:r>
      <w:r w:rsidRPr="00512AE0">
        <w:rPr>
          <w:i/>
        </w:rPr>
        <w:t xml:space="preserve">is not a </w:t>
      </w:r>
      <w:r>
        <w:rPr>
          <w:i/>
        </w:rPr>
        <w:t>desired task for many physicians</w:t>
      </w:r>
      <w:r>
        <w:rPr>
          <w:rStyle w:val="Znakapoznpodarou"/>
          <w:i/>
        </w:rPr>
        <w:footnoteReference w:id="66"/>
      </w:r>
      <w:r>
        <w:rPr>
          <w:i/>
        </w:rPr>
        <w:t>.</w:t>
      </w:r>
    </w:p>
    <w:p w:rsidR="004C7BC9" w:rsidRPr="00AE242D" w:rsidRDefault="004C7BC9" w:rsidP="004C7BC9">
      <w:pPr>
        <w:pStyle w:val="Zkladntext"/>
        <w:numPr>
          <w:ilvl w:val="0"/>
          <w:numId w:val="15"/>
        </w:numPr>
        <w:tabs>
          <w:tab w:val="num" w:pos="284"/>
        </w:tabs>
        <w:spacing w:before="0" w:after="80" w:line="264" w:lineRule="auto"/>
        <w:ind w:left="284" w:hanging="284"/>
        <w:rPr>
          <w:sz w:val="20"/>
          <w:szCs w:val="20"/>
          <w:lang w:val="en-GB"/>
        </w:rPr>
      </w:pPr>
      <w:r w:rsidRPr="00AE242D">
        <w:rPr>
          <w:sz w:val="20"/>
          <w:szCs w:val="20"/>
          <w:lang w:val="en-GB"/>
        </w:rPr>
        <w:t xml:space="preserve">In 2016, health </w:t>
      </w:r>
      <w:r w:rsidRPr="00AE242D">
        <w:rPr>
          <w:sz w:val="20"/>
          <w:szCs w:val="20"/>
          <w:lang w:val="en-US"/>
        </w:rPr>
        <w:t xml:space="preserve">records </w:t>
      </w:r>
      <w:r w:rsidRPr="00512AE0">
        <w:rPr>
          <w:sz w:val="20"/>
          <w:szCs w:val="20"/>
          <w:lang w:val="en-US"/>
        </w:rPr>
        <w:t xml:space="preserve">were, at least partially, </w:t>
      </w:r>
      <w:r w:rsidRPr="00AE242D">
        <w:rPr>
          <w:sz w:val="20"/>
          <w:szCs w:val="20"/>
          <w:lang w:val="en-US"/>
        </w:rPr>
        <w:t>kept</w:t>
      </w:r>
      <w:r w:rsidRPr="00AE242D">
        <w:rPr>
          <w:b/>
          <w:sz w:val="20"/>
          <w:szCs w:val="20"/>
          <w:lang w:val="en-GB"/>
        </w:rPr>
        <w:t xml:space="preserve"> electronically </w:t>
      </w:r>
      <w:r w:rsidRPr="00AE242D">
        <w:rPr>
          <w:sz w:val="20"/>
          <w:szCs w:val="20"/>
          <w:lang w:val="en-GB"/>
        </w:rPr>
        <w:t xml:space="preserve">on </w:t>
      </w:r>
      <w:r w:rsidRPr="00512AE0">
        <w:rPr>
          <w:sz w:val="20"/>
          <w:szCs w:val="20"/>
          <w:lang w:val="en-GB"/>
        </w:rPr>
        <w:t>computers b</w:t>
      </w:r>
      <w:r w:rsidRPr="00AE242D">
        <w:rPr>
          <w:sz w:val="20"/>
          <w:szCs w:val="20"/>
          <w:lang w:val="en-GB"/>
        </w:rPr>
        <w:t xml:space="preserve">y 68% of independent physician’s practices in the Czech Republic. These included </w:t>
      </w:r>
      <w:r w:rsidR="00322C8B">
        <w:rPr>
          <w:sz w:val="20"/>
          <w:szCs w:val="20"/>
          <w:lang w:val="en-GB"/>
        </w:rPr>
        <w:t xml:space="preserve">the </w:t>
      </w:r>
      <w:r w:rsidRPr="00AE242D">
        <w:rPr>
          <w:sz w:val="20"/>
          <w:szCs w:val="20"/>
          <w:lang w:val="en-GB"/>
        </w:rPr>
        <w:t>most frequently gynaecologists (74%), general practitioners (74</w:t>
      </w:r>
      <w:r w:rsidRPr="00512AE0">
        <w:rPr>
          <w:sz w:val="20"/>
          <w:szCs w:val="20"/>
          <w:lang w:val="en-GB"/>
        </w:rPr>
        <w:t>%)</w:t>
      </w:r>
      <w:r w:rsidRPr="00512AE0">
        <w:rPr>
          <w:sz w:val="20"/>
          <w:szCs w:val="20"/>
        </w:rPr>
        <w:t>,</w:t>
      </w:r>
      <w:r w:rsidRPr="00512AE0">
        <w:rPr>
          <w:sz w:val="20"/>
          <w:szCs w:val="20"/>
          <w:lang w:val="en-GB"/>
        </w:rPr>
        <w:t xml:space="preserve"> and medical </w:t>
      </w:r>
      <w:r w:rsidRPr="00AE242D">
        <w:rPr>
          <w:sz w:val="20"/>
          <w:szCs w:val="20"/>
          <w:lang w:val="en-GB"/>
        </w:rPr>
        <w:t xml:space="preserve">specialists (71%). </w:t>
      </w:r>
    </w:p>
    <w:p w:rsidR="004C7BC9" w:rsidRDefault="004C7BC9" w:rsidP="004C7BC9">
      <w:pPr>
        <w:numPr>
          <w:ilvl w:val="0"/>
          <w:numId w:val="15"/>
        </w:numPr>
        <w:autoSpaceDE w:val="0"/>
        <w:autoSpaceDN w:val="0"/>
        <w:adjustRightInd w:val="0"/>
        <w:spacing w:after="80" w:line="264" w:lineRule="auto"/>
        <w:ind w:left="284" w:hanging="284"/>
        <w:jc w:val="both"/>
      </w:pPr>
      <w:r>
        <w:t xml:space="preserve">A large part of practices, however, still keeps the documentation at least partially </w:t>
      </w:r>
      <w:r>
        <w:rPr>
          <w:b/>
        </w:rPr>
        <w:t>in paper form</w:t>
      </w:r>
      <w:r>
        <w:t xml:space="preserve"> (91%), 31% </w:t>
      </w:r>
      <w:r w:rsidRPr="00512AE0">
        <w:t xml:space="preserve">of them uses this </w:t>
      </w:r>
      <w:r>
        <w:t>form exclusively.  The situation is paradoxical with respect to dentists</w:t>
      </w:r>
      <w:r w:rsidRPr="00512AE0">
        <w:t>, who</w:t>
      </w:r>
      <w:r>
        <w:t xml:space="preserve"> on one hand</w:t>
      </w:r>
      <w:r w:rsidRPr="00AE242D">
        <w:rPr>
          <w:color w:val="FF0000"/>
        </w:rPr>
        <w:t xml:space="preserve"> </w:t>
      </w:r>
      <w:r>
        <w:t xml:space="preserve">keep their documentation in paper form </w:t>
      </w:r>
      <w:r w:rsidR="00322C8B">
        <w:t xml:space="preserve">the most frequently out of all physicians </w:t>
      </w:r>
      <w:r>
        <w:t>(41%), but who</w:t>
      </w:r>
      <w:r>
        <w:rPr>
          <w:color w:val="FF0000"/>
        </w:rPr>
        <w:t xml:space="preserve"> </w:t>
      </w:r>
      <w:r w:rsidRPr="00512AE0">
        <w:t>on the other hand</w:t>
      </w:r>
      <w:r>
        <w:t xml:space="preserve"> also keep their documentation exclusively electronically (12%). The paper form is the least frequently used by gynaecologists (25%).</w:t>
      </w:r>
    </w:p>
    <w:p w:rsidR="004C7BC9" w:rsidRDefault="004C7BC9" w:rsidP="004C7BC9">
      <w:pPr>
        <w:spacing w:line="240" w:lineRule="auto"/>
        <w:rPr>
          <w:b/>
          <w:bCs/>
          <w:color w:val="4F81BD" w:themeColor="accent1"/>
          <w:sz w:val="18"/>
          <w:szCs w:val="18"/>
        </w:rPr>
        <w:sectPr w:rsidR="004C7BC9" w:rsidSect="0038283A">
          <w:type w:val="continuous"/>
          <w:pgSz w:w="11906" w:h="16838"/>
          <w:pgMar w:top="1134" w:right="1134" w:bottom="1418" w:left="1134" w:header="680" w:footer="680" w:gutter="0"/>
          <w:cols w:space="708"/>
        </w:sectPr>
      </w:pPr>
    </w:p>
    <w:p w:rsidR="004C7BC9" w:rsidRDefault="004C7BC9" w:rsidP="004C7BC9">
      <w:pPr>
        <w:autoSpaceDE w:val="0"/>
        <w:autoSpaceDN w:val="0"/>
        <w:adjustRightInd w:val="0"/>
        <w:spacing w:after="100" w:line="264" w:lineRule="auto"/>
        <w:jc w:val="both"/>
        <w:rPr>
          <w:lang w:val="cs-CZ"/>
        </w:rPr>
      </w:pPr>
      <w:r>
        <w:rPr>
          <w:noProof/>
          <w:lang w:val="cs-CZ"/>
        </w:rPr>
        <w:lastRenderedPageBreak/>
        <w:drawing>
          <wp:inline distT="0" distB="0" distL="0" distR="0" wp14:anchorId="31F67018" wp14:editId="56370C14">
            <wp:extent cx="3057525" cy="3371850"/>
            <wp:effectExtent l="0" t="0" r="9525" b="19050"/>
            <wp:docPr id="235" name="Graf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4C7BC9" w:rsidRDefault="004C7BC9" w:rsidP="004C7BC9">
      <w:pPr>
        <w:autoSpaceDE w:val="0"/>
        <w:autoSpaceDN w:val="0"/>
        <w:adjustRightInd w:val="0"/>
        <w:spacing w:after="100" w:line="264" w:lineRule="auto"/>
        <w:jc w:val="both"/>
      </w:pPr>
      <w:r>
        <w:rPr>
          <w:noProof/>
          <w:lang w:val="cs-CZ"/>
        </w:rPr>
        <w:drawing>
          <wp:inline distT="0" distB="0" distL="0" distR="0" wp14:anchorId="18D7406C" wp14:editId="14CF2AF5">
            <wp:extent cx="3057525" cy="3390900"/>
            <wp:effectExtent l="0" t="0" r="9525" b="19050"/>
            <wp:docPr id="234" name="Graf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4C7BC9" w:rsidRDefault="004C7BC9" w:rsidP="004C7BC9">
      <w:pPr>
        <w:spacing w:line="264" w:lineRule="auto"/>
        <w:rPr>
          <w:b/>
          <w:color w:val="009BB4"/>
          <w:sz w:val="28"/>
        </w:rPr>
        <w:sectPr w:rsidR="004C7BC9">
          <w:type w:val="continuous"/>
          <w:pgSz w:w="11906" w:h="16838"/>
          <w:pgMar w:top="1134" w:right="1134" w:bottom="1418" w:left="1134" w:header="680" w:footer="680" w:gutter="0"/>
          <w:cols w:num="2" w:space="708"/>
        </w:sectPr>
      </w:pPr>
    </w:p>
    <w:p w:rsidR="004C7BC9" w:rsidRDefault="004C7BC9" w:rsidP="004C7BC9">
      <w:pPr>
        <w:pStyle w:val="Nadpis2"/>
      </w:pPr>
      <w:bookmarkStart w:id="186" w:name="_Toc533697557"/>
      <w:bookmarkStart w:id="187" w:name="_Toc534712056"/>
      <w:r>
        <w:t>G.4 Electronic information healthcare systems</w:t>
      </w:r>
      <w:bookmarkEnd w:id="186"/>
      <w:bookmarkEnd w:id="187"/>
    </w:p>
    <w:p w:rsidR="004C7BC9" w:rsidRPr="00DC192B" w:rsidRDefault="004C7BC9" w:rsidP="004C7BC9">
      <w:pPr>
        <w:spacing w:after="80" w:line="264" w:lineRule="auto"/>
        <w:jc w:val="both"/>
        <w:rPr>
          <w:i/>
        </w:rPr>
      </w:pPr>
      <w:r w:rsidRPr="00DC192B">
        <w:rPr>
          <w:i/>
        </w:rPr>
        <w:t>In many aspects, electronic information healthcare systems may make the work of physicians much easier.</w:t>
      </w:r>
      <w:r w:rsidRPr="00DC192B">
        <w:rPr>
          <w:b/>
          <w:i/>
        </w:rPr>
        <w:t xml:space="preserve"> </w:t>
      </w:r>
      <w:r w:rsidRPr="00DC192B">
        <w:rPr>
          <w:i/>
        </w:rPr>
        <w:t>Physicians may easily access laboratory test results, health records, medical image</w:t>
      </w:r>
      <w:r w:rsidRPr="00512AE0">
        <w:rPr>
          <w:i/>
        </w:rPr>
        <w:t xml:space="preserve">s, </w:t>
      </w:r>
      <w:r w:rsidRPr="00DC192B">
        <w:rPr>
          <w:i/>
        </w:rPr>
        <w:t xml:space="preserve">or drug-related information. For instance, the electronic information healthcare system may inform the </w:t>
      </w:r>
      <w:r w:rsidRPr="00C635E3">
        <w:rPr>
          <w:i/>
        </w:rPr>
        <w:t>physician,</w:t>
      </w:r>
      <w:r w:rsidRPr="00DC192B">
        <w:rPr>
          <w:i/>
        </w:rPr>
        <w:t xml:space="preserve"> by means of drug interaction </w:t>
      </w:r>
      <w:r w:rsidRPr="00C635E3">
        <w:rPr>
          <w:i/>
        </w:rPr>
        <w:t>alerts,</w:t>
      </w:r>
      <w:r w:rsidRPr="00DC192B">
        <w:rPr>
          <w:i/>
        </w:rPr>
        <w:t xml:space="preserve"> whether or not the </w:t>
      </w:r>
      <w:r w:rsidRPr="00C635E3">
        <w:rPr>
          <w:i/>
        </w:rPr>
        <w:t>drugs,</w:t>
      </w:r>
      <w:r w:rsidRPr="00DC192B">
        <w:rPr>
          <w:i/>
        </w:rPr>
        <w:t xml:space="preserve"> the physician is about to prescribe to the </w:t>
      </w:r>
      <w:r w:rsidRPr="00C635E3">
        <w:rPr>
          <w:i/>
        </w:rPr>
        <w:t>patient,</w:t>
      </w:r>
      <w:r w:rsidRPr="00DC192B">
        <w:rPr>
          <w:i/>
        </w:rPr>
        <w:t xml:space="preserve"> interact with each other. Physicians may also get a statement of electronic records of all </w:t>
      </w:r>
      <w:r w:rsidRPr="00C635E3">
        <w:rPr>
          <w:i/>
        </w:rPr>
        <w:t>patients,</w:t>
      </w:r>
      <w:r w:rsidRPr="00DC192B">
        <w:rPr>
          <w:i/>
        </w:rPr>
        <w:t xml:space="preserve"> within a monitored healthcare </w:t>
      </w:r>
      <w:r w:rsidRPr="00C635E3">
        <w:rPr>
          <w:i/>
        </w:rPr>
        <w:t xml:space="preserve">facility, </w:t>
      </w:r>
      <w:r w:rsidRPr="00DC192B">
        <w:rPr>
          <w:i/>
        </w:rPr>
        <w:t>monitoring a specific criterion.</w:t>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Physicians may use their information healthcare systems electronically (so called </w:t>
      </w:r>
      <w:r>
        <w:rPr>
          <w:b/>
        </w:rPr>
        <w:t>e-systems</w:t>
      </w:r>
      <w:r>
        <w:t xml:space="preserve">) for various activities. In 2016, nearly a half of all physicians in the Czech Republic (46%) used the systems to </w:t>
      </w:r>
      <w:r>
        <w:rPr>
          <w:b/>
        </w:rPr>
        <w:t>prescribe drugs</w:t>
      </w:r>
      <w:r w:rsidRPr="00C635E3">
        <w:t>;</w:t>
      </w:r>
      <w:r>
        <w:rPr>
          <w:color w:val="FF0000"/>
        </w:rPr>
        <w:t xml:space="preserve"> </w:t>
      </w:r>
      <w:r>
        <w:t xml:space="preserve">less than a third of physicians (30%) viewed the </w:t>
      </w:r>
      <w:r>
        <w:rPr>
          <w:b/>
        </w:rPr>
        <w:t xml:space="preserve">laboratory examination </w:t>
      </w:r>
      <w:r>
        <w:t>results in the e-systems.</w:t>
      </w:r>
      <w:r>
        <w:rPr>
          <w:b/>
        </w:rPr>
        <w:t xml:space="preserve"> </w:t>
      </w:r>
      <w:r>
        <w:t>This was mainly done by gynaecologists and general practitioners (54%)</w:t>
      </w:r>
      <w:r w:rsidRPr="00C635E3">
        <w:t>,</w:t>
      </w:r>
      <w:r>
        <w:t xml:space="preserve"> as opposed to 3% of dentists. Nevertheless, this is a predictable result; similarly</w:t>
      </w:r>
      <w:r w:rsidRPr="00E17D7F">
        <w:t>, to the case of prescriptions</w:t>
      </w:r>
      <w:r>
        <w:t>, dentists do not send their patients to as many laboratory examinations as other medical professionals.</w:t>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More than a quarter of physicians (27%) used the </w:t>
      </w:r>
      <w:r>
        <w:rPr>
          <w:b/>
        </w:rPr>
        <w:t>drug interaction</w:t>
      </w:r>
      <w:r>
        <w:t xml:space="preserve"> alerts</w:t>
      </w:r>
      <w:r w:rsidRPr="00E17D7F">
        <w:t>,</w:t>
      </w:r>
      <w:r>
        <w:t xml:space="preserve"> by means of these systems, where the electronic </w:t>
      </w:r>
      <w:r w:rsidRPr="00E17D7F">
        <w:t xml:space="preserve">system informed them, that </w:t>
      </w:r>
      <w:r>
        <w:t xml:space="preserve">the drug they </w:t>
      </w:r>
      <w:r w:rsidRPr="00E17D7F">
        <w:t xml:space="preserve">were </w:t>
      </w:r>
      <w:r>
        <w:t xml:space="preserve">about to prescribe to the </w:t>
      </w:r>
      <w:r w:rsidRPr="00E17D7F">
        <w:t xml:space="preserve">patient, may </w:t>
      </w:r>
      <w:r>
        <w:t xml:space="preserve">have negative interaction with other </w:t>
      </w:r>
      <w:r w:rsidRPr="00E17D7F">
        <w:t xml:space="preserve">drugs, already being taken </w:t>
      </w:r>
      <w:r>
        <w:t xml:space="preserve">by the given patient. In practice, this function </w:t>
      </w:r>
      <w:r w:rsidRPr="00E17D7F">
        <w:t xml:space="preserve">is </w:t>
      </w:r>
      <w:r w:rsidR="00322C8B">
        <w:t xml:space="preserve">the </w:t>
      </w:r>
      <w:r>
        <w:t xml:space="preserve">most frequently found with general practitioners (47%) and gynaecologists (32%), </w:t>
      </w:r>
      <w:r w:rsidRPr="00E17D7F">
        <w:t xml:space="preserve">and </w:t>
      </w:r>
      <w:r w:rsidR="00322C8B">
        <w:t xml:space="preserve">the </w:t>
      </w:r>
      <w:r w:rsidRPr="00E17D7F">
        <w:t xml:space="preserve">least </w:t>
      </w:r>
      <w:r>
        <w:t>frequently by dentists (solely 10%).</w:t>
      </w:r>
    </w:p>
    <w:p w:rsidR="004C7BC9" w:rsidRDefault="004C7BC9" w:rsidP="004C7BC9">
      <w:pPr>
        <w:spacing w:line="240" w:lineRule="auto"/>
        <w:rPr>
          <w:b/>
          <w:bCs/>
          <w:color w:val="4F81BD" w:themeColor="accent1"/>
          <w:sz w:val="18"/>
          <w:szCs w:val="18"/>
        </w:rPr>
        <w:sectPr w:rsidR="004C7BC9">
          <w:type w:val="continuous"/>
          <w:pgSz w:w="11906" w:h="16838"/>
          <w:pgMar w:top="1134" w:right="1134" w:bottom="1418" w:left="1134" w:header="680" w:footer="680" w:gutter="0"/>
          <w:cols w:space="708"/>
        </w:sectPr>
      </w:pPr>
    </w:p>
    <w:p w:rsidR="004C7BC9" w:rsidRPr="004C7BC9" w:rsidRDefault="004C7BC9" w:rsidP="004C7BC9">
      <w:pPr>
        <w:autoSpaceDE w:val="0"/>
        <w:autoSpaceDN w:val="0"/>
        <w:adjustRightInd w:val="0"/>
        <w:spacing w:after="100" w:line="264" w:lineRule="auto"/>
        <w:jc w:val="both"/>
        <w:rPr>
          <w:lang w:val="cs-CZ"/>
        </w:rPr>
      </w:pPr>
      <w:r>
        <w:rPr>
          <w:noProof/>
          <w:lang w:val="cs-CZ"/>
        </w:rPr>
        <w:lastRenderedPageBreak/>
        <w:drawing>
          <wp:inline distT="0" distB="0" distL="0" distR="0" wp14:anchorId="6AAFA390" wp14:editId="6F22ABBE">
            <wp:extent cx="2981325" cy="3780000"/>
            <wp:effectExtent l="0" t="0" r="0" b="0"/>
            <wp:docPr id="233" name="Graf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4C7BC9" w:rsidRDefault="004C7BC9" w:rsidP="004C7BC9">
      <w:pPr>
        <w:autoSpaceDE w:val="0"/>
        <w:autoSpaceDN w:val="0"/>
        <w:adjustRightInd w:val="0"/>
        <w:spacing w:after="100" w:line="264" w:lineRule="auto"/>
        <w:jc w:val="both"/>
      </w:pPr>
      <w:r>
        <w:rPr>
          <w:noProof/>
          <w:lang w:val="cs-CZ"/>
        </w:rPr>
        <w:drawing>
          <wp:inline distT="0" distB="0" distL="0" distR="0" wp14:anchorId="20238F76" wp14:editId="0F436A07">
            <wp:extent cx="3009900" cy="3780000"/>
            <wp:effectExtent l="0" t="0" r="0" b="0"/>
            <wp:docPr id="232" name="Graf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4C7BC9" w:rsidRDefault="004C7BC9" w:rsidP="004C7BC9">
      <w:pPr>
        <w:spacing w:line="264" w:lineRule="auto"/>
        <w:sectPr w:rsidR="004C7BC9" w:rsidSect="0038283A">
          <w:type w:val="continuous"/>
          <w:pgSz w:w="11906" w:h="16838"/>
          <w:pgMar w:top="1134" w:right="1134" w:bottom="1418" w:left="1134" w:header="680" w:footer="680" w:gutter="0"/>
          <w:cols w:num="2" w:space="286"/>
        </w:sectPr>
      </w:pP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Furthermore, within the healthcare e-systems</w:t>
      </w:r>
      <w:r w:rsidRPr="00E17D7F">
        <w:t xml:space="preserve">, </w:t>
      </w:r>
      <w:r>
        <w:t xml:space="preserve">physicians are provided with </w:t>
      </w:r>
      <w:r>
        <w:rPr>
          <w:b/>
        </w:rPr>
        <w:t>selected medical statements concerning their patients.</w:t>
      </w:r>
      <w:r>
        <w:t xml:space="preserve"> Nearly a half of all practices </w:t>
      </w:r>
      <w:r w:rsidRPr="00E17D7F">
        <w:t xml:space="preserve">are </w:t>
      </w:r>
      <w:r>
        <w:t>provided with medical statements</w:t>
      </w:r>
      <w:r w:rsidRPr="00E17D7F">
        <w:t xml:space="preserve"> </w:t>
      </w:r>
      <w:r>
        <w:t>concerning the patients</w:t>
      </w:r>
      <w:r w:rsidRPr="00E17D7F">
        <w:t xml:space="preserve"> </w:t>
      </w:r>
      <w:r>
        <w:t>according to their diagnoses</w:t>
      </w:r>
      <w:r w:rsidRPr="004A15A9">
        <w:rPr>
          <w:color w:val="FF0000"/>
        </w:rPr>
        <w:t xml:space="preserve">. </w:t>
      </w:r>
      <w:r w:rsidRPr="00E17D7F">
        <w:t>By</w:t>
      </w:r>
      <w:r w:rsidRPr="004A15A9">
        <w:rPr>
          <w:color w:val="FF0000"/>
        </w:rPr>
        <w:t xml:space="preserve"> </w:t>
      </w:r>
      <w:r>
        <w:t>means of the e-systems</w:t>
      </w:r>
      <w:r w:rsidRPr="005860C6">
        <w:t>,</w:t>
      </w:r>
      <w:r>
        <w:t xml:space="preserve"> a third of practices may generate a list of patients</w:t>
      </w:r>
      <w:r w:rsidRPr="00E17D7F">
        <w:t>,</w:t>
      </w:r>
      <w:r>
        <w:t xml:space="preserve"> who might need to have a check-up, and a fifth of Czech practices may obtain a list of patients </w:t>
      </w:r>
      <w:r w:rsidRPr="00E17D7F">
        <w:t xml:space="preserve">based on </w:t>
      </w:r>
      <w:r>
        <w:t xml:space="preserve">laboratory results. These selected medical statements are mostly available for gynaecologists and general practitioners. </w:t>
      </w:r>
      <w:r w:rsidRPr="00E17D7F">
        <w:t xml:space="preserve">Paediatricians use the notification for which patients are expected to have a check-up, more frequently than other physicians. </w:t>
      </w:r>
    </w:p>
    <w:p w:rsidR="004C7BC9" w:rsidRDefault="004C7BC9" w:rsidP="004C7BC9">
      <w:pPr>
        <w:pStyle w:val="Nadpis2"/>
        <w:pageBreakBefore/>
        <w:spacing w:before="0"/>
      </w:pPr>
      <w:bookmarkStart w:id="188" w:name="_Toc533697558"/>
      <w:bookmarkStart w:id="189" w:name="_Toc534712057"/>
      <w:r>
        <w:lastRenderedPageBreak/>
        <w:t>G.5 Internet usage by individuals with respect to health</w:t>
      </w:r>
      <w:r w:rsidRPr="00FA0949">
        <w:rPr>
          <w:rStyle w:val="Znakapoznpodarou"/>
        </w:rPr>
        <w:footnoteReference w:id="67"/>
      </w:r>
      <w:bookmarkEnd w:id="188"/>
      <w:bookmarkEnd w:id="189"/>
    </w:p>
    <w:p w:rsidR="004C7BC9" w:rsidRPr="004A15A9" w:rsidRDefault="004C7BC9" w:rsidP="004C7BC9">
      <w:pPr>
        <w:spacing w:after="80" w:line="264" w:lineRule="auto"/>
        <w:jc w:val="both"/>
        <w:rPr>
          <w:i/>
        </w:rPr>
      </w:pPr>
      <w:r w:rsidRPr="004A15A9">
        <w:rPr>
          <w:i/>
        </w:rPr>
        <w:t>The internet has become a plac</w:t>
      </w:r>
      <w:r w:rsidRPr="00E17D7F">
        <w:rPr>
          <w:i/>
        </w:rPr>
        <w:t xml:space="preserve">e, </w:t>
      </w:r>
      <w:r w:rsidRPr="004A15A9">
        <w:rPr>
          <w:i/>
        </w:rPr>
        <w:t>where people tend to seek help</w:t>
      </w:r>
      <w:r w:rsidRPr="00E17D7F">
        <w:rPr>
          <w:i/>
        </w:rPr>
        <w:t xml:space="preserve">, </w:t>
      </w:r>
      <w:r w:rsidRPr="004A15A9">
        <w:rPr>
          <w:i/>
        </w:rPr>
        <w:t xml:space="preserve">when they are not feeling well. As the internet becomes more and more </w:t>
      </w:r>
      <w:r w:rsidRPr="00E17D7F">
        <w:rPr>
          <w:i/>
        </w:rPr>
        <w:t xml:space="preserve">available, patients </w:t>
      </w:r>
      <w:r w:rsidRPr="004A15A9">
        <w:rPr>
          <w:i/>
        </w:rPr>
        <w:t xml:space="preserve">may quickly and easily access health-related information and </w:t>
      </w:r>
      <w:r w:rsidRPr="00E17D7F">
        <w:rPr>
          <w:i/>
        </w:rPr>
        <w:t xml:space="preserve">consultations; </w:t>
      </w:r>
      <w:r w:rsidRPr="004A15A9">
        <w:rPr>
          <w:i/>
        </w:rPr>
        <w:t xml:space="preserve">individuals </w:t>
      </w:r>
      <w:r w:rsidRPr="00E17D7F">
        <w:rPr>
          <w:i/>
        </w:rPr>
        <w:t xml:space="preserve">use the internet for </w:t>
      </w:r>
      <w:r w:rsidRPr="004A15A9">
        <w:rPr>
          <w:i/>
        </w:rPr>
        <w:t xml:space="preserve">information seeking with respect to diseases, treatment, diagnostics, prevention, health food, etc. </w:t>
      </w:r>
    </w:p>
    <w:p w:rsidR="004C7BC9" w:rsidRDefault="004C7BC9" w:rsidP="004C7BC9">
      <w:pPr>
        <w:pStyle w:val="Nadpis3"/>
      </w:pPr>
      <w:bookmarkStart w:id="190" w:name="_Toc533697559"/>
      <w:bookmarkStart w:id="191" w:name="_Toc534712058"/>
      <w:r>
        <w:t>Health-related information seeking</w:t>
      </w:r>
      <w:bookmarkEnd w:id="190"/>
      <w:bookmarkEnd w:id="191"/>
    </w:p>
    <w:p w:rsidR="004C7BC9" w:rsidRPr="00E17D7F"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In 2017, nearly a half (48%) of individuals aged 16+ (61% of internet users) used the </w:t>
      </w:r>
      <w:r w:rsidRPr="00E17D7F">
        <w:t xml:space="preserve">internet, in </w:t>
      </w:r>
      <w:r>
        <w:t xml:space="preserve">order to </w:t>
      </w:r>
      <w:r>
        <w:rPr>
          <w:b/>
        </w:rPr>
        <w:t>seek health-related information</w:t>
      </w:r>
      <w:r>
        <w:t>. In comparison, in 2007</w:t>
      </w:r>
      <w:r w:rsidRPr="00E17D7F">
        <w:t xml:space="preserve">, only a </w:t>
      </w:r>
      <w:r>
        <w:t xml:space="preserve">tenth (10%) of all individuals </w:t>
      </w:r>
      <w:r w:rsidRPr="00E17D7F">
        <w:t>used the internet for these purposes.</w:t>
      </w:r>
    </w:p>
    <w:p w:rsidR="00983696" w:rsidRDefault="00441BB5" w:rsidP="004C7BC9">
      <w:pPr>
        <w:autoSpaceDE w:val="0"/>
        <w:autoSpaceDN w:val="0"/>
        <w:adjustRightInd w:val="0"/>
        <w:spacing w:after="120" w:line="264" w:lineRule="auto"/>
        <w:jc w:val="both"/>
        <w:rPr>
          <w:lang w:val="cs-CZ"/>
        </w:rPr>
      </w:pPr>
      <w:r>
        <w:rPr>
          <w:noProof/>
          <w:lang w:val="cs-CZ"/>
        </w:rPr>
        <w:drawing>
          <wp:anchor distT="0" distB="0" distL="114300" distR="114300" simplePos="0" relativeHeight="251709952" behindDoc="1" locked="0" layoutInCell="1" allowOverlap="1">
            <wp:simplePos x="0" y="0"/>
            <wp:positionH relativeFrom="column">
              <wp:posOffset>3810</wp:posOffset>
            </wp:positionH>
            <wp:positionV relativeFrom="paragraph">
              <wp:posOffset>30480</wp:posOffset>
            </wp:positionV>
            <wp:extent cx="2981325" cy="3371850"/>
            <wp:effectExtent l="0" t="0" r="0" b="0"/>
            <wp:wrapTight wrapText="bothSides">
              <wp:wrapPolygon edited="0">
                <wp:start x="0" y="0"/>
                <wp:lineTo x="0" y="21478"/>
                <wp:lineTo x="21393" y="21478"/>
                <wp:lineTo x="21393" y="0"/>
                <wp:lineTo x="0" y="0"/>
              </wp:wrapPolygon>
            </wp:wrapTight>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14:sizeRelH relativeFrom="page">
              <wp14:pctWidth>0</wp14:pctWidth>
            </wp14:sizeRelH>
            <wp14:sizeRelV relativeFrom="page">
              <wp14:pctHeight>0</wp14:pctHeight>
            </wp14:sizeRelV>
          </wp:anchor>
        </w:drawing>
      </w:r>
      <w:r w:rsidR="00983696">
        <w:rPr>
          <w:noProof/>
          <w:lang w:val="cs-CZ"/>
        </w:rPr>
        <w:drawing>
          <wp:inline distT="0" distB="0" distL="0" distR="0" wp14:anchorId="324DF963" wp14:editId="16686834">
            <wp:extent cx="2958465" cy="3419475"/>
            <wp:effectExtent l="0" t="0" r="0" b="9525"/>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rsidRPr="00E17D7F">
        <w:rPr>
          <w:b/>
        </w:rPr>
        <w:t>Women</w:t>
      </w:r>
      <w:r w:rsidRPr="00E17D7F">
        <w:t xml:space="preserve"> seek out this kind of information significantly more than </w:t>
      </w:r>
      <w:r w:rsidRPr="00E17D7F">
        <w:rPr>
          <w:b/>
        </w:rPr>
        <w:t>men</w:t>
      </w:r>
      <w:r w:rsidRPr="00E17D7F">
        <w:t xml:space="preserve">. </w:t>
      </w:r>
      <w:r>
        <w:t>In 2017, nearly 60% of Czech women consulted their medical condition on the internet; the number of men was much lower, the internet was used solely by 36% of them for this purpose. Within the group of internet users, it is, in fact, 78% of women, but solely 44% of men.</w:t>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Health-related questions are most frequently asked by individuals aged 35–44 (62%). </w:t>
      </w:r>
      <w:r w:rsidRPr="0090047A">
        <w:t xml:space="preserve">In contrast, </w:t>
      </w:r>
      <w:r>
        <w:t xml:space="preserve">the representatives of the two highest age groups </w:t>
      </w:r>
      <w:r>
        <w:rPr>
          <w:rStyle w:val="Siln"/>
          <w:rFonts w:eastAsia="MS Gothic" w:cs="Arial"/>
          <w:szCs w:val="20"/>
          <w:shd w:val="clear" w:color="auto" w:fill="FFFFFF"/>
        </w:rPr>
        <w:t>– aged 65–74 and over the age of 75 –</w:t>
      </w:r>
      <w:r>
        <w:rPr>
          <w:rStyle w:val="Siln"/>
          <w:rFonts w:ascii="Segoe UI" w:eastAsia="MS Gothic" w:hAnsi="Segoe UI" w:cs="Segoe UI"/>
          <w:color w:val="353838"/>
          <w:szCs w:val="20"/>
          <w:shd w:val="clear" w:color="auto" w:fill="FFFFFF"/>
        </w:rPr>
        <w:t xml:space="preserve"> </w:t>
      </w:r>
      <w:r>
        <w:t xml:space="preserve">rarely tend to seek online advice (31% and solely 10%). Should </w:t>
      </w:r>
      <w:r w:rsidRPr="0090047A">
        <w:t xml:space="preserve">we, however, </w:t>
      </w:r>
      <w:r>
        <w:t>focus solely on pensioner</w:t>
      </w:r>
      <w:r w:rsidRPr="0090047A">
        <w:t xml:space="preserve">s, </w:t>
      </w:r>
      <w:r>
        <w:t xml:space="preserve">who also belong among internet </w:t>
      </w:r>
      <w:r w:rsidRPr="0090047A">
        <w:t xml:space="preserve">users, they are </w:t>
      </w:r>
      <w:r>
        <w:t>the most active ones (70% and 66%) out of all age groups</w:t>
      </w:r>
      <w:r w:rsidRPr="0090047A">
        <w:t xml:space="preserve">, </w:t>
      </w:r>
      <w:r>
        <w:t xml:space="preserve">with respect to health-related information </w:t>
      </w:r>
      <w:r w:rsidRPr="0090047A">
        <w:t>seeking.</w:t>
      </w:r>
    </w:p>
    <w:p w:rsidR="004C7BC9" w:rsidRDefault="004C7BC9" w:rsidP="004C7BC9">
      <w:pPr>
        <w:autoSpaceDE w:val="0"/>
        <w:autoSpaceDN w:val="0"/>
        <w:adjustRightInd w:val="0"/>
        <w:spacing w:after="0" w:line="264" w:lineRule="auto"/>
        <w:jc w:val="both"/>
      </w:pPr>
      <w:r>
        <w:rPr>
          <w:noProof/>
          <w:lang w:val="cs-CZ"/>
        </w:rPr>
        <w:lastRenderedPageBreak/>
        <w:drawing>
          <wp:inline distT="0" distB="0" distL="0" distR="0" wp14:anchorId="596EB9A6" wp14:editId="07D50879">
            <wp:extent cx="5972175" cy="3420000"/>
            <wp:effectExtent l="0" t="0" r="0" b="0"/>
            <wp:docPr id="229" name="Graf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rsidRPr="0090047A">
        <w:t xml:space="preserve">The seeking of health-related information, treatment, diagnostics, prevention, health food, etc. via the internet is not only common in the Czech Republic, but also abroad. </w:t>
      </w:r>
      <w:r>
        <w:t xml:space="preserve">In 2017, Czech citizens did not differ much from the rest of Europe, as the number of them was equal to the EU average, which formed 51% of inhabitants aged 16–74. </w:t>
      </w:r>
      <w:r w:rsidRPr="0090047A">
        <w:t>In general</w:t>
      </w:r>
      <w:r>
        <w:t xml:space="preserve">, health-related information was mainly sought </w:t>
      </w:r>
      <w:r w:rsidRPr="0090047A">
        <w:t xml:space="preserve">after </w:t>
      </w:r>
      <w:r>
        <w:t xml:space="preserve">by the inhabitants of the Netherlands, Luxembourg, Germany, and Scandinavia. </w:t>
      </w:r>
      <w:r w:rsidRPr="0090047A">
        <w:t>Opposed to this</w:t>
      </w:r>
      <w:r>
        <w:t xml:space="preserve">, the lowest number was found in Bulgaria, Romania, and, surprisingly, Italy – in all </w:t>
      </w:r>
      <w:r w:rsidRPr="0090047A">
        <w:t xml:space="preserve">of these </w:t>
      </w:r>
      <w:r>
        <w:t>cases</w:t>
      </w:r>
      <w:r w:rsidRPr="005860C6">
        <w:t>,</w:t>
      </w:r>
      <w:r>
        <w:t xml:space="preserve"> it was approximately a third of individuals.</w:t>
      </w:r>
    </w:p>
    <w:p w:rsidR="004C7BC9" w:rsidRDefault="004C7BC9" w:rsidP="004C7BC9">
      <w:pPr>
        <w:numPr>
          <w:ilvl w:val="0"/>
          <w:numId w:val="15"/>
        </w:numPr>
        <w:tabs>
          <w:tab w:val="num" w:pos="284"/>
        </w:tabs>
        <w:autoSpaceDE w:val="0"/>
        <w:autoSpaceDN w:val="0"/>
        <w:adjustRightInd w:val="0"/>
        <w:spacing w:after="80" w:line="264" w:lineRule="auto"/>
        <w:ind w:left="284" w:hanging="284"/>
        <w:jc w:val="both"/>
      </w:pPr>
      <w:r>
        <w:t xml:space="preserve">Among the internet users of all countries, health-related information seeking is dominated by women. Czech women seek health-related information over the internet even more frequently than the </w:t>
      </w:r>
      <w:r>
        <w:rPr>
          <w:b/>
        </w:rPr>
        <w:t>EU average</w:t>
      </w:r>
      <w:r>
        <w:t xml:space="preserve">. In this </w:t>
      </w:r>
      <w:r w:rsidRPr="0090047A">
        <w:t xml:space="preserve">respect, </w:t>
      </w:r>
      <w:r>
        <w:t xml:space="preserve">Czech men stand below the European average. </w:t>
      </w:r>
      <w:r w:rsidRPr="0090047A">
        <w:t>Seeking health-related information in the Czech R</w:t>
      </w:r>
      <w:r>
        <w:t xml:space="preserve">epublic is very common with women on parental </w:t>
      </w:r>
      <w:r w:rsidRPr="0090047A">
        <w:t xml:space="preserve">leave, </w:t>
      </w:r>
      <w:r>
        <w:t>and also by internet users aged 55–74, on the other hand, the age group 16–29 is below the EU average.</w:t>
      </w:r>
    </w:p>
    <w:p w:rsidR="004C7BC9" w:rsidRDefault="00983696" w:rsidP="004C7BC9">
      <w:pPr>
        <w:autoSpaceDE w:val="0"/>
        <w:autoSpaceDN w:val="0"/>
        <w:adjustRightInd w:val="0"/>
        <w:spacing w:after="0" w:line="264" w:lineRule="auto"/>
        <w:jc w:val="both"/>
      </w:pPr>
      <w:r>
        <w:rPr>
          <w:noProof/>
          <w:lang w:val="cs-CZ"/>
        </w:rPr>
        <w:drawing>
          <wp:inline distT="0" distB="0" distL="0" distR="0" wp14:anchorId="2F87A53C" wp14:editId="3E6D2820">
            <wp:extent cx="5972810" cy="3283585"/>
            <wp:effectExtent l="0" t="0" r="0" b="0"/>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4C7BC9" w:rsidRDefault="004C7BC9" w:rsidP="004C7BC9">
      <w:pPr>
        <w:pStyle w:val="Nadpis3"/>
        <w:spacing w:before="0"/>
        <w:rPr>
          <w:i/>
        </w:rPr>
      </w:pPr>
      <w:bookmarkStart w:id="192" w:name="_Toc533697560"/>
      <w:bookmarkStart w:id="193" w:name="_Toc534712059"/>
      <w:r>
        <w:lastRenderedPageBreak/>
        <w:t>Using online consultation and appointment system with a physician</w:t>
      </w:r>
      <w:bookmarkEnd w:id="192"/>
      <w:bookmarkEnd w:id="193"/>
    </w:p>
    <w:p w:rsidR="004C7BC9" w:rsidRDefault="004C7BC9" w:rsidP="004C7BC9">
      <w:pPr>
        <w:spacing w:after="80" w:line="264" w:lineRule="auto"/>
        <w:jc w:val="both"/>
        <w:rPr>
          <w:i/>
        </w:rPr>
      </w:pPr>
      <w:r>
        <w:rPr>
          <w:i/>
        </w:rPr>
        <w:t xml:space="preserve">Not everyone trusts information freely available on the internet. A safer alternative </w:t>
      </w:r>
      <w:r w:rsidRPr="00841F70">
        <w:rPr>
          <w:i/>
        </w:rPr>
        <w:t>to using information from the internet may be an online consultation with a physician or with a healthcare facility</w:t>
      </w:r>
      <w:r w:rsidRPr="00841F70">
        <w:t>,</w:t>
      </w:r>
      <w:r w:rsidRPr="00841F70">
        <w:rPr>
          <w:i/>
        </w:rPr>
        <w:t xml:space="preserve"> through their websites. Us</w:t>
      </w:r>
      <w:r>
        <w:rPr>
          <w:i/>
        </w:rPr>
        <w:t xml:space="preserve">ing electronic services in healthcare could be as comfortable for individuals as it is, for instance, </w:t>
      </w:r>
      <w:r w:rsidRPr="00841F70">
        <w:rPr>
          <w:i/>
        </w:rPr>
        <w:t>for</w:t>
      </w:r>
      <w:r w:rsidRPr="003E3C6B">
        <w:rPr>
          <w:i/>
          <w:color w:val="FF0000"/>
        </w:rPr>
        <w:t xml:space="preserve"> </w:t>
      </w:r>
      <w:r>
        <w:rPr>
          <w:i/>
        </w:rPr>
        <w:t>online banking or e-shops.</w:t>
      </w:r>
    </w:p>
    <w:p w:rsidR="004C7BC9" w:rsidRDefault="004C7BC9" w:rsidP="004C7BC9">
      <w:pPr>
        <w:pStyle w:val="Zkladntext"/>
        <w:numPr>
          <w:ilvl w:val="0"/>
          <w:numId w:val="15"/>
        </w:numPr>
        <w:spacing w:before="0" w:after="80" w:line="264" w:lineRule="auto"/>
        <w:ind w:left="284" w:hanging="284"/>
        <w:rPr>
          <w:sz w:val="20"/>
          <w:lang w:val="en-GB"/>
        </w:rPr>
      </w:pPr>
      <w:r>
        <w:rPr>
          <w:sz w:val="20"/>
          <w:lang w:val="en-GB"/>
        </w:rPr>
        <w:t xml:space="preserve">In 2016, an </w:t>
      </w:r>
      <w:r>
        <w:rPr>
          <w:b/>
          <w:sz w:val="20"/>
          <w:lang w:val="en-GB"/>
        </w:rPr>
        <w:t>online consultation with a physician</w:t>
      </w:r>
      <w:r>
        <w:rPr>
          <w:sz w:val="20"/>
          <w:lang w:val="en-GB"/>
        </w:rPr>
        <w:t xml:space="preserve"> was realised solely by 4% of adults in the Czech Republic. Similarly</w:t>
      </w:r>
      <w:r w:rsidRPr="00A964A8">
        <w:rPr>
          <w:color w:val="FF0000"/>
        </w:rPr>
        <w:t>,</w:t>
      </w:r>
      <w:r>
        <w:rPr>
          <w:sz w:val="20"/>
          <w:lang w:val="en-GB"/>
        </w:rPr>
        <w:t xml:space="preserve"> to seeking health-</w:t>
      </w:r>
      <w:r w:rsidRPr="00841F70">
        <w:rPr>
          <w:sz w:val="20"/>
          <w:lang w:val="en-GB"/>
        </w:rPr>
        <w:t>related information on the internet, the possibility to make an online consultation was also used more frequently by women than men (5.3% of women and 2.6% of men within the population; 7.1% and 3.3% among</w:t>
      </w:r>
      <w:r>
        <w:rPr>
          <w:sz w:val="20"/>
          <w:lang w:val="en-GB"/>
        </w:rPr>
        <w:t xml:space="preserve"> internet users).</w:t>
      </w:r>
    </w:p>
    <w:p w:rsidR="004C7BC9" w:rsidRPr="003E3C6B" w:rsidRDefault="004C7BC9" w:rsidP="004C7BC9">
      <w:pPr>
        <w:pStyle w:val="Odstavecseseznamem"/>
        <w:numPr>
          <w:ilvl w:val="0"/>
          <w:numId w:val="15"/>
        </w:numPr>
        <w:spacing w:after="80" w:line="264" w:lineRule="auto"/>
        <w:ind w:left="284" w:hanging="284"/>
        <w:jc w:val="both"/>
        <w:rPr>
          <w:rFonts w:ascii="Arial" w:hAnsi="Arial" w:cs="Arial"/>
          <w:sz w:val="20"/>
          <w:szCs w:val="20"/>
          <w:lang w:val="en-GB"/>
        </w:rPr>
      </w:pPr>
      <w:r w:rsidRPr="003E3C6B">
        <w:rPr>
          <w:rFonts w:ascii="Arial" w:hAnsi="Arial" w:cs="Arial"/>
          <w:sz w:val="20"/>
          <w:szCs w:val="20"/>
          <w:lang w:val="en-GB"/>
        </w:rPr>
        <w:t xml:space="preserve">With respect to the age group division, the leading one is the age group 35–44 (6.5% or 6.9% among internet users) followed by the </w:t>
      </w:r>
      <w:r w:rsidRPr="00841F70">
        <w:rPr>
          <w:rFonts w:ascii="Arial" w:hAnsi="Arial" w:cs="Arial"/>
          <w:sz w:val="20"/>
          <w:szCs w:val="20"/>
          <w:lang w:val="en-GB"/>
        </w:rPr>
        <w:t>45–54 age group</w:t>
      </w:r>
      <w:r w:rsidRPr="003E3C6B">
        <w:rPr>
          <w:rFonts w:ascii="Arial" w:hAnsi="Arial" w:cs="Arial"/>
          <w:sz w:val="20"/>
          <w:szCs w:val="20"/>
          <w:lang w:val="en-GB"/>
        </w:rPr>
        <w:t xml:space="preserve">). </w:t>
      </w:r>
      <w:r w:rsidRPr="00841F70">
        <w:rPr>
          <w:rFonts w:ascii="Arial" w:hAnsi="Arial" w:cs="Arial"/>
          <w:sz w:val="20"/>
          <w:szCs w:val="20"/>
          <w:lang w:val="en-GB"/>
        </w:rPr>
        <w:t xml:space="preserve">Opposed to this, the </w:t>
      </w:r>
      <w:r w:rsidRPr="003E3C6B">
        <w:rPr>
          <w:rFonts w:ascii="Arial" w:hAnsi="Arial" w:cs="Arial"/>
          <w:sz w:val="20"/>
          <w:szCs w:val="20"/>
          <w:lang w:val="en-GB"/>
        </w:rPr>
        <w:t>possibility to make an online consultation was the least used by individuals over the age of 65 (solely 1.6%)</w:t>
      </w:r>
      <w:r w:rsidRPr="00841F70">
        <w:rPr>
          <w:rFonts w:ascii="Arial" w:hAnsi="Arial" w:cs="Arial"/>
          <w:sz w:val="20"/>
          <w:szCs w:val="20"/>
        </w:rPr>
        <w:t>,</w:t>
      </w:r>
      <w:r w:rsidRPr="003E3C6B">
        <w:rPr>
          <w:rFonts w:ascii="Arial" w:hAnsi="Arial" w:cs="Arial"/>
          <w:sz w:val="20"/>
          <w:szCs w:val="20"/>
          <w:lang w:val="en-GB"/>
        </w:rPr>
        <w:t xml:space="preserve"> and those under the age of 24 (2.7%)</w:t>
      </w:r>
      <w:r w:rsidRPr="00841F70">
        <w:rPr>
          <w:rFonts w:ascii="Arial" w:hAnsi="Arial" w:cs="Arial"/>
          <w:sz w:val="20"/>
          <w:szCs w:val="20"/>
        </w:rPr>
        <w:t>,</w:t>
      </w:r>
      <w:r w:rsidRPr="003E3C6B">
        <w:rPr>
          <w:rFonts w:ascii="Arial" w:hAnsi="Arial" w:cs="Arial"/>
          <w:sz w:val="20"/>
          <w:szCs w:val="20"/>
          <w:lang w:val="en-GB"/>
        </w:rPr>
        <w:t xml:space="preserve"> where the percentage is the lowest</w:t>
      </w:r>
      <w:r w:rsidRPr="005860C6">
        <w:rPr>
          <w:rFonts w:ascii="Arial" w:hAnsi="Arial" w:cs="Arial"/>
          <w:sz w:val="20"/>
          <w:szCs w:val="20"/>
        </w:rPr>
        <w:t>,</w:t>
      </w:r>
      <w:r w:rsidRPr="003E3C6B">
        <w:rPr>
          <w:rFonts w:ascii="Arial" w:hAnsi="Arial" w:cs="Arial"/>
          <w:sz w:val="20"/>
          <w:szCs w:val="20"/>
          <w:lang w:val="en-GB"/>
        </w:rPr>
        <w:t xml:space="preserve"> even if we </w:t>
      </w:r>
      <w:r w:rsidRPr="00841F70">
        <w:rPr>
          <w:rFonts w:ascii="Arial" w:hAnsi="Arial" w:cs="Arial"/>
          <w:sz w:val="20"/>
          <w:szCs w:val="20"/>
          <w:lang w:val="en-GB"/>
        </w:rPr>
        <w:t xml:space="preserve">solely consider internet users </w:t>
      </w:r>
      <w:r w:rsidRPr="003E3C6B">
        <w:rPr>
          <w:rFonts w:ascii="Arial" w:hAnsi="Arial" w:cs="Arial"/>
          <w:sz w:val="20"/>
          <w:szCs w:val="20"/>
          <w:lang w:val="en-GB"/>
        </w:rPr>
        <w:t xml:space="preserve">(2.8%). When comparing graphs </w:t>
      </w:r>
      <w:r>
        <w:rPr>
          <w:rFonts w:ascii="Arial" w:hAnsi="Arial" w:cs="Arial"/>
          <w:sz w:val="20"/>
          <w:szCs w:val="20"/>
          <w:lang w:val="en-GB"/>
        </w:rPr>
        <w:t>G</w:t>
      </w:r>
      <w:r w:rsidRPr="003E3C6B">
        <w:rPr>
          <w:rFonts w:ascii="Arial" w:hAnsi="Arial" w:cs="Arial"/>
          <w:sz w:val="20"/>
          <w:szCs w:val="20"/>
          <w:lang w:val="en-GB"/>
        </w:rPr>
        <w:t xml:space="preserve">9 and </w:t>
      </w:r>
      <w:r>
        <w:rPr>
          <w:rFonts w:ascii="Arial" w:hAnsi="Arial" w:cs="Arial"/>
          <w:sz w:val="20"/>
          <w:szCs w:val="20"/>
          <w:lang w:val="en-GB"/>
        </w:rPr>
        <w:t>G</w:t>
      </w:r>
      <w:r w:rsidRPr="003E3C6B">
        <w:rPr>
          <w:rFonts w:ascii="Arial" w:hAnsi="Arial" w:cs="Arial"/>
          <w:sz w:val="20"/>
          <w:szCs w:val="20"/>
          <w:lang w:val="en-GB"/>
        </w:rPr>
        <w:t>13, it is evident</w:t>
      </w:r>
      <w:r w:rsidRPr="005860C6">
        <w:rPr>
          <w:rFonts w:ascii="Arial" w:hAnsi="Arial" w:cs="Arial"/>
          <w:sz w:val="20"/>
          <w:szCs w:val="20"/>
        </w:rPr>
        <w:t>,</w:t>
      </w:r>
      <w:r w:rsidRPr="003E3C6B">
        <w:rPr>
          <w:rFonts w:ascii="Arial" w:hAnsi="Arial" w:cs="Arial"/>
          <w:sz w:val="20"/>
          <w:szCs w:val="20"/>
          <w:lang w:val="en-GB"/>
        </w:rPr>
        <w:t xml:space="preserve"> that older people, who are also internet users, may be actively seeking freely available information, however, they rarely use the possibility of a formal consultation with a professional.</w:t>
      </w:r>
    </w:p>
    <w:p w:rsidR="004C7BC9" w:rsidRDefault="004C7BC9" w:rsidP="004C7BC9">
      <w:pPr>
        <w:spacing w:line="240" w:lineRule="auto"/>
        <w:rPr>
          <w:b/>
          <w:bCs/>
          <w:color w:val="4F81BD" w:themeColor="accent1"/>
          <w:sz w:val="18"/>
          <w:szCs w:val="18"/>
        </w:rPr>
        <w:sectPr w:rsidR="004C7BC9">
          <w:type w:val="continuous"/>
          <w:pgSz w:w="11906" w:h="16838"/>
          <w:pgMar w:top="1134" w:right="1134" w:bottom="1418" w:left="1134" w:header="680" w:footer="680" w:gutter="0"/>
          <w:cols w:space="708"/>
        </w:sectPr>
      </w:pPr>
    </w:p>
    <w:p w:rsidR="004C7BC9" w:rsidRDefault="004C7BC9" w:rsidP="004C7BC9">
      <w:pPr>
        <w:spacing w:after="120"/>
        <w:jc w:val="both"/>
        <w:rPr>
          <w:lang w:val="cs-CZ"/>
        </w:rPr>
      </w:pPr>
      <w:r>
        <w:rPr>
          <w:noProof/>
          <w:lang w:val="cs-CZ"/>
        </w:rPr>
        <w:drawing>
          <wp:inline distT="0" distB="0" distL="0" distR="0" wp14:anchorId="0A6BB3DD" wp14:editId="60DFC9C6">
            <wp:extent cx="3057525" cy="3276600"/>
            <wp:effectExtent l="0" t="0" r="0" b="19050"/>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C7BC9" w:rsidRDefault="004C7BC9" w:rsidP="004C7BC9">
      <w:pPr>
        <w:spacing w:after="120"/>
        <w:jc w:val="both"/>
        <w:rPr>
          <w:rFonts w:cs="Arial"/>
          <w:szCs w:val="20"/>
        </w:rPr>
      </w:pPr>
      <w:r>
        <w:rPr>
          <w:noProof/>
          <w:lang w:val="cs-CZ"/>
        </w:rPr>
        <w:drawing>
          <wp:inline distT="0" distB="0" distL="0" distR="0" wp14:anchorId="044C9C61" wp14:editId="0A17FADA">
            <wp:extent cx="3057525" cy="3276600"/>
            <wp:effectExtent l="0" t="0" r="9525" b="0"/>
            <wp:docPr id="226" name="Graf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4C7BC9" w:rsidRDefault="004C7BC9" w:rsidP="004C7BC9">
      <w:pPr>
        <w:spacing w:line="264" w:lineRule="auto"/>
        <w:sectPr w:rsidR="004C7BC9">
          <w:type w:val="continuous"/>
          <w:pgSz w:w="11906" w:h="16838"/>
          <w:pgMar w:top="1134" w:right="1134" w:bottom="1418" w:left="1134" w:header="680" w:footer="680" w:gutter="0"/>
          <w:cols w:num="2" w:space="708"/>
        </w:sectPr>
      </w:pPr>
    </w:p>
    <w:p w:rsidR="004C7BC9" w:rsidRPr="00B43111" w:rsidRDefault="004C7BC9" w:rsidP="004C7BC9">
      <w:pPr>
        <w:pStyle w:val="Zkladntext"/>
        <w:numPr>
          <w:ilvl w:val="0"/>
          <w:numId w:val="15"/>
        </w:numPr>
        <w:tabs>
          <w:tab w:val="num" w:pos="284"/>
        </w:tabs>
        <w:spacing w:before="0" w:after="80" w:line="264" w:lineRule="auto"/>
        <w:ind w:left="284" w:hanging="284"/>
        <w:rPr>
          <w:sz w:val="20"/>
          <w:szCs w:val="20"/>
          <w:lang w:val="en-GB"/>
        </w:rPr>
      </w:pPr>
      <w:r w:rsidRPr="00B43111">
        <w:rPr>
          <w:sz w:val="20"/>
          <w:szCs w:val="20"/>
          <w:lang w:val="en-GB"/>
        </w:rPr>
        <w:t xml:space="preserve">The possibility to make an </w:t>
      </w:r>
      <w:r w:rsidRPr="00B43111">
        <w:rPr>
          <w:b/>
          <w:sz w:val="20"/>
          <w:szCs w:val="20"/>
          <w:lang w:val="en-GB"/>
        </w:rPr>
        <w:t>online appointment with a physician via website</w:t>
      </w:r>
      <w:r w:rsidRPr="00B43111">
        <w:rPr>
          <w:sz w:val="20"/>
          <w:szCs w:val="20"/>
          <w:lang w:val="en-GB"/>
        </w:rPr>
        <w:t xml:space="preserve"> from the comfort of one’s home may present a pleasant benefit. In 2016, this option was used by 8% of individuals over the age of 16 in the Czech Republic. The results of individual socio-demographic groups are similar to the ones concerning online consultations. They are realised by women more frequently, especially the ones on parental leave.</w:t>
      </w:r>
    </w:p>
    <w:p w:rsidR="004C7BC9" w:rsidRDefault="004C7BC9" w:rsidP="004C7BC9">
      <w:pPr>
        <w:pStyle w:val="Zkladntext"/>
        <w:spacing w:before="0" w:after="80" w:line="264" w:lineRule="auto"/>
        <w:rPr>
          <w:sz w:val="20"/>
          <w:lang w:val="en-GB"/>
        </w:rPr>
      </w:pPr>
      <w:r>
        <w:rPr>
          <w:noProof/>
        </w:rPr>
        <w:lastRenderedPageBreak/>
        <w:drawing>
          <wp:inline distT="0" distB="0" distL="0" distR="0" wp14:anchorId="54FF26DB" wp14:editId="5B827919">
            <wp:extent cx="6084000" cy="3600000"/>
            <wp:effectExtent l="0" t="0" r="0" b="0"/>
            <wp:docPr id="225" name="Graf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4C7BC9" w:rsidRPr="000631C8" w:rsidRDefault="004C7BC9" w:rsidP="004C7BC9">
      <w:pPr>
        <w:pStyle w:val="Zkladntext"/>
        <w:numPr>
          <w:ilvl w:val="0"/>
          <w:numId w:val="15"/>
        </w:numPr>
        <w:spacing w:before="0" w:after="80" w:line="264" w:lineRule="auto"/>
        <w:ind w:left="284" w:hanging="284"/>
        <w:rPr>
          <w:sz w:val="20"/>
          <w:szCs w:val="20"/>
          <w:lang w:val="en-GB"/>
        </w:rPr>
      </w:pPr>
      <w:r w:rsidRPr="000631C8">
        <w:rPr>
          <w:sz w:val="20"/>
          <w:szCs w:val="20"/>
          <w:lang w:val="en-GB"/>
        </w:rPr>
        <w:t xml:space="preserve">With respect to making online appointments with a physician, the Czech Republic stands below the </w:t>
      </w:r>
      <w:r w:rsidRPr="000631C8">
        <w:rPr>
          <w:b/>
          <w:sz w:val="20"/>
          <w:szCs w:val="20"/>
          <w:lang w:val="en-GB"/>
        </w:rPr>
        <w:t>EU28</w:t>
      </w:r>
      <w:r w:rsidRPr="000631C8">
        <w:rPr>
          <w:sz w:val="20"/>
          <w:szCs w:val="20"/>
          <w:lang w:val="en-GB"/>
        </w:rPr>
        <w:t xml:space="preserve"> average, which is 13%. The most active </w:t>
      </w:r>
      <w:r w:rsidRPr="0090047A">
        <w:rPr>
          <w:sz w:val="20"/>
          <w:szCs w:val="20"/>
          <w:lang w:val="en-GB"/>
        </w:rPr>
        <w:t>ones</w:t>
      </w:r>
      <w:r w:rsidRPr="0090047A">
        <w:rPr>
          <w:sz w:val="20"/>
          <w:szCs w:val="20"/>
        </w:rPr>
        <w:t>,</w:t>
      </w:r>
      <w:r w:rsidRPr="0090047A">
        <w:rPr>
          <w:sz w:val="20"/>
          <w:szCs w:val="20"/>
          <w:lang w:val="en-GB"/>
        </w:rPr>
        <w:t xml:space="preserve"> in this respect</w:t>
      </w:r>
      <w:r w:rsidRPr="0090047A">
        <w:rPr>
          <w:sz w:val="20"/>
          <w:szCs w:val="20"/>
        </w:rPr>
        <w:t>,</w:t>
      </w:r>
      <w:r w:rsidRPr="0090047A">
        <w:rPr>
          <w:sz w:val="20"/>
          <w:szCs w:val="20"/>
          <w:lang w:val="en-GB"/>
        </w:rPr>
        <w:t xml:space="preserve"> were </w:t>
      </w:r>
      <w:r w:rsidRPr="000631C8">
        <w:rPr>
          <w:sz w:val="20"/>
          <w:szCs w:val="20"/>
          <w:lang w:val="en-GB"/>
        </w:rPr>
        <w:t xml:space="preserve">the citizens of Denmark (49%); a little less </w:t>
      </w:r>
      <w:r w:rsidRPr="00290BD2">
        <w:rPr>
          <w:sz w:val="20"/>
          <w:szCs w:val="20"/>
          <w:lang w:val="en-GB"/>
        </w:rPr>
        <w:t xml:space="preserve">active were the citizens of </w:t>
      </w:r>
      <w:r w:rsidRPr="000631C8">
        <w:rPr>
          <w:sz w:val="20"/>
          <w:szCs w:val="20"/>
          <w:lang w:val="en-GB"/>
        </w:rPr>
        <w:t xml:space="preserve">Finland (35%) and Spain (30%). </w:t>
      </w:r>
      <w:r w:rsidRPr="00290BD2">
        <w:rPr>
          <w:sz w:val="20"/>
          <w:szCs w:val="20"/>
          <w:lang w:val="en-GB"/>
        </w:rPr>
        <w:t xml:space="preserve">Opposed to this, </w:t>
      </w:r>
      <w:r w:rsidRPr="000631C8">
        <w:rPr>
          <w:sz w:val="20"/>
          <w:szCs w:val="20"/>
          <w:lang w:val="en-GB"/>
        </w:rPr>
        <w:t xml:space="preserve">Cyprus (0.2%), Greece (2%), and Bulgaria (3%) belong among </w:t>
      </w:r>
      <w:r w:rsidRPr="00290BD2">
        <w:rPr>
          <w:sz w:val="20"/>
          <w:szCs w:val="20"/>
          <w:lang w:val="en-GB"/>
        </w:rPr>
        <w:t>the c</w:t>
      </w:r>
      <w:r w:rsidRPr="000631C8">
        <w:rPr>
          <w:sz w:val="20"/>
          <w:szCs w:val="20"/>
          <w:lang w:val="en-GB"/>
        </w:rPr>
        <w:t xml:space="preserve">ountries recording the lowest percentage of internet usage for making online appointments with a physician. </w:t>
      </w:r>
      <w:r w:rsidRPr="00290BD2">
        <w:rPr>
          <w:sz w:val="20"/>
          <w:szCs w:val="20"/>
          <w:lang w:val="en-GB"/>
        </w:rPr>
        <w:t xml:space="preserve">Also, in these countries, the percentage </w:t>
      </w:r>
      <w:r w:rsidRPr="000631C8">
        <w:rPr>
          <w:sz w:val="20"/>
          <w:szCs w:val="20"/>
          <w:lang w:val="en-GB"/>
        </w:rPr>
        <w:t>of individuals making online appointments has not grown much</w:t>
      </w:r>
      <w:r w:rsidRPr="005860C6">
        <w:rPr>
          <w:sz w:val="20"/>
          <w:szCs w:val="20"/>
        </w:rPr>
        <w:t>,</w:t>
      </w:r>
      <w:r w:rsidRPr="000631C8">
        <w:rPr>
          <w:sz w:val="20"/>
          <w:szCs w:val="20"/>
          <w:lang w:val="en-GB"/>
        </w:rPr>
        <w:t xml:space="preserve"> in comparison with the year 2012; </w:t>
      </w:r>
      <w:r w:rsidRPr="00290BD2">
        <w:rPr>
          <w:sz w:val="20"/>
          <w:szCs w:val="20"/>
          <w:lang w:val="en-GB"/>
        </w:rPr>
        <w:t xml:space="preserve">opposed to this, </w:t>
      </w:r>
      <w:r w:rsidRPr="000631C8">
        <w:rPr>
          <w:sz w:val="20"/>
          <w:szCs w:val="20"/>
          <w:lang w:val="en-GB"/>
        </w:rPr>
        <w:t xml:space="preserve">the usage in Denmark has increased by 20%. </w:t>
      </w:r>
    </w:p>
    <w:p w:rsidR="004C7BC9" w:rsidRDefault="004C7BC9">
      <w:pPr>
        <w:spacing w:after="0" w:line="240" w:lineRule="auto"/>
        <w:rPr>
          <w:noProof/>
          <w:lang w:val="cs-CZ"/>
        </w:rPr>
      </w:pPr>
      <w:r>
        <w:rPr>
          <w:noProof/>
          <w:lang w:val="cs-CZ"/>
        </w:rPr>
        <w:br w:type="page"/>
      </w:r>
    </w:p>
    <w:p w:rsidR="004C7BC9" w:rsidRDefault="004C7BC9" w:rsidP="002875D6">
      <w:pPr>
        <w:pStyle w:val="Nadpis1"/>
        <w:spacing w:after="120"/>
      </w:pPr>
      <w:bookmarkStart w:id="194" w:name="_Toc533697561"/>
      <w:bookmarkStart w:id="195" w:name="_Toc534712060"/>
      <w:r>
        <w:lastRenderedPageBreak/>
        <w:t>List of figures</w:t>
      </w:r>
      <w:bookmarkEnd w:id="194"/>
      <w:bookmarkEnd w:id="195"/>
    </w:p>
    <w:p w:rsidR="004C7BC9" w:rsidRDefault="004C7BC9" w:rsidP="004C7BC9">
      <w:pPr>
        <w:pStyle w:val="Seznamobrzk"/>
        <w:tabs>
          <w:tab w:val="right" w:leader="dot" w:pos="9628"/>
        </w:tabs>
        <w:rPr>
          <w:b/>
          <w:color w:val="009BB4"/>
          <w:sz w:val="32"/>
          <w:szCs w:val="32"/>
          <w:lang w:val="en-GB"/>
        </w:rPr>
      </w:pPr>
      <w:r w:rsidRPr="001753ED">
        <w:rPr>
          <w:b/>
          <w:color w:val="009BB4"/>
          <w:sz w:val="32"/>
          <w:szCs w:val="32"/>
          <w:lang w:val="en-GB"/>
        </w:rPr>
        <w:t xml:space="preserve">A ICT Infrastructure </w:t>
      </w:r>
    </w:p>
    <w:p w:rsidR="004C7BC9" w:rsidRDefault="004C7BC9" w:rsidP="004C7BC9">
      <w:pPr>
        <w:pStyle w:val="Seznamobrzk"/>
        <w:tabs>
          <w:tab w:val="right" w:leader="dot" w:pos="9628"/>
        </w:tabs>
        <w:rPr>
          <w:lang w:val="en-GB"/>
        </w:rPr>
      </w:pPr>
    </w:p>
    <w:p w:rsidR="004C7BC9" w:rsidRPr="00C741FE" w:rsidRDefault="004C7BC9" w:rsidP="004C7BC9">
      <w:pPr>
        <w:pStyle w:val="Seznamobrzk"/>
        <w:tabs>
          <w:tab w:val="right" w:leader="dot" w:pos="9628"/>
        </w:tabs>
        <w:rPr>
          <w:lang w:val="en-GB"/>
        </w:rPr>
      </w:pPr>
      <w:r w:rsidRPr="00C741FE">
        <w:rPr>
          <w:lang w:val="en-GB"/>
        </w:rPr>
        <w:t>Figure A1 Fixed-telephone voice subscriptions in the Czech Republic (only PSTN)</w:t>
      </w:r>
      <w:r w:rsidRPr="00C741FE">
        <w:rPr>
          <w:lang w:val="en-GB"/>
        </w:rPr>
        <w:tab/>
        <w:t>8</w:t>
      </w:r>
    </w:p>
    <w:p w:rsidR="004C7BC9" w:rsidRPr="00C741FE" w:rsidRDefault="004C7BC9" w:rsidP="004C7BC9">
      <w:pPr>
        <w:pStyle w:val="Seznamobrzk"/>
        <w:tabs>
          <w:tab w:val="right" w:leader="dot" w:pos="9628"/>
        </w:tabs>
        <w:rPr>
          <w:lang w:val="en-GB"/>
        </w:rPr>
      </w:pPr>
      <w:r w:rsidRPr="00C741FE">
        <w:rPr>
          <w:lang w:val="en-GB"/>
        </w:rPr>
        <w:t>Figure A2 Fixed-telephone voice subscriptions in the Czech Republic using VoIP</w:t>
      </w:r>
      <w:r w:rsidRPr="00C741FE">
        <w:rPr>
          <w:lang w:val="en-GB"/>
        </w:rPr>
        <w:tab/>
        <w:t>8</w:t>
      </w:r>
    </w:p>
    <w:p w:rsidR="004C7BC9" w:rsidRPr="00C741FE" w:rsidRDefault="004C7BC9" w:rsidP="004C7BC9">
      <w:pPr>
        <w:pStyle w:val="Seznamobrzk"/>
        <w:tabs>
          <w:tab w:val="right" w:leader="dot" w:pos="9628"/>
        </w:tabs>
        <w:rPr>
          <w:lang w:val="en-GB"/>
        </w:rPr>
      </w:pPr>
      <w:r w:rsidRPr="00C741FE">
        <w:rPr>
          <w:lang w:val="en-GB"/>
        </w:rPr>
        <w:t>Figure A3 Voice-fixed subscriptions using PSTN stations in the Czech Republic</w:t>
      </w:r>
      <w:r w:rsidRPr="00C741FE">
        <w:rPr>
          <w:lang w:val="en-GB"/>
        </w:rPr>
        <w:tab/>
        <w:t>9</w:t>
      </w:r>
    </w:p>
    <w:p w:rsidR="004C7BC9" w:rsidRPr="00C741FE" w:rsidRDefault="004C7BC9" w:rsidP="004C7BC9">
      <w:pPr>
        <w:pStyle w:val="Seznamobrzk"/>
        <w:tabs>
          <w:tab w:val="right" w:leader="dot" w:pos="9628"/>
        </w:tabs>
        <w:rPr>
          <w:lang w:val="en-GB"/>
        </w:rPr>
      </w:pPr>
      <w:r w:rsidRPr="00C741FE">
        <w:rPr>
          <w:lang w:val="en-GB"/>
        </w:rPr>
        <w:t>Figure A4 Voice fixed subcsriptions using VoIP stations in the Czech Republic</w:t>
      </w:r>
      <w:r w:rsidRPr="00C741FE">
        <w:rPr>
          <w:lang w:val="en-GB"/>
        </w:rPr>
        <w:tab/>
        <w:t>9</w:t>
      </w:r>
    </w:p>
    <w:p w:rsidR="004C7BC9" w:rsidRPr="00C741FE" w:rsidRDefault="004C7BC9" w:rsidP="004C7BC9">
      <w:pPr>
        <w:pStyle w:val="Seznamobrzk"/>
        <w:tabs>
          <w:tab w:val="right" w:leader="dot" w:pos="9628"/>
        </w:tabs>
        <w:rPr>
          <w:lang w:val="en-GB"/>
        </w:rPr>
      </w:pPr>
      <w:r w:rsidRPr="00C741FE">
        <w:rPr>
          <w:lang w:val="en-GB"/>
        </w:rPr>
        <w:t>Figure A5 Fixed-telephone voice subscriptions (both PSTN and VoIP) per 100 inhabitants in EU countries</w:t>
      </w:r>
      <w:r w:rsidRPr="00C741FE">
        <w:rPr>
          <w:lang w:val="en-GB"/>
        </w:rPr>
        <w:tab/>
      </w:r>
      <w:r>
        <w:rPr>
          <w:lang w:val="en-GB"/>
        </w:rPr>
        <w:t>9</w:t>
      </w:r>
    </w:p>
    <w:p w:rsidR="004C7BC9" w:rsidRPr="00C741FE" w:rsidRDefault="004C7BC9" w:rsidP="004C7BC9">
      <w:pPr>
        <w:pStyle w:val="Seznamobrzk"/>
        <w:tabs>
          <w:tab w:val="right" w:leader="dot" w:pos="9628"/>
        </w:tabs>
        <w:rPr>
          <w:lang w:val="en-GB"/>
        </w:rPr>
      </w:pPr>
      <w:r w:rsidRPr="00C741FE">
        <w:rPr>
          <w:lang w:val="en-GB"/>
        </w:rPr>
        <w:t>Figure A6 Mobile telephone subscriptions in the Czech Republic – active SIM cards</w:t>
      </w:r>
      <w:r w:rsidRPr="00C741FE">
        <w:rPr>
          <w:lang w:val="en-GB"/>
        </w:rPr>
        <w:tab/>
        <w:t>1</w:t>
      </w:r>
      <w:r>
        <w:rPr>
          <w:lang w:val="en-GB"/>
        </w:rPr>
        <w:t>0</w:t>
      </w:r>
    </w:p>
    <w:p w:rsidR="004C7BC9" w:rsidRPr="00C741FE" w:rsidRDefault="004C7BC9" w:rsidP="004C7BC9">
      <w:pPr>
        <w:pStyle w:val="Seznamobrzk"/>
        <w:tabs>
          <w:tab w:val="right" w:leader="dot" w:pos="9628"/>
        </w:tabs>
        <w:rPr>
          <w:lang w:val="en-GB"/>
        </w:rPr>
      </w:pPr>
      <w:r w:rsidRPr="00C741FE">
        <w:rPr>
          <w:lang w:val="en-GB"/>
        </w:rPr>
        <w:t>Figure A7 SIM cards used in the Czech Republic in M2M network</w:t>
      </w:r>
      <w:r w:rsidRPr="00C741FE">
        <w:rPr>
          <w:lang w:val="en-GB"/>
        </w:rPr>
        <w:tab/>
        <w:t>1</w:t>
      </w:r>
      <w:r>
        <w:rPr>
          <w:lang w:val="en-GB"/>
        </w:rPr>
        <w:t>0</w:t>
      </w:r>
    </w:p>
    <w:p w:rsidR="004C7BC9" w:rsidRPr="00C741FE" w:rsidRDefault="004C7BC9" w:rsidP="004C7BC9">
      <w:pPr>
        <w:pStyle w:val="Seznamobrzk"/>
        <w:tabs>
          <w:tab w:val="right" w:leader="dot" w:pos="9628"/>
        </w:tabs>
        <w:rPr>
          <w:lang w:val="en-GB"/>
        </w:rPr>
      </w:pPr>
      <w:r w:rsidRPr="00C741FE">
        <w:rPr>
          <w:lang w:val="en-GB"/>
        </w:rPr>
        <w:t>Figure A8 Total fixed telephone traffic in the Czech Republic</w:t>
      </w:r>
      <w:r w:rsidRPr="00C741FE">
        <w:rPr>
          <w:lang w:val="en-GB"/>
        </w:rPr>
        <w:tab/>
        <w:t>12</w:t>
      </w:r>
    </w:p>
    <w:p w:rsidR="004C7BC9" w:rsidRPr="00C741FE" w:rsidRDefault="004C7BC9" w:rsidP="004C7BC9">
      <w:pPr>
        <w:pStyle w:val="Seznamobrzk"/>
        <w:tabs>
          <w:tab w:val="right" w:leader="dot" w:pos="9628"/>
        </w:tabs>
        <w:rPr>
          <w:lang w:val="en-GB"/>
        </w:rPr>
      </w:pPr>
      <w:r w:rsidRPr="00C741FE">
        <w:rPr>
          <w:lang w:val="en-GB"/>
        </w:rPr>
        <w:t>Figure A9 Mobile telephone traffic in the Czech Republic</w:t>
      </w:r>
      <w:r w:rsidRPr="00C741FE">
        <w:rPr>
          <w:lang w:val="en-GB"/>
        </w:rPr>
        <w:tab/>
        <w:t>12</w:t>
      </w:r>
    </w:p>
    <w:p w:rsidR="004C7BC9" w:rsidRPr="00C741FE" w:rsidRDefault="004C7BC9" w:rsidP="004C7BC9">
      <w:pPr>
        <w:pStyle w:val="Seznamobrzk"/>
        <w:tabs>
          <w:tab w:val="right" w:leader="dot" w:pos="9628"/>
        </w:tabs>
        <w:rPr>
          <w:lang w:val="en-GB"/>
        </w:rPr>
      </w:pPr>
      <w:r w:rsidRPr="00C741FE">
        <w:rPr>
          <w:lang w:val="en-GB"/>
        </w:rPr>
        <w:t>Figure A10 Telephone traffic from mobile network in the Czech Republic</w:t>
      </w:r>
      <w:r w:rsidRPr="00C741FE">
        <w:rPr>
          <w:lang w:val="en-GB"/>
        </w:rPr>
        <w:tab/>
        <w:t>1</w:t>
      </w:r>
      <w:r>
        <w:rPr>
          <w:lang w:val="en-GB"/>
        </w:rPr>
        <w:t>2</w:t>
      </w:r>
    </w:p>
    <w:p w:rsidR="004C7BC9" w:rsidRPr="00C741FE" w:rsidRDefault="004C7BC9" w:rsidP="004C7BC9">
      <w:pPr>
        <w:pStyle w:val="Seznamobrzk"/>
        <w:tabs>
          <w:tab w:val="right" w:leader="dot" w:pos="9628"/>
        </w:tabs>
        <w:rPr>
          <w:lang w:val="en-GB"/>
        </w:rPr>
      </w:pPr>
      <w:r w:rsidRPr="00C741FE">
        <w:rPr>
          <w:lang w:val="en-GB"/>
        </w:rPr>
        <w:t>Figure A11 The average retail price for one outgoing called minute in the mobile network</w:t>
      </w:r>
      <w:r w:rsidRPr="00C741FE">
        <w:rPr>
          <w:lang w:val="en-GB"/>
        </w:rPr>
        <w:tab/>
        <w:t>1</w:t>
      </w:r>
      <w:r>
        <w:rPr>
          <w:lang w:val="en-GB"/>
        </w:rPr>
        <w:t>2</w:t>
      </w:r>
    </w:p>
    <w:p w:rsidR="004C7BC9" w:rsidRPr="00C741FE" w:rsidRDefault="004C7BC9" w:rsidP="004C7BC9">
      <w:pPr>
        <w:pStyle w:val="Seznamobrzk"/>
        <w:tabs>
          <w:tab w:val="right" w:leader="dot" w:pos="9628"/>
        </w:tabs>
        <w:rPr>
          <w:lang w:val="en-GB"/>
        </w:rPr>
      </w:pPr>
      <w:r w:rsidRPr="00C741FE">
        <w:rPr>
          <w:lang w:val="en-GB"/>
        </w:rPr>
        <w:t>Figure A12 Fixed broadband internet subscriptions in the Czech Republic</w:t>
      </w:r>
      <w:r w:rsidRPr="00C741FE">
        <w:rPr>
          <w:lang w:val="en-GB"/>
        </w:rPr>
        <w:tab/>
      </w:r>
      <w:r w:rsidR="0070757C">
        <w:rPr>
          <w:lang w:val="en-GB"/>
        </w:rPr>
        <w:t>14</w:t>
      </w:r>
    </w:p>
    <w:p w:rsidR="004C7BC9" w:rsidRPr="00C741FE" w:rsidRDefault="004C7BC9" w:rsidP="004C7BC9">
      <w:pPr>
        <w:pStyle w:val="Seznamobrzk"/>
        <w:tabs>
          <w:tab w:val="right" w:leader="dot" w:pos="9628"/>
        </w:tabs>
        <w:rPr>
          <w:lang w:val="en-GB"/>
        </w:rPr>
      </w:pPr>
      <w:r w:rsidRPr="00C741FE">
        <w:rPr>
          <w:lang w:val="en-GB"/>
        </w:rPr>
        <w:t>Figure A13 Fixed broadband internet subscriptions in the Czech Republic by technology</w:t>
      </w:r>
      <w:r w:rsidRPr="00C741FE">
        <w:rPr>
          <w:lang w:val="en-GB"/>
        </w:rPr>
        <w:tab/>
        <w:t>1</w:t>
      </w:r>
      <w:r w:rsidR="0070757C">
        <w:rPr>
          <w:lang w:val="en-GB"/>
        </w:rPr>
        <w:t>4</w:t>
      </w:r>
    </w:p>
    <w:p w:rsidR="004C7BC9" w:rsidRPr="00C741FE" w:rsidRDefault="004C7BC9" w:rsidP="004C7BC9">
      <w:pPr>
        <w:pStyle w:val="Seznamobrzk"/>
        <w:tabs>
          <w:tab w:val="right" w:leader="dot" w:pos="9628"/>
        </w:tabs>
        <w:rPr>
          <w:lang w:val="en-GB"/>
        </w:rPr>
      </w:pPr>
      <w:r w:rsidRPr="00C741FE">
        <w:rPr>
          <w:lang w:val="en-GB"/>
        </w:rPr>
        <w:t>Figure A14 Fixed broadband subscriptions per 100 inhabitants in EU countries</w:t>
      </w:r>
      <w:r w:rsidRPr="00C741FE">
        <w:rPr>
          <w:lang w:val="en-GB"/>
        </w:rPr>
        <w:tab/>
        <w:t>1</w:t>
      </w:r>
      <w:r>
        <w:rPr>
          <w:lang w:val="en-GB"/>
        </w:rPr>
        <w:t>4</w:t>
      </w:r>
    </w:p>
    <w:p w:rsidR="004C7BC9" w:rsidRPr="00C741FE" w:rsidRDefault="004C7BC9" w:rsidP="004C7BC9">
      <w:pPr>
        <w:pStyle w:val="Seznamobrzk"/>
        <w:tabs>
          <w:tab w:val="right" w:leader="dot" w:pos="9628"/>
        </w:tabs>
        <w:rPr>
          <w:lang w:val="en-GB"/>
        </w:rPr>
      </w:pPr>
      <w:r w:rsidRPr="00C741FE">
        <w:rPr>
          <w:lang w:val="en-GB"/>
        </w:rPr>
        <w:t>Figure A15 Fixed broadband subscriptions per 100 inhabitants in EU countries by technology</w:t>
      </w:r>
      <w:r w:rsidRPr="00C741FE">
        <w:rPr>
          <w:lang w:val="en-GB"/>
        </w:rPr>
        <w:tab/>
        <w:t>1</w:t>
      </w:r>
      <w:r>
        <w:rPr>
          <w:lang w:val="en-GB"/>
        </w:rPr>
        <w:t>5</w:t>
      </w:r>
    </w:p>
    <w:p w:rsidR="004C7BC9" w:rsidRPr="00C741FE" w:rsidRDefault="004C7BC9" w:rsidP="004C7BC9">
      <w:pPr>
        <w:pStyle w:val="Seznamobrzk"/>
        <w:tabs>
          <w:tab w:val="right" w:leader="dot" w:pos="9628"/>
        </w:tabs>
        <w:rPr>
          <w:lang w:val="en-GB"/>
        </w:rPr>
      </w:pPr>
      <w:r w:rsidRPr="00C741FE">
        <w:rPr>
          <w:lang w:val="en-GB"/>
        </w:rPr>
        <w:t>Figure A16 Fixed broadband internet in the Czech Republic by speed</w:t>
      </w:r>
      <w:r w:rsidRPr="00C741FE">
        <w:rPr>
          <w:lang w:val="en-GB"/>
        </w:rPr>
        <w:tab/>
        <w:t>1</w:t>
      </w:r>
      <w:r>
        <w:rPr>
          <w:lang w:val="en-GB"/>
        </w:rPr>
        <w:t>6</w:t>
      </w:r>
    </w:p>
    <w:p w:rsidR="004C7BC9" w:rsidRPr="00C741FE" w:rsidRDefault="004C7BC9" w:rsidP="004C7BC9">
      <w:pPr>
        <w:pStyle w:val="Seznamobrzk"/>
        <w:tabs>
          <w:tab w:val="right" w:leader="dot" w:pos="9628"/>
        </w:tabs>
        <w:rPr>
          <w:lang w:val="en-GB"/>
        </w:rPr>
      </w:pPr>
      <w:r w:rsidRPr="00C741FE">
        <w:rPr>
          <w:lang w:val="en-GB"/>
        </w:rPr>
        <w:t>Figure A17 Fixed broadband internet connection in the Czech Republic by speed and used technology</w:t>
      </w:r>
      <w:r w:rsidRPr="00C741FE">
        <w:rPr>
          <w:lang w:val="en-GB"/>
        </w:rPr>
        <w:tab/>
        <w:t>1</w:t>
      </w:r>
      <w:r>
        <w:rPr>
          <w:lang w:val="en-GB"/>
        </w:rPr>
        <w:t>6</w:t>
      </w:r>
    </w:p>
    <w:p w:rsidR="004C7BC9" w:rsidRPr="00C741FE" w:rsidRDefault="004C7BC9" w:rsidP="004C7BC9">
      <w:pPr>
        <w:pStyle w:val="Seznamobrzk"/>
        <w:tabs>
          <w:tab w:val="right" w:leader="dot" w:pos="9628"/>
        </w:tabs>
        <w:rPr>
          <w:lang w:val="en-GB"/>
        </w:rPr>
      </w:pPr>
      <w:r w:rsidRPr="00C741FE">
        <w:rPr>
          <w:lang w:val="en-GB"/>
        </w:rPr>
        <w:t>Figure A18 Fixed broadband subscriptions with download speed 100 Mbit/s and more in EU countries</w:t>
      </w:r>
      <w:r w:rsidRPr="00C741FE">
        <w:rPr>
          <w:lang w:val="en-GB"/>
        </w:rPr>
        <w:tab/>
        <w:t>1</w:t>
      </w:r>
      <w:r w:rsidR="0070757C">
        <w:rPr>
          <w:lang w:val="en-GB"/>
        </w:rPr>
        <w:t>7</w:t>
      </w:r>
    </w:p>
    <w:p w:rsidR="004C7BC9" w:rsidRPr="00C741FE" w:rsidRDefault="004C7BC9" w:rsidP="004C7BC9">
      <w:pPr>
        <w:pStyle w:val="Seznamobrzk"/>
        <w:tabs>
          <w:tab w:val="right" w:leader="dot" w:pos="9628"/>
        </w:tabs>
        <w:rPr>
          <w:lang w:val="en-GB"/>
        </w:rPr>
      </w:pPr>
      <w:r w:rsidRPr="00C741FE">
        <w:rPr>
          <w:lang w:val="en-GB"/>
        </w:rPr>
        <w:t>Figure A19 Mobile broadband subscriptions in the Czech Republic</w:t>
      </w:r>
      <w:r w:rsidRPr="00C741FE">
        <w:rPr>
          <w:lang w:val="en-GB"/>
        </w:rPr>
        <w:tab/>
        <w:t>1</w:t>
      </w:r>
      <w:r w:rsidR="0070757C">
        <w:rPr>
          <w:lang w:val="en-GB"/>
        </w:rPr>
        <w:t>8</w:t>
      </w:r>
    </w:p>
    <w:p w:rsidR="004C7BC9" w:rsidRPr="00C741FE" w:rsidRDefault="004C7BC9" w:rsidP="004C7BC9">
      <w:pPr>
        <w:pStyle w:val="Seznamobrzk"/>
        <w:tabs>
          <w:tab w:val="right" w:leader="dot" w:pos="9628"/>
        </w:tabs>
        <w:rPr>
          <w:lang w:val="en-GB"/>
        </w:rPr>
      </w:pPr>
      <w:r w:rsidRPr="00C741FE">
        <w:rPr>
          <w:lang w:val="en-GB"/>
        </w:rPr>
        <w:t>Figure A20 Average mobile data consumption per one active SIM card in the Czech Republic (in MB)</w:t>
      </w:r>
      <w:r w:rsidRPr="00C741FE">
        <w:rPr>
          <w:lang w:val="en-GB"/>
        </w:rPr>
        <w:tab/>
        <w:t>1</w:t>
      </w:r>
      <w:r w:rsidR="0070757C">
        <w:rPr>
          <w:lang w:val="en-GB"/>
        </w:rPr>
        <w:t>8</w:t>
      </w:r>
    </w:p>
    <w:p w:rsidR="004C7BC9" w:rsidRDefault="004C7BC9" w:rsidP="004C7BC9">
      <w:pPr>
        <w:pStyle w:val="Seznamobrzk"/>
        <w:tabs>
          <w:tab w:val="right" w:leader="dot" w:pos="9628"/>
        </w:tabs>
      </w:pPr>
      <w:r w:rsidRPr="00C741FE">
        <w:rPr>
          <w:lang w:val="en-GB"/>
        </w:rPr>
        <w:t>Figure A21 Mobile broadband subscriptions per 100 inhabitants in EU countries</w:t>
      </w:r>
      <w:r w:rsidRPr="00C741FE">
        <w:rPr>
          <w:lang w:val="en-GB"/>
        </w:rPr>
        <w:tab/>
        <w:t>1</w:t>
      </w:r>
      <w:r w:rsidR="0070757C">
        <w:rPr>
          <w:lang w:val="en-GB"/>
        </w:rPr>
        <w:t>9</w:t>
      </w:r>
    </w:p>
    <w:p w:rsidR="004C7BC9" w:rsidRPr="00A64C6C" w:rsidRDefault="004C7BC9" w:rsidP="004C7BC9">
      <w:pPr>
        <w:pStyle w:val="Seznamobrzk"/>
        <w:tabs>
          <w:tab w:val="right" w:leader="dot" w:pos="9628"/>
        </w:tabs>
        <w:rPr>
          <w:lang w:val="en-GB"/>
        </w:rPr>
      </w:pPr>
      <w:r>
        <w:fldChar w:fldCharType="begin"/>
      </w:r>
      <w:r>
        <w:instrText xml:space="preserve"> TOC \h \z \c "Figure A" </w:instrText>
      </w:r>
      <w:r>
        <w:fldChar w:fldCharType="separate"/>
      </w:r>
    </w:p>
    <w:p w:rsidR="004C7BC9" w:rsidRPr="002C567D" w:rsidRDefault="004C7BC9" w:rsidP="004C7BC9">
      <w:pPr>
        <w:pStyle w:val="Seznamobrzk"/>
        <w:tabs>
          <w:tab w:val="right" w:leader="dot" w:pos="9628"/>
        </w:tabs>
        <w:rPr>
          <w:b/>
          <w:color w:val="009BB4"/>
          <w:sz w:val="32"/>
          <w:szCs w:val="32"/>
          <w:lang w:val="en-GB"/>
        </w:rPr>
      </w:pPr>
      <w:r w:rsidRPr="002C567D">
        <w:rPr>
          <w:b/>
          <w:color w:val="009BB4"/>
          <w:sz w:val="32"/>
          <w:szCs w:val="32"/>
          <w:lang w:val="en-GB"/>
        </w:rPr>
        <w:t xml:space="preserve">B </w:t>
      </w:r>
      <w:r>
        <w:rPr>
          <w:b/>
          <w:color w:val="009BB4"/>
          <w:sz w:val="32"/>
          <w:szCs w:val="32"/>
          <w:lang w:val="en-GB"/>
        </w:rPr>
        <w:t>Households and ICT</w:t>
      </w:r>
      <w:r w:rsidRPr="002C567D">
        <w:rPr>
          <w:b/>
          <w:color w:val="009BB4"/>
          <w:sz w:val="32"/>
          <w:szCs w:val="32"/>
          <w:lang w:val="en-GB"/>
        </w:rPr>
        <w:t xml:space="preserve"> </w:t>
      </w:r>
    </w:p>
    <w:p w:rsidR="004C7BC9" w:rsidRPr="00A64C6C" w:rsidRDefault="004C7BC9" w:rsidP="004C7BC9">
      <w:pPr>
        <w:pStyle w:val="Seznamobrzk"/>
        <w:tabs>
          <w:tab w:val="right" w:leader="dot" w:pos="9628"/>
        </w:tabs>
        <w:rPr>
          <w:lang w:val="en-GB"/>
        </w:rPr>
      </w:pPr>
      <w:r w:rsidRPr="00A64C6C">
        <w:rPr>
          <w:lang w:val="en-GB"/>
        </w:rPr>
        <w:fldChar w:fldCharType="begin"/>
      </w:r>
      <w:r w:rsidRPr="00A64C6C">
        <w:rPr>
          <w:lang w:val="en-GB"/>
        </w:rPr>
        <w:instrText xml:space="preserve"> TOC \h \z \c "Figure B" </w:instrText>
      </w:r>
      <w:r w:rsidRPr="00A64C6C">
        <w:rPr>
          <w:lang w:val="en-GB"/>
        </w:rPr>
        <w:fldChar w:fldCharType="separate"/>
      </w:r>
    </w:p>
    <w:p w:rsidR="004C7BC9" w:rsidRPr="00A64C6C" w:rsidRDefault="004C7BC9" w:rsidP="004C7BC9">
      <w:pPr>
        <w:pStyle w:val="Seznamobrzk"/>
        <w:tabs>
          <w:tab w:val="right" w:leader="dot" w:pos="9628"/>
        </w:tabs>
        <w:rPr>
          <w:lang w:val="en-GB"/>
        </w:rPr>
      </w:pPr>
      <w:r w:rsidRPr="00A64C6C">
        <w:rPr>
          <w:lang w:val="en-GB"/>
        </w:rPr>
        <w:t>Figure B1 Share of households in the Czech Republic with a fixed telephone</w:t>
      </w:r>
      <w:r w:rsidRPr="00A64C6C">
        <w:rPr>
          <w:lang w:val="en-GB"/>
        </w:rPr>
        <w:tab/>
        <w:t>2</w:t>
      </w:r>
      <w:r w:rsidR="0070757C">
        <w:rPr>
          <w:lang w:val="en-GB"/>
        </w:rPr>
        <w:t>1</w:t>
      </w:r>
    </w:p>
    <w:p w:rsidR="004C7BC9" w:rsidRPr="00A64C6C" w:rsidRDefault="004C7BC9" w:rsidP="004C7BC9">
      <w:pPr>
        <w:pStyle w:val="Seznamobrzk"/>
        <w:tabs>
          <w:tab w:val="right" w:leader="dot" w:pos="9628"/>
        </w:tabs>
        <w:rPr>
          <w:lang w:val="en-GB"/>
        </w:rPr>
      </w:pPr>
      <w:r w:rsidRPr="00A64C6C">
        <w:rPr>
          <w:lang w:val="en-GB"/>
        </w:rPr>
        <w:t>Figure B2 Share of hou</w:t>
      </w:r>
      <w:r w:rsidR="0070757C" w:rsidRPr="0070757C">
        <w:t xml:space="preserve"> </w:t>
      </w:r>
      <w:r w:rsidR="0070757C" w:rsidRPr="0070757C">
        <w:rPr>
          <w:lang w:val="en-GB"/>
        </w:rPr>
        <w:t xml:space="preserve">the most frequently </w:t>
      </w:r>
      <w:r w:rsidRPr="00A64C6C">
        <w:rPr>
          <w:lang w:val="en-GB"/>
        </w:rPr>
        <w:t>seholds in EU countries with a fixed telephone</w:t>
      </w:r>
      <w:r w:rsidRPr="00A64C6C">
        <w:rPr>
          <w:lang w:val="en-GB"/>
        </w:rPr>
        <w:tab/>
        <w:t>2</w:t>
      </w:r>
      <w:r w:rsidR="003B57DF">
        <w:rPr>
          <w:lang w:val="en-GB"/>
        </w:rPr>
        <w:t>1</w:t>
      </w:r>
    </w:p>
    <w:p w:rsidR="004C7BC9" w:rsidRPr="00A64C6C" w:rsidRDefault="004C7BC9" w:rsidP="004C7BC9">
      <w:pPr>
        <w:pStyle w:val="Seznamobrzk"/>
        <w:tabs>
          <w:tab w:val="right" w:leader="dot" w:pos="9628"/>
        </w:tabs>
        <w:rPr>
          <w:lang w:val="en-GB"/>
        </w:rPr>
      </w:pPr>
      <w:r w:rsidRPr="00A64C6C">
        <w:rPr>
          <w:lang w:val="en-GB"/>
        </w:rPr>
        <w:t>Figure B3 Households in the Czech Republic with access to a telephone</w:t>
      </w:r>
      <w:r w:rsidRPr="00A64C6C">
        <w:rPr>
          <w:lang w:val="en-GB"/>
        </w:rPr>
        <w:tab/>
        <w:t>2</w:t>
      </w:r>
      <w:r w:rsidR="003B57DF">
        <w:rPr>
          <w:lang w:val="en-GB"/>
        </w:rPr>
        <w:t>2</w:t>
      </w:r>
    </w:p>
    <w:p w:rsidR="004C7BC9" w:rsidRPr="00A64C6C" w:rsidRDefault="004C7BC9" w:rsidP="004C7BC9">
      <w:pPr>
        <w:pStyle w:val="Seznamobrzk"/>
        <w:tabs>
          <w:tab w:val="right" w:leader="dot" w:pos="9628"/>
        </w:tabs>
        <w:rPr>
          <w:lang w:val="en-GB"/>
        </w:rPr>
      </w:pPr>
      <w:r w:rsidRPr="00A64C6C">
        <w:rPr>
          <w:lang w:val="en-GB"/>
        </w:rPr>
        <w:t xml:space="preserve">Figure B4 Number of mobile phones used in Czech households per </w:t>
      </w:r>
      <w:r w:rsidR="003B57DF">
        <w:rPr>
          <w:lang w:val="en-GB"/>
        </w:rPr>
        <w:t>1</w:t>
      </w:r>
      <w:r w:rsidRPr="00A64C6C">
        <w:rPr>
          <w:lang w:val="en-GB"/>
        </w:rPr>
        <w:t xml:space="preserve"> member of household</w:t>
      </w:r>
      <w:r w:rsidRPr="00A64C6C">
        <w:rPr>
          <w:lang w:val="en-GB"/>
        </w:rPr>
        <w:tab/>
        <w:t>2</w:t>
      </w:r>
      <w:r w:rsidR="003B57DF">
        <w:rPr>
          <w:lang w:val="en-GB"/>
        </w:rPr>
        <w:t>2</w:t>
      </w:r>
    </w:p>
    <w:p w:rsidR="004C7BC9" w:rsidRPr="00A64C6C" w:rsidRDefault="004C7BC9" w:rsidP="004C7BC9">
      <w:pPr>
        <w:pStyle w:val="Seznamobrzk"/>
        <w:tabs>
          <w:tab w:val="right" w:leader="dot" w:pos="9628"/>
        </w:tabs>
        <w:rPr>
          <w:lang w:val="en-GB"/>
        </w:rPr>
      </w:pPr>
      <w:r w:rsidRPr="00A64C6C">
        <w:rPr>
          <w:lang w:val="en-GB"/>
        </w:rPr>
        <w:t>Figure B5 Household consumption expenditure for telecomm. services in the Czech Republic</w:t>
      </w:r>
      <w:r w:rsidRPr="00A64C6C">
        <w:rPr>
          <w:lang w:val="en-GB"/>
        </w:rPr>
        <w:tab/>
        <w:t>2</w:t>
      </w:r>
      <w:r w:rsidR="003B57DF">
        <w:rPr>
          <w:lang w:val="en-GB"/>
        </w:rPr>
        <w:t>3</w:t>
      </w:r>
    </w:p>
    <w:p w:rsidR="004C7BC9" w:rsidRPr="00A64C6C" w:rsidRDefault="004C7BC9" w:rsidP="004C7BC9">
      <w:pPr>
        <w:pStyle w:val="Seznamobrzk"/>
        <w:tabs>
          <w:tab w:val="right" w:leader="dot" w:pos="9628"/>
        </w:tabs>
        <w:rPr>
          <w:lang w:val="en-GB"/>
        </w:rPr>
      </w:pPr>
      <w:r w:rsidRPr="00A64C6C">
        <w:rPr>
          <w:lang w:val="en-GB"/>
        </w:rPr>
        <w:t>Figure B6 Telecomm. household consumption expenditure by type of services in the Czech Republic</w:t>
      </w:r>
      <w:r w:rsidRPr="00A64C6C">
        <w:rPr>
          <w:lang w:val="en-GB"/>
        </w:rPr>
        <w:tab/>
        <w:t>2</w:t>
      </w:r>
      <w:r w:rsidR="003B57DF">
        <w:rPr>
          <w:lang w:val="en-GB"/>
        </w:rPr>
        <w:t>3</w:t>
      </w:r>
    </w:p>
    <w:p w:rsidR="004C7BC9" w:rsidRPr="00A64C6C" w:rsidRDefault="004C7BC9" w:rsidP="004C7BC9">
      <w:pPr>
        <w:pStyle w:val="Seznamobrzk"/>
        <w:tabs>
          <w:tab w:val="right" w:leader="dot" w:pos="9628"/>
        </w:tabs>
        <w:rPr>
          <w:lang w:val="en-GB"/>
        </w:rPr>
      </w:pPr>
      <w:r w:rsidRPr="00A64C6C">
        <w:rPr>
          <w:lang w:val="en-GB"/>
        </w:rPr>
        <w:t>Figure B7 Household expenditure for telecommunica</w:t>
      </w:r>
      <w:r w:rsidR="003B57DF">
        <w:rPr>
          <w:lang w:val="en-GB"/>
        </w:rPr>
        <w:t>tion services in EU countries</w:t>
      </w:r>
      <w:r w:rsidR="003B57DF">
        <w:rPr>
          <w:lang w:val="en-GB"/>
        </w:rPr>
        <w:tab/>
        <w:t>23</w:t>
      </w:r>
    </w:p>
    <w:p w:rsidR="004C7BC9" w:rsidRPr="00A64C6C" w:rsidRDefault="004C7BC9" w:rsidP="004C7BC9">
      <w:pPr>
        <w:pStyle w:val="Seznamobrzk"/>
        <w:tabs>
          <w:tab w:val="right" w:leader="dot" w:pos="9628"/>
        </w:tabs>
        <w:rPr>
          <w:lang w:val="en-GB"/>
        </w:rPr>
      </w:pPr>
      <w:r w:rsidRPr="00A64C6C">
        <w:rPr>
          <w:lang w:val="en-GB"/>
        </w:rPr>
        <w:t>Figure B8 Households in the Czech Republic with access to a computer at home</w:t>
      </w:r>
      <w:r w:rsidRPr="00A64C6C">
        <w:rPr>
          <w:lang w:val="en-GB"/>
        </w:rPr>
        <w:tab/>
        <w:t>2</w:t>
      </w:r>
      <w:r w:rsidR="003B57DF">
        <w:rPr>
          <w:lang w:val="en-GB"/>
        </w:rPr>
        <w:t>4</w:t>
      </w:r>
    </w:p>
    <w:p w:rsidR="004C7BC9" w:rsidRPr="00A64C6C" w:rsidRDefault="004C7BC9" w:rsidP="004C7BC9">
      <w:pPr>
        <w:pStyle w:val="Seznamobrzk"/>
        <w:tabs>
          <w:tab w:val="right" w:leader="dot" w:pos="9628"/>
        </w:tabs>
        <w:rPr>
          <w:lang w:val="en-GB"/>
        </w:rPr>
      </w:pPr>
      <w:r w:rsidRPr="00A64C6C">
        <w:rPr>
          <w:lang w:val="en-GB"/>
        </w:rPr>
        <w:t>Figure B9 Czech households with a computer by type of computer used at home</w:t>
      </w:r>
      <w:r w:rsidRPr="00A64C6C">
        <w:rPr>
          <w:lang w:val="en-GB"/>
        </w:rPr>
        <w:tab/>
        <w:t>2</w:t>
      </w:r>
      <w:r w:rsidR="003B57DF">
        <w:rPr>
          <w:lang w:val="en-GB"/>
        </w:rPr>
        <w:t>4</w:t>
      </w:r>
    </w:p>
    <w:p w:rsidR="004C7BC9" w:rsidRPr="00A64C6C" w:rsidRDefault="004C7BC9" w:rsidP="004C7BC9">
      <w:pPr>
        <w:pStyle w:val="Seznamobrzk"/>
        <w:tabs>
          <w:tab w:val="right" w:leader="dot" w:pos="9628"/>
        </w:tabs>
        <w:rPr>
          <w:lang w:val="en-GB"/>
        </w:rPr>
      </w:pPr>
      <w:r w:rsidRPr="00A64C6C">
        <w:rPr>
          <w:lang w:val="en-GB"/>
        </w:rPr>
        <w:t>Figure B10 Households in EU countries with access to a computer at home</w:t>
      </w:r>
      <w:r w:rsidRPr="00A64C6C">
        <w:rPr>
          <w:lang w:val="en-GB"/>
        </w:rPr>
        <w:tab/>
        <w:t>2</w:t>
      </w:r>
      <w:r w:rsidR="003B57DF">
        <w:rPr>
          <w:lang w:val="en-GB"/>
        </w:rPr>
        <w:t>5</w:t>
      </w:r>
    </w:p>
    <w:p w:rsidR="004C7BC9" w:rsidRPr="00A64C6C" w:rsidRDefault="004C7BC9" w:rsidP="004C7BC9">
      <w:pPr>
        <w:pStyle w:val="Seznamobrzk"/>
        <w:tabs>
          <w:tab w:val="right" w:leader="dot" w:pos="9628"/>
        </w:tabs>
        <w:rPr>
          <w:lang w:val="en-GB"/>
        </w:rPr>
      </w:pPr>
      <w:r w:rsidRPr="00A64C6C">
        <w:rPr>
          <w:lang w:val="en-GB"/>
        </w:rPr>
        <w:t>Figure B11 Households in the Czech Republic with a portable computer (laptop or tablet)</w:t>
      </w:r>
      <w:r w:rsidRPr="00A64C6C">
        <w:rPr>
          <w:lang w:val="en-GB"/>
        </w:rPr>
        <w:tab/>
        <w:t>2</w:t>
      </w:r>
      <w:r w:rsidR="003B57DF">
        <w:rPr>
          <w:lang w:val="en-GB"/>
        </w:rPr>
        <w:t>6</w:t>
      </w:r>
    </w:p>
    <w:p w:rsidR="004C7BC9" w:rsidRPr="00A64C6C" w:rsidRDefault="004C7BC9" w:rsidP="004C7BC9">
      <w:pPr>
        <w:pStyle w:val="Seznamobrzk"/>
        <w:tabs>
          <w:tab w:val="right" w:leader="dot" w:pos="9628"/>
        </w:tabs>
        <w:rPr>
          <w:lang w:val="en-GB"/>
        </w:rPr>
      </w:pPr>
      <w:r w:rsidRPr="00A64C6C">
        <w:rPr>
          <w:lang w:val="en-GB"/>
        </w:rPr>
        <w:t>Figure B12 Czech households with a computer by type of computer used at home</w:t>
      </w:r>
      <w:r w:rsidRPr="00A64C6C">
        <w:rPr>
          <w:lang w:val="en-GB"/>
        </w:rPr>
        <w:tab/>
        <w:t>2</w:t>
      </w:r>
      <w:r w:rsidR="003B57DF">
        <w:rPr>
          <w:lang w:val="en-GB"/>
        </w:rPr>
        <w:t>6</w:t>
      </w:r>
    </w:p>
    <w:p w:rsidR="004C7BC9" w:rsidRPr="00A64C6C" w:rsidRDefault="004C7BC9" w:rsidP="004C7BC9">
      <w:pPr>
        <w:pStyle w:val="Seznamobrzk"/>
        <w:tabs>
          <w:tab w:val="right" w:leader="dot" w:pos="9628"/>
        </w:tabs>
        <w:rPr>
          <w:lang w:val="en-GB"/>
        </w:rPr>
      </w:pPr>
      <w:r w:rsidRPr="00A64C6C">
        <w:rPr>
          <w:lang w:val="en-GB"/>
        </w:rPr>
        <w:t>Figure B13 Households in the Czech Republic with access to the internet at home</w:t>
      </w:r>
      <w:r w:rsidRPr="00A64C6C">
        <w:rPr>
          <w:lang w:val="en-GB"/>
        </w:rPr>
        <w:tab/>
        <w:t>2</w:t>
      </w:r>
      <w:r w:rsidR="003B57DF">
        <w:rPr>
          <w:lang w:val="en-GB"/>
        </w:rPr>
        <w:t>7</w:t>
      </w:r>
    </w:p>
    <w:p w:rsidR="004C7BC9" w:rsidRPr="00A64C6C" w:rsidRDefault="004C7BC9" w:rsidP="004C7BC9">
      <w:pPr>
        <w:pStyle w:val="Seznamobrzk"/>
        <w:tabs>
          <w:tab w:val="right" w:leader="dot" w:pos="9628"/>
        </w:tabs>
        <w:rPr>
          <w:lang w:val="en-GB"/>
        </w:rPr>
      </w:pPr>
      <w:r w:rsidRPr="00A64C6C">
        <w:rPr>
          <w:lang w:val="en-GB"/>
        </w:rPr>
        <w:t>Figure B14 Households in the Czech Republic without access to the internet at home</w:t>
      </w:r>
      <w:r w:rsidRPr="00A64C6C">
        <w:rPr>
          <w:lang w:val="en-GB"/>
        </w:rPr>
        <w:tab/>
        <w:t>2</w:t>
      </w:r>
      <w:r w:rsidR="003B57DF">
        <w:rPr>
          <w:lang w:val="en-GB"/>
        </w:rPr>
        <w:t>7</w:t>
      </w:r>
    </w:p>
    <w:p w:rsidR="004C7BC9" w:rsidRPr="00A64C6C" w:rsidRDefault="004C7BC9" w:rsidP="004C7BC9">
      <w:pPr>
        <w:pStyle w:val="Seznamobrzk"/>
        <w:tabs>
          <w:tab w:val="right" w:leader="dot" w:pos="9628"/>
        </w:tabs>
        <w:rPr>
          <w:lang w:val="en-GB"/>
        </w:rPr>
      </w:pPr>
      <w:r w:rsidRPr="00A64C6C">
        <w:rPr>
          <w:lang w:val="en-GB"/>
        </w:rPr>
        <w:t>F</w:t>
      </w:r>
      <w:r w:rsidR="003B57DF">
        <w:rPr>
          <w:lang w:val="en-GB"/>
        </w:rPr>
        <w:t>igure B15 Low income households</w:t>
      </w:r>
      <w:r w:rsidRPr="00A64C6C">
        <w:rPr>
          <w:lang w:val="en-GB"/>
        </w:rPr>
        <w:t xml:space="preserve"> in EU countries without  access to the internet at home</w:t>
      </w:r>
      <w:r w:rsidRPr="00A64C6C">
        <w:rPr>
          <w:lang w:val="en-GB"/>
        </w:rPr>
        <w:tab/>
        <w:t>2</w:t>
      </w:r>
      <w:r w:rsidR="003B57DF">
        <w:rPr>
          <w:lang w:val="en-GB"/>
        </w:rPr>
        <w:t>8</w:t>
      </w:r>
    </w:p>
    <w:p w:rsidR="004C7BC9" w:rsidRPr="00A64C6C" w:rsidRDefault="004C7BC9" w:rsidP="004C7BC9">
      <w:pPr>
        <w:pStyle w:val="Seznamobrzk"/>
        <w:tabs>
          <w:tab w:val="right" w:leader="dot" w:pos="9628"/>
        </w:tabs>
        <w:rPr>
          <w:lang w:val="en-GB"/>
        </w:rPr>
      </w:pPr>
      <w:r w:rsidRPr="00A64C6C">
        <w:rPr>
          <w:lang w:val="en-GB"/>
        </w:rPr>
        <w:t>Figure B16 Households in the Czech Republic without access to the internet at home</w:t>
      </w:r>
      <w:r w:rsidRPr="00A64C6C">
        <w:rPr>
          <w:lang w:val="en-GB"/>
        </w:rPr>
        <w:tab/>
        <w:t>2</w:t>
      </w:r>
      <w:r w:rsidR="003B57DF">
        <w:rPr>
          <w:lang w:val="en-GB"/>
        </w:rPr>
        <w:t>8</w:t>
      </w:r>
    </w:p>
    <w:p w:rsidR="004C7BC9" w:rsidRPr="00A64C6C" w:rsidRDefault="004C7BC9" w:rsidP="004C7BC9">
      <w:pPr>
        <w:pStyle w:val="Seznamobrzk"/>
        <w:tabs>
          <w:tab w:val="right" w:leader="dot" w:pos="9628"/>
        </w:tabs>
        <w:rPr>
          <w:lang w:val="en-GB"/>
        </w:rPr>
      </w:pPr>
      <w:r w:rsidRPr="00A64C6C">
        <w:rPr>
          <w:lang w:val="en-GB"/>
        </w:rPr>
        <w:t>Figure B17 Main reasons for Czech households for not having access to the internet at home</w:t>
      </w:r>
      <w:r w:rsidRPr="00A64C6C">
        <w:rPr>
          <w:lang w:val="en-GB"/>
        </w:rPr>
        <w:tab/>
        <w:t>2</w:t>
      </w:r>
      <w:r w:rsidR="003B57DF">
        <w:rPr>
          <w:lang w:val="en-GB"/>
        </w:rPr>
        <w:t>8</w:t>
      </w:r>
    </w:p>
    <w:p w:rsidR="004C7BC9" w:rsidRPr="00A64C6C" w:rsidRDefault="004C7BC9" w:rsidP="004C7BC9">
      <w:pPr>
        <w:pStyle w:val="Seznamobrzk"/>
        <w:tabs>
          <w:tab w:val="right" w:leader="dot" w:pos="9628"/>
        </w:tabs>
        <w:rPr>
          <w:lang w:val="en-GB"/>
        </w:rPr>
      </w:pPr>
      <w:r w:rsidRPr="00A64C6C">
        <w:rPr>
          <w:lang w:val="en-GB"/>
        </w:rPr>
        <w:t>Figure B18 Type of internet connection used by Czech households by size of their municipalities</w:t>
      </w:r>
      <w:r w:rsidRPr="00A64C6C">
        <w:rPr>
          <w:lang w:val="en-GB"/>
        </w:rPr>
        <w:tab/>
      </w:r>
      <w:r w:rsidR="003B57DF">
        <w:rPr>
          <w:lang w:val="en-GB"/>
        </w:rPr>
        <w:t>29</w:t>
      </w:r>
    </w:p>
    <w:p w:rsidR="004C7BC9" w:rsidRPr="00A64C6C" w:rsidRDefault="004C7BC9" w:rsidP="004C7BC9">
      <w:pPr>
        <w:pStyle w:val="Seznamobrzk"/>
        <w:tabs>
          <w:tab w:val="right" w:leader="dot" w:pos="9628"/>
        </w:tabs>
        <w:rPr>
          <w:lang w:val="en-GB"/>
        </w:rPr>
      </w:pPr>
      <w:r w:rsidRPr="00A64C6C">
        <w:rPr>
          <w:lang w:val="en-GB"/>
        </w:rPr>
        <w:t>Figure B19 Households in the Czech Republic using a Wi-Fi router to within their home</w:t>
      </w:r>
      <w:r w:rsidRPr="00A64C6C">
        <w:rPr>
          <w:lang w:val="en-GB"/>
        </w:rPr>
        <w:tab/>
      </w:r>
      <w:r w:rsidR="003B57DF">
        <w:rPr>
          <w:lang w:val="en-GB"/>
        </w:rPr>
        <w:t>29</w:t>
      </w:r>
    </w:p>
    <w:p w:rsidR="004C7BC9" w:rsidRPr="00A64C6C" w:rsidRDefault="004C7BC9" w:rsidP="004C7BC9">
      <w:pPr>
        <w:pStyle w:val="Seznamobrzk"/>
        <w:tabs>
          <w:tab w:val="right" w:leader="dot" w:pos="9628"/>
        </w:tabs>
        <w:rPr>
          <w:lang w:val="en-GB"/>
        </w:rPr>
      </w:pPr>
      <w:r>
        <w:rPr>
          <w:lang w:val="en-GB"/>
        </w:rPr>
        <w:br w:type="page"/>
      </w:r>
    </w:p>
    <w:p w:rsidR="004C7BC9" w:rsidRPr="002C567D" w:rsidRDefault="004C7BC9" w:rsidP="004C7BC9">
      <w:pPr>
        <w:pStyle w:val="Seznamobrzk"/>
        <w:tabs>
          <w:tab w:val="right" w:leader="dot" w:pos="9628"/>
        </w:tabs>
        <w:rPr>
          <w:b/>
          <w:color w:val="009BB4"/>
          <w:sz w:val="32"/>
          <w:szCs w:val="32"/>
          <w:lang w:val="en-GB"/>
        </w:rPr>
      </w:pPr>
      <w:r w:rsidRPr="002C567D">
        <w:rPr>
          <w:b/>
          <w:color w:val="009BB4"/>
          <w:sz w:val="32"/>
          <w:szCs w:val="32"/>
          <w:lang w:val="en-GB"/>
        </w:rPr>
        <w:lastRenderedPageBreak/>
        <w:t>C Individuals and ICT</w:t>
      </w:r>
    </w:p>
    <w:p w:rsidR="004C7BC9" w:rsidRPr="00A64C6C" w:rsidRDefault="004C7BC9" w:rsidP="004C7BC9">
      <w:pPr>
        <w:pStyle w:val="Seznamobrzk"/>
        <w:tabs>
          <w:tab w:val="right" w:leader="dot" w:pos="9628"/>
        </w:tabs>
        <w:rPr>
          <w:lang w:val="en-GB"/>
        </w:rPr>
      </w:pPr>
      <w:r w:rsidRPr="00A64C6C">
        <w:rPr>
          <w:lang w:val="en-GB"/>
        </w:rPr>
        <w:fldChar w:fldCharType="begin"/>
      </w:r>
      <w:r w:rsidRPr="00A64C6C">
        <w:rPr>
          <w:lang w:val="en-GB"/>
        </w:rPr>
        <w:instrText xml:space="preserve"> TOC \h \z \c "Figure C" </w:instrText>
      </w:r>
      <w:r w:rsidRPr="00A64C6C">
        <w:rPr>
          <w:lang w:val="en-GB"/>
        </w:rPr>
        <w:fldChar w:fldCharType="separate"/>
      </w:r>
    </w:p>
    <w:p w:rsidR="004C7BC9" w:rsidRPr="00A64C6C" w:rsidRDefault="004C7BC9" w:rsidP="004C7BC9">
      <w:pPr>
        <w:pStyle w:val="Seznamobrzk"/>
        <w:tabs>
          <w:tab w:val="right" w:leader="dot" w:pos="9628"/>
        </w:tabs>
        <w:rPr>
          <w:lang w:val="en-GB"/>
        </w:rPr>
      </w:pPr>
      <w:r w:rsidRPr="00A64C6C">
        <w:rPr>
          <w:lang w:val="en-GB"/>
        </w:rPr>
        <w:t>Figure C1 Individuals in the Czech Republic using laptop or tablet</w:t>
      </w:r>
      <w:r w:rsidRPr="00A64C6C">
        <w:rPr>
          <w:lang w:val="en-GB"/>
        </w:rPr>
        <w:tab/>
        <w:t>3</w:t>
      </w:r>
      <w:r w:rsidR="00AF6468">
        <w:rPr>
          <w:lang w:val="en-GB"/>
        </w:rPr>
        <w:t>1</w:t>
      </w:r>
    </w:p>
    <w:p w:rsidR="004C7BC9" w:rsidRPr="00A64C6C" w:rsidRDefault="004C7BC9" w:rsidP="004C7BC9">
      <w:pPr>
        <w:pStyle w:val="Seznamobrzk"/>
        <w:tabs>
          <w:tab w:val="right" w:leader="dot" w:pos="9628"/>
        </w:tabs>
        <w:rPr>
          <w:lang w:val="en-GB"/>
        </w:rPr>
      </w:pPr>
      <w:r w:rsidRPr="00A64C6C">
        <w:rPr>
          <w:lang w:val="en-GB"/>
        </w:rPr>
        <w:t>Figure C2 Individuals in the Czech Republic using tablet</w:t>
      </w:r>
      <w:r w:rsidRPr="00A64C6C">
        <w:rPr>
          <w:lang w:val="en-GB"/>
        </w:rPr>
        <w:tab/>
        <w:t>3</w:t>
      </w:r>
      <w:r w:rsidR="00AF6468">
        <w:rPr>
          <w:lang w:val="en-GB"/>
        </w:rPr>
        <w:t>1</w:t>
      </w:r>
    </w:p>
    <w:p w:rsidR="004C7BC9" w:rsidRPr="00A64C6C" w:rsidRDefault="004C7BC9" w:rsidP="004C7BC9">
      <w:pPr>
        <w:pStyle w:val="Seznamobrzk"/>
        <w:tabs>
          <w:tab w:val="right" w:leader="dot" w:pos="9628"/>
        </w:tabs>
        <w:rPr>
          <w:lang w:val="en-GB"/>
        </w:rPr>
      </w:pPr>
      <w:r w:rsidRPr="00A64C6C">
        <w:rPr>
          <w:lang w:val="en-GB"/>
        </w:rPr>
        <w:t>Figure C3 Individuals in the Czech Republic aged 16+ using the internet – internet users</w:t>
      </w:r>
      <w:r w:rsidRPr="00A64C6C">
        <w:rPr>
          <w:lang w:val="en-GB"/>
        </w:rPr>
        <w:tab/>
        <w:t>3</w:t>
      </w:r>
      <w:r w:rsidR="00AF6468">
        <w:rPr>
          <w:lang w:val="en-GB"/>
        </w:rPr>
        <w:t>2</w:t>
      </w:r>
    </w:p>
    <w:p w:rsidR="004C7BC9" w:rsidRPr="00A64C6C" w:rsidRDefault="004C7BC9" w:rsidP="004C7BC9">
      <w:pPr>
        <w:pStyle w:val="Seznamobrzk"/>
        <w:tabs>
          <w:tab w:val="right" w:leader="dot" w:pos="9628"/>
        </w:tabs>
        <w:rPr>
          <w:lang w:val="en-GB"/>
        </w:rPr>
      </w:pPr>
      <w:r w:rsidRPr="00A64C6C">
        <w:rPr>
          <w:lang w:val="en-GB"/>
        </w:rPr>
        <w:t>Figure C4 Internet users in the Czech Republic</w:t>
      </w:r>
      <w:r w:rsidRPr="00A64C6C">
        <w:rPr>
          <w:lang w:val="en-GB"/>
        </w:rPr>
        <w:tab/>
        <w:t>3</w:t>
      </w:r>
      <w:r w:rsidR="00AF6468">
        <w:rPr>
          <w:lang w:val="en-GB"/>
        </w:rPr>
        <w:t>2</w:t>
      </w:r>
    </w:p>
    <w:p w:rsidR="004C7BC9" w:rsidRPr="00A64C6C" w:rsidRDefault="004C7BC9" w:rsidP="004C7BC9">
      <w:pPr>
        <w:pStyle w:val="Seznamobrzk"/>
        <w:tabs>
          <w:tab w:val="right" w:leader="dot" w:pos="9628"/>
        </w:tabs>
        <w:rPr>
          <w:lang w:val="en-GB"/>
        </w:rPr>
      </w:pPr>
      <w:r w:rsidRPr="00A64C6C">
        <w:rPr>
          <w:lang w:val="en-GB"/>
        </w:rPr>
        <w:t>Figure C5 Individuals in EU countries aged 16–74 using the internet – internet users</w:t>
      </w:r>
      <w:r w:rsidRPr="00A64C6C">
        <w:rPr>
          <w:lang w:val="en-GB"/>
        </w:rPr>
        <w:tab/>
        <w:t>3</w:t>
      </w:r>
      <w:r w:rsidR="00AF6468">
        <w:rPr>
          <w:lang w:val="en-GB"/>
        </w:rPr>
        <w:t>3</w:t>
      </w:r>
    </w:p>
    <w:p w:rsidR="004C7BC9" w:rsidRPr="00A64C6C" w:rsidRDefault="004C7BC9" w:rsidP="004C7BC9">
      <w:pPr>
        <w:pStyle w:val="Seznamobrzk"/>
        <w:tabs>
          <w:tab w:val="right" w:leader="dot" w:pos="9628"/>
        </w:tabs>
        <w:rPr>
          <w:lang w:val="en-GB"/>
        </w:rPr>
      </w:pPr>
      <w:r w:rsidRPr="00A64C6C">
        <w:rPr>
          <w:lang w:val="en-GB"/>
        </w:rPr>
        <w:t>Figure C6 Individuals in the Czech Republic aged 16+ who have never used the internet</w:t>
      </w:r>
      <w:r w:rsidRPr="00A64C6C">
        <w:rPr>
          <w:lang w:val="en-GB"/>
        </w:rPr>
        <w:tab/>
        <w:t>3</w:t>
      </w:r>
      <w:r w:rsidR="00AF6468">
        <w:rPr>
          <w:lang w:val="en-GB"/>
        </w:rPr>
        <w:t>4</w:t>
      </w:r>
    </w:p>
    <w:p w:rsidR="004C7BC9" w:rsidRPr="00A64C6C" w:rsidRDefault="004C7BC9" w:rsidP="004C7BC9">
      <w:pPr>
        <w:pStyle w:val="Seznamobrzk"/>
        <w:tabs>
          <w:tab w:val="right" w:leader="dot" w:pos="9628"/>
        </w:tabs>
        <w:rPr>
          <w:lang w:val="en-GB"/>
        </w:rPr>
      </w:pPr>
      <w:r w:rsidRPr="00A64C6C">
        <w:rPr>
          <w:lang w:val="en-GB"/>
        </w:rPr>
        <w:t>Figure C7 Individuals in the Czech Republic aged 55 to 74 by usage of the internet</w:t>
      </w:r>
      <w:r w:rsidRPr="00A64C6C">
        <w:rPr>
          <w:lang w:val="en-GB"/>
        </w:rPr>
        <w:tab/>
        <w:t>3</w:t>
      </w:r>
      <w:r w:rsidR="00AF6468">
        <w:rPr>
          <w:lang w:val="en-GB"/>
        </w:rPr>
        <w:t>4</w:t>
      </w:r>
    </w:p>
    <w:p w:rsidR="004C7BC9" w:rsidRPr="00A64C6C" w:rsidRDefault="004C7BC9" w:rsidP="004C7BC9">
      <w:pPr>
        <w:pStyle w:val="Seznamobrzk"/>
        <w:tabs>
          <w:tab w:val="right" w:leader="dot" w:pos="9628"/>
        </w:tabs>
        <w:rPr>
          <w:lang w:val="en-GB"/>
        </w:rPr>
      </w:pPr>
      <w:r w:rsidRPr="00A64C6C">
        <w:rPr>
          <w:lang w:val="en-GB"/>
        </w:rPr>
        <w:t>Figure C8 Individuals in EU countries aged 16–74 who have never used the internet</w:t>
      </w:r>
      <w:r w:rsidRPr="00A64C6C">
        <w:rPr>
          <w:lang w:val="en-GB"/>
        </w:rPr>
        <w:tab/>
        <w:t>3</w:t>
      </w:r>
      <w:r w:rsidR="00AF6468">
        <w:rPr>
          <w:lang w:val="en-GB"/>
        </w:rPr>
        <w:t>5</w:t>
      </w:r>
    </w:p>
    <w:p w:rsidR="004C7BC9" w:rsidRPr="00A64C6C" w:rsidRDefault="004C7BC9" w:rsidP="004C7BC9">
      <w:pPr>
        <w:pStyle w:val="Seznamobrzk"/>
        <w:tabs>
          <w:tab w:val="right" w:leader="dot" w:pos="9628"/>
        </w:tabs>
        <w:rPr>
          <w:lang w:val="en-GB"/>
        </w:rPr>
      </w:pPr>
      <w:r w:rsidRPr="00A64C6C">
        <w:rPr>
          <w:lang w:val="en-GB"/>
        </w:rPr>
        <w:t>Figure C9 Individuals in the Czech Republic aged 16+ using mobile phone to access the internet</w:t>
      </w:r>
      <w:r w:rsidRPr="00A64C6C">
        <w:rPr>
          <w:lang w:val="en-GB"/>
        </w:rPr>
        <w:tab/>
        <w:t>3</w:t>
      </w:r>
      <w:r w:rsidR="00AF6468">
        <w:rPr>
          <w:lang w:val="en-GB"/>
        </w:rPr>
        <w:t>6</w:t>
      </w:r>
    </w:p>
    <w:p w:rsidR="004C7BC9" w:rsidRPr="00A64C6C" w:rsidRDefault="004C7BC9" w:rsidP="004C7BC9">
      <w:pPr>
        <w:pStyle w:val="Seznamobrzk"/>
        <w:tabs>
          <w:tab w:val="right" w:leader="dot" w:pos="9628"/>
        </w:tabs>
        <w:rPr>
          <w:lang w:val="en-GB"/>
        </w:rPr>
      </w:pPr>
      <w:r w:rsidRPr="00A64C6C">
        <w:rPr>
          <w:lang w:val="en-GB"/>
        </w:rPr>
        <w:t>Figure C10 Individuals in the Czech Republic accessing the internet via a mobile phone</w:t>
      </w:r>
      <w:r w:rsidRPr="00A64C6C">
        <w:rPr>
          <w:lang w:val="en-GB"/>
        </w:rPr>
        <w:tab/>
        <w:t>3</w:t>
      </w:r>
      <w:r w:rsidR="00AF6468">
        <w:rPr>
          <w:lang w:val="en-GB"/>
        </w:rPr>
        <w:t>6</w:t>
      </w:r>
    </w:p>
    <w:p w:rsidR="004C7BC9" w:rsidRPr="00A64C6C" w:rsidRDefault="004C7BC9" w:rsidP="004C7BC9">
      <w:pPr>
        <w:pStyle w:val="Seznamobrzk"/>
        <w:tabs>
          <w:tab w:val="right" w:leader="dot" w:pos="9628"/>
        </w:tabs>
        <w:rPr>
          <w:lang w:val="en-GB"/>
        </w:rPr>
      </w:pPr>
      <w:r w:rsidRPr="00A64C6C">
        <w:rPr>
          <w:lang w:val="en-GB"/>
        </w:rPr>
        <w:t>Figure C11 Individuals in EU countries aged 16–74 using internet on a mobile phone</w:t>
      </w:r>
      <w:r w:rsidRPr="00A64C6C">
        <w:rPr>
          <w:lang w:val="en-GB"/>
        </w:rPr>
        <w:tab/>
        <w:t>3</w:t>
      </w:r>
      <w:r w:rsidR="00AF6468">
        <w:rPr>
          <w:lang w:val="en-GB"/>
        </w:rPr>
        <w:t>6</w:t>
      </w:r>
    </w:p>
    <w:p w:rsidR="004C7BC9" w:rsidRPr="00A64C6C" w:rsidRDefault="004C7BC9" w:rsidP="004C7BC9">
      <w:pPr>
        <w:pStyle w:val="Seznamobrzk"/>
        <w:tabs>
          <w:tab w:val="right" w:leader="dot" w:pos="9628"/>
        </w:tabs>
        <w:rPr>
          <w:lang w:val="en-GB"/>
        </w:rPr>
      </w:pPr>
      <w:r w:rsidRPr="00A64C6C">
        <w:rPr>
          <w:lang w:val="en-GB"/>
        </w:rPr>
        <w:t>Figure C12 Individuals in the Czech Republic aged 16+ using the internet via mobile phone network</w:t>
      </w:r>
      <w:r w:rsidRPr="00A64C6C">
        <w:rPr>
          <w:lang w:val="en-GB"/>
        </w:rPr>
        <w:tab/>
        <w:t>3</w:t>
      </w:r>
      <w:r w:rsidR="00AF6468">
        <w:rPr>
          <w:lang w:val="en-GB"/>
        </w:rPr>
        <w:t>7</w:t>
      </w:r>
    </w:p>
    <w:p w:rsidR="004C7BC9" w:rsidRPr="00A64C6C" w:rsidRDefault="004C7BC9" w:rsidP="004C7BC9">
      <w:pPr>
        <w:pStyle w:val="Seznamobrzk"/>
        <w:tabs>
          <w:tab w:val="right" w:leader="dot" w:pos="9628"/>
        </w:tabs>
        <w:rPr>
          <w:lang w:val="en-GB"/>
        </w:rPr>
      </w:pPr>
      <w:r w:rsidRPr="00A64C6C">
        <w:rPr>
          <w:lang w:val="en-GB"/>
        </w:rPr>
        <w:t>Figure C13 Individuals using the internet on a mobile phone only via wireless (Wi-Fi) network</w:t>
      </w:r>
      <w:r w:rsidRPr="00A64C6C">
        <w:rPr>
          <w:lang w:val="en-GB"/>
        </w:rPr>
        <w:tab/>
        <w:t>3</w:t>
      </w:r>
      <w:r w:rsidR="00AF6468">
        <w:rPr>
          <w:lang w:val="en-GB"/>
        </w:rPr>
        <w:t>7</w:t>
      </w:r>
    </w:p>
    <w:p w:rsidR="004C7BC9" w:rsidRPr="00A64C6C" w:rsidRDefault="004C7BC9" w:rsidP="004C7BC9">
      <w:pPr>
        <w:pStyle w:val="Seznamobrzk"/>
        <w:tabs>
          <w:tab w:val="right" w:leader="dot" w:pos="9628"/>
        </w:tabs>
        <w:rPr>
          <w:lang w:val="en-GB"/>
        </w:rPr>
      </w:pPr>
      <w:r w:rsidRPr="00A64C6C">
        <w:rPr>
          <w:lang w:val="en-GB"/>
        </w:rPr>
        <w:t>Figure C14 Individuals in the Czech Republic aged 16+ using the internet on a portable computer</w:t>
      </w:r>
      <w:r w:rsidRPr="00A64C6C">
        <w:rPr>
          <w:lang w:val="en-GB"/>
        </w:rPr>
        <w:tab/>
        <w:t>3</w:t>
      </w:r>
      <w:r w:rsidR="00AF6468">
        <w:rPr>
          <w:lang w:val="en-GB"/>
        </w:rPr>
        <w:t>8</w:t>
      </w:r>
    </w:p>
    <w:p w:rsidR="004C7BC9" w:rsidRPr="00A64C6C" w:rsidRDefault="004C7BC9" w:rsidP="004C7BC9">
      <w:pPr>
        <w:pStyle w:val="Seznamobrzk"/>
        <w:tabs>
          <w:tab w:val="right" w:leader="dot" w:pos="9628"/>
        </w:tabs>
        <w:rPr>
          <w:lang w:val="en-GB"/>
        </w:rPr>
      </w:pPr>
      <w:r w:rsidRPr="00A64C6C">
        <w:rPr>
          <w:lang w:val="en-GB"/>
        </w:rPr>
        <w:t>Figure C15 Individuals in the Czech Republic using the internet on tablet</w:t>
      </w:r>
      <w:r w:rsidRPr="00A64C6C">
        <w:rPr>
          <w:lang w:val="en-GB"/>
        </w:rPr>
        <w:tab/>
        <w:t>3</w:t>
      </w:r>
      <w:r w:rsidR="00AF6468">
        <w:rPr>
          <w:lang w:val="en-GB"/>
        </w:rPr>
        <w:t>8</w:t>
      </w:r>
    </w:p>
    <w:p w:rsidR="004C7BC9" w:rsidRPr="00A64C6C" w:rsidRDefault="004C7BC9" w:rsidP="004C7BC9">
      <w:pPr>
        <w:pStyle w:val="Seznamobrzk"/>
        <w:tabs>
          <w:tab w:val="right" w:leader="dot" w:pos="9628"/>
        </w:tabs>
        <w:rPr>
          <w:lang w:val="en-GB"/>
        </w:rPr>
      </w:pPr>
      <w:r w:rsidRPr="00A64C6C">
        <w:rPr>
          <w:lang w:val="en-GB"/>
        </w:rPr>
        <w:t>Figure C16 Internet users in the Czech Republic aged 55–74</w:t>
      </w:r>
      <w:r w:rsidRPr="00A64C6C">
        <w:rPr>
          <w:lang w:val="en-GB"/>
        </w:rPr>
        <w:tab/>
      </w:r>
      <w:r w:rsidR="00AF6468">
        <w:rPr>
          <w:lang w:val="en-GB"/>
        </w:rPr>
        <w:t>39</w:t>
      </w:r>
    </w:p>
    <w:p w:rsidR="004C7BC9" w:rsidRPr="00A64C6C" w:rsidRDefault="004C7BC9" w:rsidP="004C7BC9">
      <w:pPr>
        <w:pStyle w:val="Seznamobrzk"/>
        <w:tabs>
          <w:tab w:val="right" w:leader="dot" w:pos="9628"/>
        </w:tabs>
        <w:rPr>
          <w:lang w:val="en-GB"/>
        </w:rPr>
      </w:pPr>
      <w:r w:rsidRPr="00A64C6C">
        <w:rPr>
          <w:lang w:val="en-GB"/>
        </w:rPr>
        <w:t>Figure C17 Individuals in the Czech Republic aged 55–74 using the internet on a mobile phone</w:t>
      </w:r>
      <w:r w:rsidRPr="00A64C6C">
        <w:rPr>
          <w:lang w:val="en-GB"/>
        </w:rPr>
        <w:tab/>
      </w:r>
      <w:r w:rsidR="00AF6468">
        <w:rPr>
          <w:lang w:val="en-GB"/>
        </w:rPr>
        <w:t>39</w:t>
      </w:r>
    </w:p>
    <w:p w:rsidR="004C7BC9" w:rsidRPr="00A64C6C" w:rsidRDefault="004C7BC9" w:rsidP="004C7BC9">
      <w:pPr>
        <w:pStyle w:val="Seznamobrzk"/>
        <w:tabs>
          <w:tab w:val="right" w:leader="dot" w:pos="9628"/>
        </w:tabs>
        <w:rPr>
          <w:lang w:val="en-GB"/>
        </w:rPr>
      </w:pPr>
      <w:r w:rsidRPr="00A64C6C">
        <w:rPr>
          <w:lang w:val="en-GB"/>
        </w:rPr>
        <w:t>Figure C18 Individuals in EU countries aged 55–74 years using the internet on mobile phone</w:t>
      </w:r>
      <w:r w:rsidRPr="00A64C6C">
        <w:rPr>
          <w:lang w:val="en-GB"/>
        </w:rPr>
        <w:tab/>
      </w:r>
      <w:r w:rsidR="00AF6468">
        <w:rPr>
          <w:lang w:val="en-GB"/>
        </w:rPr>
        <w:t>40</w:t>
      </w:r>
    </w:p>
    <w:p w:rsidR="004C7BC9" w:rsidRPr="00A64C6C" w:rsidRDefault="004C7BC9" w:rsidP="004C7BC9">
      <w:pPr>
        <w:pStyle w:val="Seznamobrzk"/>
        <w:tabs>
          <w:tab w:val="right" w:leader="dot" w:pos="9628"/>
        </w:tabs>
        <w:rPr>
          <w:lang w:val="en-GB"/>
        </w:rPr>
      </w:pPr>
      <w:r w:rsidRPr="00A64C6C">
        <w:rPr>
          <w:lang w:val="en-GB"/>
        </w:rPr>
        <w:t>Figure C19 Individuals in the Czech Republic aged 16+ using social networks</w:t>
      </w:r>
      <w:r w:rsidRPr="00A64C6C">
        <w:rPr>
          <w:lang w:val="en-GB"/>
        </w:rPr>
        <w:tab/>
        <w:t>4</w:t>
      </w:r>
      <w:r w:rsidR="00AF6468">
        <w:rPr>
          <w:lang w:val="en-GB"/>
        </w:rPr>
        <w:t>2</w:t>
      </w:r>
    </w:p>
    <w:p w:rsidR="004C7BC9" w:rsidRPr="00A64C6C" w:rsidRDefault="004C7BC9" w:rsidP="004C7BC9">
      <w:pPr>
        <w:pStyle w:val="Seznamobrzk"/>
        <w:tabs>
          <w:tab w:val="right" w:leader="dot" w:pos="9628"/>
        </w:tabs>
        <w:rPr>
          <w:lang w:val="en-GB"/>
        </w:rPr>
      </w:pPr>
      <w:r w:rsidRPr="00A64C6C">
        <w:rPr>
          <w:lang w:val="en-GB"/>
        </w:rPr>
        <w:t>Figure C20 Individuals in the Czech Republic using social networks</w:t>
      </w:r>
      <w:r w:rsidRPr="00A64C6C">
        <w:rPr>
          <w:lang w:val="en-GB"/>
        </w:rPr>
        <w:tab/>
        <w:t>4</w:t>
      </w:r>
      <w:r w:rsidR="00AF6468">
        <w:rPr>
          <w:lang w:val="en-GB"/>
        </w:rPr>
        <w:t>2</w:t>
      </w:r>
    </w:p>
    <w:p w:rsidR="004C7BC9" w:rsidRPr="00A64C6C" w:rsidRDefault="004C7BC9" w:rsidP="004C7BC9">
      <w:pPr>
        <w:pStyle w:val="Seznamobrzk"/>
        <w:tabs>
          <w:tab w:val="right" w:leader="dot" w:pos="9628"/>
        </w:tabs>
        <w:rPr>
          <w:lang w:val="en-GB"/>
        </w:rPr>
      </w:pPr>
      <w:r w:rsidRPr="00A64C6C">
        <w:rPr>
          <w:lang w:val="en-GB"/>
        </w:rPr>
        <w:t>Figure C21 Individuals in EU countries using social networks by age</w:t>
      </w:r>
      <w:r w:rsidRPr="00A64C6C">
        <w:rPr>
          <w:lang w:val="en-GB"/>
        </w:rPr>
        <w:tab/>
        <w:t>4</w:t>
      </w:r>
      <w:r w:rsidR="00AF6468">
        <w:rPr>
          <w:lang w:val="en-GB"/>
        </w:rPr>
        <w:t>2</w:t>
      </w:r>
    </w:p>
    <w:p w:rsidR="004C7BC9" w:rsidRPr="00A64C6C" w:rsidRDefault="004C7BC9" w:rsidP="004C7BC9">
      <w:pPr>
        <w:pStyle w:val="Seznamobrzk"/>
        <w:tabs>
          <w:tab w:val="right" w:leader="dot" w:pos="9628"/>
        </w:tabs>
        <w:rPr>
          <w:lang w:val="en-GB"/>
        </w:rPr>
      </w:pPr>
      <w:r w:rsidRPr="00A64C6C">
        <w:rPr>
          <w:lang w:val="en-GB"/>
        </w:rPr>
        <w:t>Figure C22 Individuals in the Czech Republic reading on-line news</w:t>
      </w:r>
      <w:r w:rsidRPr="00A64C6C">
        <w:rPr>
          <w:lang w:val="en-GB"/>
        </w:rPr>
        <w:tab/>
        <w:t>4</w:t>
      </w:r>
      <w:r w:rsidR="00AF6468">
        <w:rPr>
          <w:lang w:val="en-GB"/>
        </w:rPr>
        <w:t>3</w:t>
      </w:r>
    </w:p>
    <w:p w:rsidR="004C7BC9" w:rsidRPr="00A64C6C" w:rsidRDefault="004C7BC9" w:rsidP="004C7BC9">
      <w:pPr>
        <w:pStyle w:val="Seznamobrzk"/>
        <w:tabs>
          <w:tab w:val="right" w:leader="dot" w:pos="9628"/>
        </w:tabs>
        <w:rPr>
          <w:lang w:val="en-GB"/>
        </w:rPr>
      </w:pPr>
      <w:r w:rsidRPr="00A64C6C">
        <w:rPr>
          <w:lang w:val="en-GB"/>
        </w:rPr>
        <w:t>Figure C23 Individuals in the Czech Republic playing on-line</w:t>
      </w:r>
      <w:r w:rsidR="00AF6468" w:rsidRPr="00AF6468">
        <w:rPr>
          <w:lang w:val="en-GB"/>
        </w:rPr>
        <w:t xml:space="preserve"> </w:t>
      </w:r>
      <w:r w:rsidR="00AF6468" w:rsidRPr="00A64C6C">
        <w:rPr>
          <w:lang w:val="en-GB"/>
        </w:rPr>
        <w:t>games</w:t>
      </w:r>
      <w:r w:rsidRPr="00A64C6C">
        <w:rPr>
          <w:lang w:val="en-GB"/>
        </w:rPr>
        <w:tab/>
        <w:t>4</w:t>
      </w:r>
      <w:r w:rsidR="00AF6468">
        <w:rPr>
          <w:lang w:val="en-GB"/>
        </w:rPr>
        <w:t>3</w:t>
      </w:r>
    </w:p>
    <w:p w:rsidR="004C7BC9" w:rsidRPr="00A64C6C" w:rsidRDefault="004C7BC9" w:rsidP="004C7BC9">
      <w:pPr>
        <w:pStyle w:val="Seznamobrzk"/>
        <w:tabs>
          <w:tab w:val="right" w:leader="dot" w:pos="9628"/>
        </w:tabs>
        <w:rPr>
          <w:lang w:val="en-GB"/>
        </w:rPr>
      </w:pPr>
      <w:r w:rsidRPr="00A64C6C">
        <w:rPr>
          <w:lang w:val="en-GB"/>
        </w:rPr>
        <w:t>Figure C24 Individuals in EU countries watching video on demand from commercial services by age</w:t>
      </w:r>
      <w:r w:rsidRPr="00A64C6C">
        <w:rPr>
          <w:lang w:val="en-GB"/>
        </w:rPr>
        <w:tab/>
        <w:t>4</w:t>
      </w:r>
      <w:r w:rsidR="00AF6468">
        <w:rPr>
          <w:lang w:val="en-GB"/>
        </w:rPr>
        <w:t>4</w:t>
      </w:r>
    </w:p>
    <w:p w:rsidR="004C7BC9" w:rsidRPr="00A64C6C" w:rsidRDefault="004C7BC9" w:rsidP="004C7BC9">
      <w:pPr>
        <w:pStyle w:val="Seznamobrzk"/>
        <w:tabs>
          <w:tab w:val="right" w:leader="dot" w:pos="9628"/>
        </w:tabs>
        <w:rPr>
          <w:lang w:val="en-GB"/>
        </w:rPr>
      </w:pPr>
      <w:r w:rsidRPr="00A64C6C">
        <w:rPr>
          <w:lang w:val="en-GB"/>
        </w:rPr>
        <w:t>Figure C25 Individuals in the Czech Rep. aged 16+ looking for info about travelling or accommodation</w:t>
      </w:r>
      <w:r w:rsidRPr="00A64C6C">
        <w:rPr>
          <w:lang w:val="en-GB"/>
        </w:rPr>
        <w:tab/>
        <w:t>4</w:t>
      </w:r>
      <w:r w:rsidR="00AF6468">
        <w:rPr>
          <w:lang w:val="en-GB"/>
        </w:rPr>
        <w:t>5</w:t>
      </w:r>
    </w:p>
    <w:p w:rsidR="004C7BC9" w:rsidRPr="00A64C6C" w:rsidRDefault="004C7BC9" w:rsidP="004C7BC9">
      <w:pPr>
        <w:pStyle w:val="Seznamobrzk"/>
        <w:tabs>
          <w:tab w:val="right" w:leader="dot" w:pos="9628"/>
        </w:tabs>
        <w:rPr>
          <w:lang w:val="en-GB"/>
        </w:rPr>
      </w:pPr>
      <w:r w:rsidRPr="00A64C6C">
        <w:rPr>
          <w:lang w:val="en-GB"/>
        </w:rPr>
        <w:t>Figure C26 Individuals in the Czech Republic purchasing accommodation or travel/flight tickets</w:t>
      </w:r>
      <w:r w:rsidRPr="00A64C6C">
        <w:rPr>
          <w:lang w:val="en-GB"/>
        </w:rPr>
        <w:tab/>
        <w:t>4</w:t>
      </w:r>
      <w:r w:rsidR="00AF6468">
        <w:rPr>
          <w:lang w:val="en-GB"/>
        </w:rPr>
        <w:t>5</w:t>
      </w:r>
    </w:p>
    <w:p w:rsidR="004C7BC9" w:rsidRPr="00A64C6C" w:rsidRDefault="004C7BC9" w:rsidP="004C7BC9">
      <w:pPr>
        <w:pStyle w:val="Seznamobrzk"/>
        <w:tabs>
          <w:tab w:val="right" w:leader="dot" w:pos="9628"/>
        </w:tabs>
        <w:rPr>
          <w:lang w:val="en-GB"/>
        </w:rPr>
      </w:pPr>
      <w:r w:rsidRPr="00A64C6C">
        <w:rPr>
          <w:lang w:val="en-GB"/>
        </w:rPr>
        <w:t>Figure C27 Individuals in EU countries aged 16–74 purchasing accommodation over the internet</w:t>
      </w:r>
      <w:r w:rsidRPr="00A64C6C">
        <w:rPr>
          <w:lang w:val="en-GB"/>
        </w:rPr>
        <w:tab/>
        <w:t>4</w:t>
      </w:r>
      <w:r w:rsidR="00AF6468">
        <w:rPr>
          <w:lang w:val="en-GB"/>
        </w:rPr>
        <w:t>6</w:t>
      </w:r>
    </w:p>
    <w:p w:rsidR="004C7BC9" w:rsidRPr="00A64C6C" w:rsidRDefault="004C7BC9" w:rsidP="004C7BC9">
      <w:pPr>
        <w:pStyle w:val="Seznamobrzk"/>
        <w:tabs>
          <w:tab w:val="right" w:leader="dot" w:pos="9628"/>
        </w:tabs>
        <w:rPr>
          <w:lang w:val="en-GB"/>
        </w:rPr>
      </w:pPr>
      <w:r w:rsidRPr="00A64C6C">
        <w:rPr>
          <w:lang w:val="en-GB"/>
        </w:rPr>
        <w:t>Figure C28 Individuals in EU countries aged 16–74 using internet banking</w:t>
      </w:r>
      <w:r w:rsidRPr="00A64C6C">
        <w:rPr>
          <w:lang w:val="en-GB"/>
        </w:rPr>
        <w:tab/>
        <w:t>4</w:t>
      </w:r>
      <w:r w:rsidR="00AF6468">
        <w:rPr>
          <w:lang w:val="en-GB"/>
        </w:rPr>
        <w:t>7</w:t>
      </w:r>
    </w:p>
    <w:p w:rsidR="004C7BC9" w:rsidRPr="00A64C6C" w:rsidRDefault="004C7BC9" w:rsidP="004C7BC9">
      <w:pPr>
        <w:pStyle w:val="Seznamobrzk"/>
        <w:tabs>
          <w:tab w:val="right" w:leader="dot" w:pos="9628"/>
        </w:tabs>
        <w:rPr>
          <w:lang w:val="en-GB"/>
        </w:rPr>
      </w:pPr>
      <w:r w:rsidRPr="00A64C6C">
        <w:rPr>
          <w:lang w:val="en-GB"/>
        </w:rPr>
        <w:t>Figure C29 Individuals in the Czech Republic using storage space on the internet</w:t>
      </w:r>
      <w:r w:rsidRPr="00A64C6C">
        <w:rPr>
          <w:lang w:val="en-GB"/>
        </w:rPr>
        <w:tab/>
        <w:t>4</w:t>
      </w:r>
      <w:r w:rsidR="00AF6468">
        <w:rPr>
          <w:lang w:val="en-GB"/>
        </w:rPr>
        <w:t>7</w:t>
      </w:r>
    </w:p>
    <w:p w:rsidR="004C7BC9" w:rsidRPr="00A64C6C" w:rsidRDefault="004C7BC9" w:rsidP="004C7BC9">
      <w:pPr>
        <w:pStyle w:val="Seznamobrzk"/>
        <w:tabs>
          <w:tab w:val="right" w:leader="dot" w:pos="9628"/>
        </w:tabs>
        <w:rPr>
          <w:lang w:val="en-GB"/>
        </w:rPr>
      </w:pPr>
      <w:r w:rsidRPr="00A64C6C">
        <w:rPr>
          <w:lang w:val="en-GB"/>
        </w:rPr>
        <w:t>Figure C30 Individuals in EU countries aged 16–74 using internet banking</w:t>
      </w:r>
      <w:r w:rsidRPr="00A64C6C">
        <w:rPr>
          <w:lang w:val="en-GB"/>
        </w:rPr>
        <w:tab/>
        <w:t>4</w:t>
      </w:r>
      <w:r w:rsidR="00AF6468">
        <w:rPr>
          <w:lang w:val="en-GB"/>
        </w:rPr>
        <w:t>7</w:t>
      </w:r>
    </w:p>
    <w:p w:rsidR="004C7BC9" w:rsidRPr="00A64C6C" w:rsidRDefault="004C7BC9" w:rsidP="004C7BC9">
      <w:pPr>
        <w:pStyle w:val="Seznamobrzk"/>
        <w:tabs>
          <w:tab w:val="right" w:leader="dot" w:pos="9628"/>
        </w:tabs>
        <w:rPr>
          <w:lang w:val="en-GB"/>
        </w:rPr>
      </w:pPr>
      <w:r w:rsidRPr="00A64C6C">
        <w:rPr>
          <w:lang w:val="en-GB"/>
        </w:rPr>
        <w:t>Figure C31 Individuals in the Czech Republic aged 16+ purchasing over the internet</w:t>
      </w:r>
      <w:r w:rsidRPr="00A64C6C">
        <w:rPr>
          <w:lang w:val="en-GB"/>
        </w:rPr>
        <w:tab/>
        <w:t>4</w:t>
      </w:r>
      <w:r w:rsidR="00AF6468">
        <w:rPr>
          <w:lang w:val="en-GB"/>
        </w:rPr>
        <w:t>8</w:t>
      </w:r>
    </w:p>
    <w:p w:rsidR="004C7BC9" w:rsidRPr="00A64C6C" w:rsidRDefault="004C7BC9" w:rsidP="004C7BC9">
      <w:pPr>
        <w:pStyle w:val="Seznamobrzk"/>
        <w:tabs>
          <w:tab w:val="right" w:leader="dot" w:pos="9628"/>
        </w:tabs>
        <w:rPr>
          <w:lang w:val="en-GB"/>
        </w:rPr>
      </w:pPr>
      <w:r w:rsidRPr="00A64C6C">
        <w:rPr>
          <w:lang w:val="en-GB"/>
        </w:rPr>
        <w:t>Figure C32 Individuals in the Czech Republic purchasing over the internet</w:t>
      </w:r>
      <w:r w:rsidRPr="00A64C6C">
        <w:rPr>
          <w:lang w:val="en-GB"/>
        </w:rPr>
        <w:tab/>
        <w:t>4</w:t>
      </w:r>
      <w:r w:rsidR="00AF6468">
        <w:rPr>
          <w:lang w:val="en-GB"/>
        </w:rPr>
        <w:t>8</w:t>
      </w:r>
    </w:p>
    <w:p w:rsidR="004C7BC9" w:rsidRPr="00A64C6C" w:rsidRDefault="004C7BC9" w:rsidP="004C7BC9">
      <w:pPr>
        <w:pStyle w:val="Seznamobrzk"/>
        <w:tabs>
          <w:tab w:val="right" w:leader="dot" w:pos="9628"/>
        </w:tabs>
        <w:rPr>
          <w:lang w:val="en-GB"/>
        </w:rPr>
      </w:pPr>
      <w:r w:rsidRPr="00A64C6C">
        <w:rPr>
          <w:lang w:val="en-GB"/>
        </w:rPr>
        <w:t>Figure C33 Individuals in EU countries aged 16–74 purchasing over the internet</w:t>
      </w:r>
      <w:r w:rsidRPr="00A64C6C">
        <w:rPr>
          <w:lang w:val="en-GB"/>
        </w:rPr>
        <w:tab/>
        <w:t>4</w:t>
      </w:r>
      <w:r w:rsidR="00AF6468">
        <w:rPr>
          <w:lang w:val="en-GB"/>
        </w:rPr>
        <w:t>8</w:t>
      </w:r>
    </w:p>
    <w:p w:rsidR="004C7BC9" w:rsidRPr="00A64C6C" w:rsidRDefault="004C7BC9" w:rsidP="004C7BC9">
      <w:pPr>
        <w:pStyle w:val="Seznamobrzk"/>
        <w:tabs>
          <w:tab w:val="right" w:leader="dot" w:pos="9628"/>
        </w:tabs>
        <w:rPr>
          <w:lang w:val="en-GB"/>
        </w:rPr>
      </w:pPr>
      <w:r w:rsidRPr="00A64C6C">
        <w:rPr>
          <w:lang w:val="en-GB"/>
        </w:rPr>
        <w:t>Figure C34 Individuals in the Czech Republic who purchased clothes or shoes over the internet</w:t>
      </w:r>
      <w:r w:rsidRPr="00A64C6C">
        <w:rPr>
          <w:lang w:val="en-GB"/>
        </w:rPr>
        <w:tab/>
      </w:r>
      <w:r w:rsidR="00AF6468">
        <w:rPr>
          <w:lang w:val="en-GB"/>
        </w:rPr>
        <w:t>49</w:t>
      </w:r>
    </w:p>
    <w:p w:rsidR="004C7BC9" w:rsidRPr="00A64C6C" w:rsidRDefault="004C7BC9" w:rsidP="004C7BC9">
      <w:pPr>
        <w:pStyle w:val="Seznamobrzk"/>
        <w:tabs>
          <w:tab w:val="right" w:leader="dot" w:pos="9628"/>
        </w:tabs>
        <w:rPr>
          <w:lang w:val="en-GB"/>
        </w:rPr>
      </w:pPr>
      <w:r w:rsidRPr="00A64C6C">
        <w:rPr>
          <w:lang w:val="en-GB"/>
        </w:rPr>
        <w:t>Figure C35 Individuals in the Czech Republic who purchased tickets over the internet</w:t>
      </w:r>
      <w:r w:rsidRPr="00A64C6C">
        <w:rPr>
          <w:lang w:val="en-GB"/>
        </w:rPr>
        <w:tab/>
      </w:r>
      <w:r w:rsidR="00AF6468">
        <w:rPr>
          <w:lang w:val="en-GB"/>
        </w:rPr>
        <w:t>49</w:t>
      </w:r>
    </w:p>
    <w:p w:rsidR="004C7BC9" w:rsidRPr="00A64C6C" w:rsidRDefault="004C7BC9" w:rsidP="004C7BC9">
      <w:pPr>
        <w:pStyle w:val="Seznamobrzk"/>
        <w:tabs>
          <w:tab w:val="right" w:leader="dot" w:pos="9628"/>
        </w:tabs>
        <w:rPr>
          <w:lang w:val="en-GB"/>
        </w:rPr>
      </w:pPr>
    </w:p>
    <w:p w:rsidR="004C7BC9" w:rsidRPr="002C567D" w:rsidRDefault="004C7BC9" w:rsidP="004C7BC9">
      <w:pPr>
        <w:pStyle w:val="Seznamobrzk"/>
        <w:tabs>
          <w:tab w:val="right" w:leader="dot" w:pos="9628"/>
        </w:tabs>
        <w:rPr>
          <w:b/>
          <w:color w:val="009BB4"/>
          <w:sz w:val="32"/>
          <w:szCs w:val="32"/>
          <w:lang w:val="en-GB"/>
        </w:rPr>
      </w:pPr>
      <w:r w:rsidRPr="00A64C6C">
        <w:rPr>
          <w:lang w:val="en-GB"/>
        </w:rPr>
        <w:fldChar w:fldCharType="end"/>
      </w:r>
      <w:r w:rsidRPr="002C567D">
        <w:rPr>
          <w:b/>
          <w:color w:val="009BB4"/>
          <w:sz w:val="32"/>
          <w:szCs w:val="32"/>
          <w:lang w:val="en-GB"/>
        </w:rPr>
        <w:t>D Enterprises and ICT</w:t>
      </w:r>
    </w:p>
    <w:p w:rsidR="004C7BC9" w:rsidRPr="00A64C6C" w:rsidRDefault="004C7BC9" w:rsidP="004C7BC9">
      <w:pPr>
        <w:pStyle w:val="Seznamobrzk"/>
        <w:tabs>
          <w:tab w:val="right" w:leader="dot" w:pos="9628"/>
        </w:tabs>
        <w:rPr>
          <w:lang w:val="en-GB"/>
        </w:rPr>
      </w:pPr>
      <w:r w:rsidRPr="00A64C6C">
        <w:rPr>
          <w:lang w:val="en-GB"/>
        </w:rPr>
        <w:fldChar w:fldCharType="begin"/>
      </w:r>
      <w:r w:rsidRPr="00A64C6C">
        <w:rPr>
          <w:lang w:val="en-GB"/>
        </w:rPr>
        <w:instrText xml:space="preserve"> TOC \h \z \c "Figure D" </w:instrText>
      </w:r>
      <w:r w:rsidRPr="00A64C6C">
        <w:rPr>
          <w:lang w:val="en-GB"/>
        </w:rPr>
        <w:fldChar w:fldCharType="separate"/>
      </w:r>
    </w:p>
    <w:p w:rsidR="004C7BC9" w:rsidRPr="00A64C6C" w:rsidRDefault="004C7BC9" w:rsidP="004C7BC9">
      <w:pPr>
        <w:pStyle w:val="Seznamobrzk"/>
        <w:tabs>
          <w:tab w:val="right" w:leader="dot" w:pos="9628"/>
        </w:tabs>
        <w:rPr>
          <w:lang w:val="en-GB"/>
        </w:rPr>
      </w:pPr>
      <w:r w:rsidRPr="00A64C6C">
        <w:rPr>
          <w:lang w:val="en-GB"/>
        </w:rPr>
        <w:t>Figure D1 Enterprises in the Czech Republic using computer networks</w:t>
      </w:r>
      <w:r w:rsidRPr="00A64C6C">
        <w:rPr>
          <w:lang w:val="en-GB"/>
        </w:rPr>
        <w:tab/>
      </w:r>
      <w:r w:rsidR="00AF6468">
        <w:rPr>
          <w:lang w:val="en-GB"/>
        </w:rPr>
        <w:t>51</w:t>
      </w:r>
    </w:p>
    <w:p w:rsidR="004C7BC9" w:rsidRPr="00A64C6C" w:rsidRDefault="004C7BC9" w:rsidP="004C7BC9">
      <w:pPr>
        <w:pStyle w:val="Seznamobrzk"/>
        <w:tabs>
          <w:tab w:val="right" w:leader="dot" w:pos="9628"/>
        </w:tabs>
        <w:rPr>
          <w:lang w:val="en-GB"/>
        </w:rPr>
      </w:pPr>
      <w:r w:rsidRPr="00A64C6C">
        <w:rPr>
          <w:lang w:val="en-GB"/>
        </w:rPr>
        <w:t>Figure D2 Enterprises in the Czech Republic with wireless Local Area Network</w:t>
      </w:r>
      <w:r w:rsidRPr="00A64C6C">
        <w:rPr>
          <w:lang w:val="en-GB"/>
        </w:rPr>
        <w:tab/>
      </w:r>
      <w:r w:rsidR="00885CD7">
        <w:rPr>
          <w:lang w:val="en-GB"/>
        </w:rPr>
        <w:t>51</w:t>
      </w:r>
    </w:p>
    <w:p w:rsidR="004C7BC9" w:rsidRPr="00A64C6C" w:rsidRDefault="004C7BC9" w:rsidP="004C7BC9">
      <w:pPr>
        <w:pStyle w:val="Seznamobrzk"/>
        <w:tabs>
          <w:tab w:val="right" w:leader="dot" w:pos="9628"/>
        </w:tabs>
        <w:rPr>
          <w:lang w:val="en-GB"/>
        </w:rPr>
      </w:pPr>
      <w:r w:rsidRPr="00A64C6C">
        <w:rPr>
          <w:lang w:val="en-GB"/>
        </w:rPr>
        <w:t>Figure D3 Enterprises in the Czech Republic using xDSL internet connection</w:t>
      </w:r>
      <w:r w:rsidRPr="00A64C6C">
        <w:rPr>
          <w:lang w:val="en-GB"/>
        </w:rPr>
        <w:tab/>
        <w:t>5</w:t>
      </w:r>
      <w:r w:rsidR="00885CD7">
        <w:rPr>
          <w:lang w:val="en-GB"/>
        </w:rPr>
        <w:t>2</w:t>
      </w:r>
    </w:p>
    <w:p w:rsidR="004C7BC9" w:rsidRPr="00A64C6C" w:rsidRDefault="004C7BC9" w:rsidP="004C7BC9">
      <w:pPr>
        <w:pStyle w:val="Seznamobrzk"/>
        <w:tabs>
          <w:tab w:val="right" w:leader="dot" w:pos="9628"/>
        </w:tabs>
        <w:rPr>
          <w:lang w:val="en-GB"/>
        </w:rPr>
      </w:pPr>
      <w:r w:rsidRPr="00A64C6C">
        <w:rPr>
          <w:lang w:val="en-GB"/>
        </w:rPr>
        <w:t>Figure D4 Enterprises in the Czech Republic using fibre (FTTx) internet connection</w:t>
      </w:r>
      <w:r w:rsidRPr="00A64C6C">
        <w:rPr>
          <w:lang w:val="en-GB"/>
        </w:rPr>
        <w:tab/>
        <w:t>5</w:t>
      </w:r>
      <w:r w:rsidR="00885CD7">
        <w:rPr>
          <w:lang w:val="en-GB"/>
        </w:rPr>
        <w:t>2</w:t>
      </w:r>
    </w:p>
    <w:p w:rsidR="004C7BC9" w:rsidRPr="00A64C6C" w:rsidRDefault="004C7BC9" w:rsidP="004C7BC9">
      <w:pPr>
        <w:pStyle w:val="Seznamobrzk"/>
        <w:tabs>
          <w:tab w:val="right" w:leader="dot" w:pos="9628"/>
        </w:tabs>
        <w:rPr>
          <w:lang w:val="en-GB"/>
        </w:rPr>
      </w:pPr>
      <w:r w:rsidRPr="00A64C6C">
        <w:rPr>
          <w:lang w:val="en-GB"/>
        </w:rPr>
        <w:t>Figure D5 Internet connection speed used by enterprises in the Czech Republic</w:t>
      </w:r>
      <w:r w:rsidRPr="00A64C6C">
        <w:rPr>
          <w:lang w:val="en-GB"/>
        </w:rPr>
        <w:tab/>
        <w:t>5</w:t>
      </w:r>
      <w:r w:rsidR="00885CD7">
        <w:rPr>
          <w:lang w:val="en-GB"/>
        </w:rPr>
        <w:t>3</w:t>
      </w:r>
    </w:p>
    <w:p w:rsidR="004C7BC9" w:rsidRPr="00A64C6C" w:rsidRDefault="004C7BC9" w:rsidP="004C7BC9">
      <w:pPr>
        <w:pStyle w:val="Seznamobrzk"/>
        <w:tabs>
          <w:tab w:val="right" w:leader="dot" w:pos="9628"/>
        </w:tabs>
        <w:rPr>
          <w:lang w:val="en-GB"/>
        </w:rPr>
      </w:pPr>
      <w:r w:rsidRPr="00A64C6C">
        <w:rPr>
          <w:lang w:val="en-GB"/>
        </w:rPr>
        <w:t>Figure D6 Enterprises in the Czech Republic with at least 30 Mb/s connection speed</w:t>
      </w:r>
      <w:r w:rsidRPr="00A64C6C">
        <w:rPr>
          <w:lang w:val="en-GB"/>
        </w:rPr>
        <w:tab/>
        <w:t>5</w:t>
      </w:r>
      <w:r w:rsidR="00885CD7">
        <w:rPr>
          <w:lang w:val="en-GB"/>
        </w:rPr>
        <w:t>3</w:t>
      </w:r>
    </w:p>
    <w:p w:rsidR="004C7BC9" w:rsidRPr="00A64C6C" w:rsidRDefault="004C7BC9" w:rsidP="004C7BC9">
      <w:pPr>
        <w:pStyle w:val="Seznamobrzk"/>
        <w:tabs>
          <w:tab w:val="right" w:leader="dot" w:pos="9628"/>
        </w:tabs>
        <w:rPr>
          <w:lang w:val="en-GB"/>
        </w:rPr>
      </w:pPr>
      <w:r w:rsidRPr="00A64C6C">
        <w:rPr>
          <w:lang w:val="en-GB"/>
        </w:rPr>
        <w:t>Figure D7 Enterprises in EU countries with internet connection speed at least 30 Mb/s</w:t>
      </w:r>
      <w:r w:rsidRPr="00A64C6C">
        <w:rPr>
          <w:lang w:val="en-GB"/>
        </w:rPr>
        <w:tab/>
        <w:t>5</w:t>
      </w:r>
      <w:r w:rsidR="00885CD7">
        <w:rPr>
          <w:lang w:val="en-GB"/>
        </w:rPr>
        <w:t>4</w:t>
      </w:r>
    </w:p>
    <w:p w:rsidR="004C7BC9" w:rsidRPr="00A64C6C" w:rsidRDefault="004C7BC9" w:rsidP="004C7BC9">
      <w:pPr>
        <w:pStyle w:val="Seznamobrzk"/>
        <w:tabs>
          <w:tab w:val="right" w:leader="dot" w:pos="9628"/>
        </w:tabs>
        <w:rPr>
          <w:lang w:val="en-GB"/>
        </w:rPr>
      </w:pPr>
      <w:r w:rsidRPr="00A64C6C">
        <w:rPr>
          <w:lang w:val="en-GB"/>
        </w:rPr>
        <w:t>Figure D8 Enterprises in the Czech Republic with a website</w:t>
      </w:r>
      <w:r w:rsidRPr="00A64C6C">
        <w:rPr>
          <w:lang w:val="en-GB"/>
        </w:rPr>
        <w:tab/>
        <w:t>5</w:t>
      </w:r>
      <w:r w:rsidR="00885CD7">
        <w:rPr>
          <w:lang w:val="en-GB"/>
        </w:rPr>
        <w:t>5</w:t>
      </w:r>
    </w:p>
    <w:p w:rsidR="004C7BC9" w:rsidRPr="00A64C6C" w:rsidRDefault="004C7BC9" w:rsidP="004C7BC9">
      <w:pPr>
        <w:pStyle w:val="Seznamobrzk"/>
        <w:tabs>
          <w:tab w:val="right" w:leader="dot" w:pos="9628"/>
        </w:tabs>
        <w:rPr>
          <w:lang w:val="en-GB"/>
        </w:rPr>
      </w:pPr>
      <w:r w:rsidRPr="00A64C6C">
        <w:rPr>
          <w:lang w:val="en-GB"/>
        </w:rPr>
        <w:t>Figure D9 Enterprises in the Czech Republic with a website customized for mobiles</w:t>
      </w:r>
      <w:r w:rsidRPr="00A64C6C">
        <w:rPr>
          <w:lang w:val="en-GB"/>
        </w:rPr>
        <w:tab/>
        <w:t>5</w:t>
      </w:r>
      <w:r w:rsidR="00885CD7">
        <w:rPr>
          <w:lang w:val="en-GB"/>
        </w:rPr>
        <w:t>5</w:t>
      </w:r>
    </w:p>
    <w:p w:rsidR="004C7BC9" w:rsidRPr="00A64C6C" w:rsidRDefault="004C7BC9" w:rsidP="004C7BC9">
      <w:pPr>
        <w:pStyle w:val="Seznamobrzk"/>
        <w:tabs>
          <w:tab w:val="right" w:leader="dot" w:pos="9628"/>
        </w:tabs>
        <w:rPr>
          <w:lang w:val="en-GB"/>
        </w:rPr>
      </w:pPr>
      <w:r w:rsidRPr="00A64C6C">
        <w:rPr>
          <w:lang w:val="en-GB"/>
        </w:rPr>
        <w:t>Figure D10 Enterprises in EU countries with a website</w:t>
      </w:r>
      <w:r w:rsidRPr="00A64C6C">
        <w:rPr>
          <w:lang w:val="en-GB"/>
        </w:rPr>
        <w:tab/>
        <w:t>5</w:t>
      </w:r>
      <w:r w:rsidR="00885CD7">
        <w:rPr>
          <w:lang w:val="en-GB"/>
        </w:rPr>
        <w:t>5</w:t>
      </w:r>
    </w:p>
    <w:p w:rsidR="004C7BC9" w:rsidRPr="00A64C6C" w:rsidRDefault="004C7BC9" w:rsidP="004C7BC9">
      <w:pPr>
        <w:pStyle w:val="Seznamobrzk"/>
        <w:tabs>
          <w:tab w:val="right" w:leader="dot" w:pos="9628"/>
        </w:tabs>
        <w:rPr>
          <w:lang w:val="en-GB"/>
        </w:rPr>
      </w:pPr>
      <w:r w:rsidRPr="00A64C6C">
        <w:rPr>
          <w:lang w:val="en-GB"/>
        </w:rPr>
        <w:lastRenderedPageBreak/>
        <w:t>Figure D11 Enterprises in the Czech Republic with selected websites facilities</w:t>
      </w:r>
      <w:r w:rsidRPr="00A64C6C">
        <w:rPr>
          <w:lang w:val="en-GB"/>
        </w:rPr>
        <w:tab/>
        <w:t>5</w:t>
      </w:r>
      <w:r w:rsidR="00885CD7">
        <w:rPr>
          <w:lang w:val="en-GB"/>
        </w:rPr>
        <w:t>6</w:t>
      </w:r>
    </w:p>
    <w:p w:rsidR="004C7BC9" w:rsidRPr="00A64C6C" w:rsidRDefault="004C7BC9" w:rsidP="004C7BC9">
      <w:pPr>
        <w:pStyle w:val="Seznamobrzk"/>
        <w:tabs>
          <w:tab w:val="right" w:leader="dot" w:pos="9628"/>
        </w:tabs>
        <w:rPr>
          <w:lang w:val="en-GB"/>
        </w:rPr>
      </w:pPr>
      <w:r w:rsidRPr="00A64C6C">
        <w:rPr>
          <w:lang w:val="en-GB"/>
        </w:rPr>
        <w:t>Figure D12 TOP 5 industries with enterprises in the Czech Rep. with a website enabling online ordering</w:t>
      </w:r>
      <w:r w:rsidRPr="00A64C6C">
        <w:rPr>
          <w:lang w:val="en-GB"/>
        </w:rPr>
        <w:tab/>
        <w:t>5</w:t>
      </w:r>
      <w:r w:rsidR="00885CD7">
        <w:rPr>
          <w:lang w:val="en-GB"/>
        </w:rPr>
        <w:t>6</w:t>
      </w:r>
    </w:p>
    <w:p w:rsidR="004C7BC9" w:rsidRPr="00A64C6C" w:rsidRDefault="004C7BC9" w:rsidP="004C7BC9">
      <w:pPr>
        <w:pStyle w:val="Seznamobrzk"/>
        <w:tabs>
          <w:tab w:val="right" w:leader="dot" w:pos="9628"/>
        </w:tabs>
        <w:rPr>
          <w:lang w:val="en-GB"/>
        </w:rPr>
      </w:pPr>
      <w:r w:rsidRPr="00A64C6C">
        <w:rPr>
          <w:lang w:val="en-GB"/>
        </w:rPr>
        <w:t>Figure D13 Enterprises in the Czech Republic selling via a website or apps</w:t>
      </w:r>
      <w:r w:rsidRPr="00A64C6C">
        <w:rPr>
          <w:lang w:val="en-GB"/>
        </w:rPr>
        <w:tab/>
        <w:t>5</w:t>
      </w:r>
      <w:r w:rsidR="00885CD7">
        <w:rPr>
          <w:lang w:val="en-GB"/>
        </w:rPr>
        <w:t>7</w:t>
      </w:r>
    </w:p>
    <w:p w:rsidR="004C7BC9" w:rsidRPr="00A64C6C" w:rsidRDefault="004C7BC9" w:rsidP="004C7BC9">
      <w:pPr>
        <w:pStyle w:val="Seznamobrzk"/>
        <w:tabs>
          <w:tab w:val="right" w:leader="dot" w:pos="9628"/>
        </w:tabs>
        <w:rPr>
          <w:lang w:val="en-GB"/>
        </w:rPr>
      </w:pPr>
      <w:r w:rsidRPr="00A64C6C">
        <w:rPr>
          <w:lang w:val="en-GB"/>
        </w:rPr>
        <w:t>Figure D14 Enterprises in the Czech Republic selling via a website by customer’s locations</w:t>
      </w:r>
      <w:r w:rsidRPr="00A64C6C">
        <w:rPr>
          <w:lang w:val="en-GB"/>
        </w:rPr>
        <w:tab/>
        <w:t>5</w:t>
      </w:r>
      <w:r w:rsidR="00885CD7">
        <w:rPr>
          <w:lang w:val="en-GB"/>
        </w:rPr>
        <w:t>7</w:t>
      </w:r>
    </w:p>
    <w:p w:rsidR="004C7BC9" w:rsidRPr="00A64C6C" w:rsidRDefault="004C7BC9" w:rsidP="004C7BC9">
      <w:pPr>
        <w:pStyle w:val="Seznamobrzk"/>
        <w:tabs>
          <w:tab w:val="right" w:leader="dot" w:pos="9628"/>
        </w:tabs>
        <w:rPr>
          <w:lang w:val="en-GB"/>
        </w:rPr>
      </w:pPr>
      <w:r w:rsidRPr="00A64C6C">
        <w:rPr>
          <w:lang w:val="en-GB"/>
        </w:rPr>
        <w:t>Figure D15 Enterprises in EU countries selling via a website</w:t>
      </w:r>
      <w:r w:rsidRPr="00A64C6C">
        <w:rPr>
          <w:lang w:val="en-GB"/>
        </w:rPr>
        <w:tab/>
        <w:t>5</w:t>
      </w:r>
      <w:r w:rsidR="003A2AD1">
        <w:rPr>
          <w:lang w:val="en-GB"/>
        </w:rPr>
        <w:t>8</w:t>
      </w:r>
    </w:p>
    <w:p w:rsidR="004C7BC9" w:rsidRPr="00A64C6C" w:rsidRDefault="004C7BC9" w:rsidP="004C7BC9">
      <w:pPr>
        <w:pStyle w:val="Seznamobrzk"/>
        <w:tabs>
          <w:tab w:val="right" w:leader="dot" w:pos="9628"/>
        </w:tabs>
        <w:rPr>
          <w:lang w:val="en-GB"/>
        </w:rPr>
      </w:pPr>
      <w:r w:rsidRPr="00A64C6C">
        <w:rPr>
          <w:lang w:val="en-GB"/>
        </w:rPr>
        <w:t>Figure D16 Enterprises in the Czech Republic using any online social media</w:t>
      </w:r>
      <w:r w:rsidRPr="00A64C6C">
        <w:rPr>
          <w:lang w:val="en-GB"/>
        </w:rPr>
        <w:tab/>
      </w:r>
      <w:r w:rsidR="003A2AD1">
        <w:rPr>
          <w:lang w:val="en-GB"/>
        </w:rPr>
        <w:t>59</w:t>
      </w:r>
    </w:p>
    <w:p w:rsidR="004C7BC9" w:rsidRPr="00A64C6C" w:rsidRDefault="004C7BC9" w:rsidP="004C7BC9">
      <w:pPr>
        <w:pStyle w:val="Seznamobrzk"/>
        <w:tabs>
          <w:tab w:val="right" w:leader="dot" w:pos="9628"/>
        </w:tabs>
        <w:rPr>
          <w:lang w:val="en-GB"/>
        </w:rPr>
      </w:pPr>
      <w:r w:rsidRPr="00A64C6C">
        <w:rPr>
          <w:lang w:val="en-GB"/>
        </w:rPr>
        <w:t>Figure D17 Types of social media used by enterprises in the Czech Republic</w:t>
      </w:r>
      <w:r w:rsidRPr="00A64C6C">
        <w:rPr>
          <w:lang w:val="en-GB"/>
        </w:rPr>
        <w:tab/>
      </w:r>
      <w:r w:rsidR="003A2AD1">
        <w:rPr>
          <w:lang w:val="en-GB"/>
        </w:rPr>
        <w:t>59</w:t>
      </w:r>
    </w:p>
    <w:p w:rsidR="004C7BC9" w:rsidRPr="00A64C6C" w:rsidRDefault="004C7BC9" w:rsidP="004C7BC9">
      <w:pPr>
        <w:pStyle w:val="Seznamobrzk"/>
        <w:tabs>
          <w:tab w:val="right" w:leader="dot" w:pos="9628"/>
        </w:tabs>
        <w:rPr>
          <w:lang w:val="en-GB"/>
        </w:rPr>
      </w:pPr>
      <w:r w:rsidRPr="00A64C6C">
        <w:rPr>
          <w:lang w:val="en-GB"/>
        </w:rPr>
        <w:t>Figure D18 Enterprises in the Czech Republic using online social networks</w:t>
      </w:r>
      <w:r w:rsidRPr="00A64C6C">
        <w:rPr>
          <w:lang w:val="en-GB"/>
        </w:rPr>
        <w:tab/>
      </w:r>
      <w:r w:rsidR="003A2AD1">
        <w:rPr>
          <w:lang w:val="en-GB"/>
        </w:rPr>
        <w:t>60</w:t>
      </w:r>
    </w:p>
    <w:p w:rsidR="004C7BC9" w:rsidRPr="00A64C6C" w:rsidRDefault="004C7BC9" w:rsidP="004C7BC9">
      <w:pPr>
        <w:pStyle w:val="Seznamobrzk"/>
        <w:tabs>
          <w:tab w:val="right" w:leader="dot" w:pos="9628"/>
        </w:tabs>
        <w:rPr>
          <w:lang w:val="en-GB"/>
        </w:rPr>
      </w:pPr>
      <w:r w:rsidRPr="00A64C6C">
        <w:rPr>
          <w:lang w:val="en-GB"/>
        </w:rPr>
        <w:t>Figure D19 Main reasons for using online social networks by enterprises in the Czech Republic</w:t>
      </w:r>
      <w:r w:rsidRPr="00A64C6C">
        <w:rPr>
          <w:lang w:val="en-GB"/>
        </w:rPr>
        <w:tab/>
      </w:r>
      <w:r w:rsidR="003A2AD1">
        <w:rPr>
          <w:lang w:val="en-GB"/>
        </w:rPr>
        <w:t>60</w:t>
      </w:r>
    </w:p>
    <w:p w:rsidR="004C7BC9" w:rsidRPr="00A64C6C" w:rsidRDefault="004C7BC9" w:rsidP="004C7BC9">
      <w:pPr>
        <w:pStyle w:val="Seznamobrzk"/>
        <w:tabs>
          <w:tab w:val="right" w:leader="dot" w:pos="9628"/>
        </w:tabs>
        <w:rPr>
          <w:lang w:val="en-GB"/>
        </w:rPr>
      </w:pPr>
      <w:r w:rsidRPr="00A64C6C">
        <w:rPr>
          <w:lang w:val="en-GB"/>
        </w:rPr>
        <w:t>Figure D20 Enterprises in EU countries using online social networks such as Facebook or LinkedIn</w:t>
      </w:r>
      <w:r w:rsidRPr="00A64C6C">
        <w:rPr>
          <w:lang w:val="en-GB"/>
        </w:rPr>
        <w:tab/>
      </w:r>
      <w:r w:rsidR="003A2AD1">
        <w:rPr>
          <w:lang w:val="en-GB"/>
        </w:rPr>
        <w:t>61</w:t>
      </w:r>
    </w:p>
    <w:p w:rsidR="004C7BC9" w:rsidRPr="00A64C6C" w:rsidRDefault="004C7BC9" w:rsidP="004C7BC9">
      <w:pPr>
        <w:pStyle w:val="Seznamobrzk"/>
        <w:tabs>
          <w:tab w:val="right" w:leader="dot" w:pos="9628"/>
        </w:tabs>
        <w:rPr>
          <w:lang w:val="en-GB"/>
        </w:rPr>
      </w:pPr>
      <w:r w:rsidRPr="00A64C6C">
        <w:rPr>
          <w:lang w:val="en-GB"/>
        </w:rPr>
        <w:t>Figure D21 Enterprises in the Czech Republic using paid cloud computing services</w:t>
      </w:r>
      <w:r w:rsidRPr="00A64C6C">
        <w:rPr>
          <w:lang w:val="en-GB"/>
        </w:rPr>
        <w:tab/>
      </w:r>
      <w:r w:rsidR="003A2AD1">
        <w:rPr>
          <w:lang w:val="en-GB"/>
        </w:rPr>
        <w:t>62</w:t>
      </w:r>
    </w:p>
    <w:p w:rsidR="004C7BC9" w:rsidRPr="00A64C6C" w:rsidRDefault="004C7BC9" w:rsidP="004C7BC9">
      <w:pPr>
        <w:pStyle w:val="Seznamobrzk"/>
        <w:tabs>
          <w:tab w:val="right" w:leader="dot" w:pos="9628"/>
        </w:tabs>
        <w:rPr>
          <w:lang w:val="en-GB"/>
        </w:rPr>
      </w:pPr>
      <w:r w:rsidRPr="00A64C6C">
        <w:rPr>
          <w:lang w:val="en-GB"/>
        </w:rPr>
        <w:t>Figure D22 Enterprises in the Czech Republic using selected paid cloud computing services</w:t>
      </w:r>
      <w:r w:rsidRPr="00A64C6C">
        <w:rPr>
          <w:lang w:val="en-GB"/>
        </w:rPr>
        <w:tab/>
      </w:r>
      <w:r w:rsidR="003A2AD1">
        <w:rPr>
          <w:lang w:val="en-GB"/>
        </w:rPr>
        <w:t>62</w:t>
      </w:r>
    </w:p>
    <w:p w:rsidR="004C7BC9" w:rsidRPr="00A64C6C" w:rsidRDefault="004C7BC9" w:rsidP="004C7BC9">
      <w:pPr>
        <w:pStyle w:val="Seznamobrzk"/>
        <w:tabs>
          <w:tab w:val="right" w:leader="dot" w:pos="9628"/>
        </w:tabs>
        <w:rPr>
          <w:lang w:val="en-GB"/>
        </w:rPr>
      </w:pPr>
      <w:r w:rsidRPr="00A64C6C">
        <w:rPr>
          <w:lang w:val="en-GB"/>
        </w:rPr>
        <w:t>Figure D23 Enterprises in EU countries using paid cloud computing services</w:t>
      </w:r>
      <w:r w:rsidRPr="00A64C6C">
        <w:rPr>
          <w:lang w:val="en-GB"/>
        </w:rPr>
        <w:tab/>
      </w:r>
      <w:r w:rsidR="003A2AD1">
        <w:rPr>
          <w:lang w:val="en-GB"/>
        </w:rPr>
        <w:t>62</w:t>
      </w:r>
    </w:p>
    <w:p w:rsidR="004C7BC9" w:rsidRPr="00A64C6C" w:rsidRDefault="004C7BC9" w:rsidP="004C7BC9">
      <w:pPr>
        <w:pStyle w:val="Seznamobrzk"/>
        <w:tabs>
          <w:tab w:val="right" w:leader="dot" w:pos="9628"/>
        </w:tabs>
        <w:rPr>
          <w:lang w:val="en-GB"/>
        </w:rPr>
      </w:pPr>
      <w:r w:rsidRPr="00A64C6C">
        <w:rPr>
          <w:lang w:val="en-GB"/>
        </w:rPr>
        <w:t>Figure D24 Enterprises in the Czech Republic using an ERP software application</w:t>
      </w:r>
      <w:r w:rsidRPr="00A64C6C">
        <w:rPr>
          <w:lang w:val="en-GB"/>
        </w:rPr>
        <w:tab/>
        <w:t>6</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t>Figure D25 Enterprises in the Czech Republic using a CRM software application</w:t>
      </w:r>
      <w:r w:rsidRPr="00A64C6C">
        <w:rPr>
          <w:lang w:val="en-GB"/>
        </w:rPr>
        <w:tab/>
        <w:t>6</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t>Figure D26 Enterprises in EU countries using ERP and CRM software application</w:t>
      </w:r>
      <w:r w:rsidRPr="00A64C6C">
        <w:rPr>
          <w:lang w:val="en-GB"/>
        </w:rPr>
        <w:tab/>
        <w:t>6</w:t>
      </w:r>
      <w:r w:rsidR="003A2AD1">
        <w:rPr>
          <w:lang w:val="en-GB"/>
        </w:rPr>
        <w:t>4</w:t>
      </w:r>
    </w:p>
    <w:p w:rsidR="004C7BC9" w:rsidRPr="00A64C6C" w:rsidRDefault="004C7BC9" w:rsidP="004C7BC9">
      <w:pPr>
        <w:pStyle w:val="Seznamobrzk"/>
        <w:tabs>
          <w:tab w:val="right" w:leader="dot" w:pos="9628"/>
        </w:tabs>
        <w:rPr>
          <w:lang w:val="en-GB"/>
        </w:rPr>
      </w:pPr>
      <w:r w:rsidRPr="00A64C6C">
        <w:rPr>
          <w:lang w:val="en-GB"/>
        </w:rPr>
        <w:t xml:space="preserve">Figure D27 TOP 5 industries in the Czech Rep. with the highest </w:t>
      </w:r>
      <w:r w:rsidR="003A2AD1">
        <w:rPr>
          <w:lang w:val="en-GB"/>
        </w:rPr>
        <w:t>share of enterprises sending e-i</w:t>
      </w:r>
      <w:r w:rsidRPr="00A64C6C">
        <w:rPr>
          <w:lang w:val="en-GB"/>
        </w:rPr>
        <w:t>nvoices</w:t>
      </w:r>
      <w:r w:rsidRPr="00A64C6C">
        <w:rPr>
          <w:lang w:val="en-GB"/>
        </w:rPr>
        <w:tab/>
        <w:t>6</w:t>
      </w:r>
      <w:r w:rsidR="003A2AD1">
        <w:rPr>
          <w:lang w:val="en-GB"/>
        </w:rPr>
        <w:t>5</w:t>
      </w:r>
    </w:p>
    <w:p w:rsidR="004C7BC9" w:rsidRPr="00A64C6C" w:rsidRDefault="004C7BC9" w:rsidP="004C7BC9">
      <w:pPr>
        <w:pStyle w:val="Seznamobrzk"/>
        <w:tabs>
          <w:tab w:val="right" w:leader="dot" w:pos="9628"/>
        </w:tabs>
        <w:rPr>
          <w:lang w:val="en-GB"/>
        </w:rPr>
      </w:pPr>
      <w:r w:rsidRPr="00A64C6C">
        <w:rPr>
          <w:lang w:val="en-GB"/>
        </w:rPr>
        <w:t>Figure D28 Enterprises in the Czech Republic using data boxes for sending invoices</w:t>
      </w:r>
      <w:r w:rsidRPr="00A64C6C">
        <w:rPr>
          <w:lang w:val="en-GB"/>
        </w:rPr>
        <w:tab/>
        <w:t>6</w:t>
      </w:r>
      <w:r w:rsidR="003A2AD1">
        <w:rPr>
          <w:lang w:val="en-GB"/>
        </w:rPr>
        <w:t>5</w:t>
      </w:r>
    </w:p>
    <w:p w:rsidR="004C7BC9" w:rsidRPr="00A64C6C" w:rsidRDefault="004C7BC9" w:rsidP="004C7BC9">
      <w:pPr>
        <w:pStyle w:val="Seznamobrzk"/>
        <w:tabs>
          <w:tab w:val="right" w:leader="dot" w:pos="9628"/>
        </w:tabs>
        <w:rPr>
          <w:lang w:val="en-GB"/>
        </w:rPr>
      </w:pPr>
      <w:r w:rsidRPr="00A64C6C">
        <w:rPr>
          <w:lang w:val="en-GB"/>
        </w:rPr>
        <w:t>Figure D29 Enterprises in EU countries sending invoices in electronic form</w:t>
      </w:r>
      <w:r w:rsidRPr="00A64C6C">
        <w:rPr>
          <w:lang w:val="en-GB"/>
        </w:rPr>
        <w:tab/>
        <w:t>6</w:t>
      </w:r>
      <w:r w:rsidR="003A2AD1">
        <w:rPr>
          <w:lang w:val="en-GB"/>
        </w:rPr>
        <w:t>6</w:t>
      </w:r>
    </w:p>
    <w:p w:rsidR="004C7BC9" w:rsidRPr="00A64C6C" w:rsidRDefault="004C7BC9" w:rsidP="004C7BC9">
      <w:pPr>
        <w:pStyle w:val="Seznamobrzk"/>
        <w:tabs>
          <w:tab w:val="right" w:leader="dot" w:pos="9628"/>
        </w:tabs>
        <w:rPr>
          <w:lang w:val="en-GB"/>
        </w:rPr>
      </w:pPr>
      <w:r w:rsidRPr="00A64C6C">
        <w:rPr>
          <w:lang w:val="en-GB"/>
        </w:rPr>
        <w:t>Figure D30 Enterprises in the Czech Republic purchasing over computer networks</w:t>
      </w:r>
      <w:r w:rsidRPr="00A64C6C">
        <w:rPr>
          <w:lang w:val="en-GB"/>
        </w:rPr>
        <w:tab/>
        <w:t>6</w:t>
      </w:r>
      <w:r w:rsidR="003A2AD1">
        <w:rPr>
          <w:lang w:val="en-GB"/>
        </w:rPr>
        <w:t>7</w:t>
      </w:r>
    </w:p>
    <w:p w:rsidR="004C7BC9" w:rsidRPr="00A64C6C" w:rsidRDefault="004C7BC9" w:rsidP="004C7BC9">
      <w:pPr>
        <w:pStyle w:val="Seznamobrzk"/>
        <w:tabs>
          <w:tab w:val="right" w:leader="dot" w:pos="9628"/>
        </w:tabs>
        <w:rPr>
          <w:lang w:val="en-GB"/>
        </w:rPr>
      </w:pPr>
      <w:r w:rsidRPr="00A64C6C">
        <w:rPr>
          <w:lang w:val="en-GB"/>
        </w:rPr>
        <w:t>Figure D31 Value of enterprises' electronic purchases in the Czech Republic</w:t>
      </w:r>
      <w:r w:rsidRPr="00A64C6C">
        <w:rPr>
          <w:lang w:val="en-GB"/>
        </w:rPr>
        <w:tab/>
        <w:t>6</w:t>
      </w:r>
      <w:r w:rsidR="003A2AD1">
        <w:rPr>
          <w:lang w:val="en-GB"/>
        </w:rPr>
        <w:t>7</w:t>
      </w:r>
    </w:p>
    <w:p w:rsidR="004C7BC9" w:rsidRPr="00A64C6C" w:rsidRDefault="004C7BC9" w:rsidP="004C7BC9">
      <w:pPr>
        <w:pStyle w:val="Seznamobrzk"/>
        <w:tabs>
          <w:tab w:val="right" w:leader="dot" w:pos="9628"/>
        </w:tabs>
        <w:rPr>
          <w:lang w:val="en-GB"/>
        </w:rPr>
      </w:pPr>
      <w:r w:rsidRPr="00A64C6C">
        <w:rPr>
          <w:lang w:val="en-GB"/>
        </w:rPr>
        <w:t>Figure D32 Enterprises in EU countries that purchased (placed orders) over computer networks</w:t>
      </w:r>
      <w:r w:rsidRPr="00A64C6C">
        <w:rPr>
          <w:lang w:val="en-GB"/>
        </w:rPr>
        <w:tab/>
        <w:t>6</w:t>
      </w:r>
      <w:r w:rsidR="003A2AD1">
        <w:rPr>
          <w:lang w:val="en-GB"/>
        </w:rPr>
        <w:t>8</w:t>
      </w:r>
    </w:p>
    <w:p w:rsidR="004C7BC9" w:rsidRPr="00A64C6C" w:rsidRDefault="004C7BC9" w:rsidP="004C7BC9">
      <w:pPr>
        <w:pStyle w:val="Seznamobrzk"/>
        <w:tabs>
          <w:tab w:val="right" w:leader="dot" w:pos="9628"/>
        </w:tabs>
        <w:rPr>
          <w:lang w:val="en-GB"/>
        </w:rPr>
      </w:pPr>
      <w:r w:rsidRPr="00A64C6C">
        <w:rPr>
          <w:lang w:val="en-GB"/>
        </w:rPr>
        <w:t>Figure D33 Enterprises in the Czech Republic selling over computer networks</w:t>
      </w:r>
      <w:r w:rsidRPr="00A64C6C">
        <w:rPr>
          <w:lang w:val="en-GB"/>
        </w:rPr>
        <w:tab/>
      </w:r>
      <w:r w:rsidR="003A2AD1">
        <w:rPr>
          <w:lang w:val="en-GB"/>
        </w:rPr>
        <w:t>69</w:t>
      </w:r>
    </w:p>
    <w:p w:rsidR="004C7BC9" w:rsidRPr="00A64C6C" w:rsidRDefault="004C7BC9" w:rsidP="004C7BC9">
      <w:pPr>
        <w:pStyle w:val="Seznamobrzk"/>
        <w:tabs>
          <w:tab w:val="right" w:leader="dot" w:pos="9628"/>
        </w:tabs>
        <w:rPr>
          <w:lang w:val="en-GB"/>
        </w:rPr>
      </w:pPr>
      <w:r w:rsidRPr="00A64C6C">
        <w:rPr>
          <w:lang w:val="en-GB"/>
        </w:rPr>
        <w:t>Figure D34 Turnover from enterprises' electronic sales in the Czech Republic</w:t>
      </w:r>
      <w:r w:rsidRPr="00A64C6C">
        <w:rPr>
          <w:lang w:val="en-GB"/>
        </w:rPr>
        <w:tab/>
      </w:r>
      <w:r>
        <w:rPr>
          <w:lang w:val="en-GB"/>
        </w:rPr>
        <w:t>6</w:t>
      </w:r>
      <w:r w:rsidR="003A2AD1">
        <w:rPr>
          <w:lang w:val="en-GB"/>
        </w:rPr>
        <w:t>9</w:t>
      </w:r>
    </w:p>
    <w:p w:rsidR="004C7BC9" w:rsidRPr="00A64C6C" w:rsidRDefault="004C7BC9" w:rsidP="004C7BC9">
      <w:pPr>
        <w:pStyle w:val="Seznamobrzk"/>
        <w:tabs>
          <w:tab w:val="right" w:leader="dot" w:pos="9628"/>
        </w:tabs>
        <w:rPr>
          <w:lang w:val="en-GB"/>
        </w:rPr>
      </w:pPr>
      <w:r w:rsidRPr="00A64C6C">
        <w:rPr>
          <w:lang w:val="en-GB"/>
        </w:rPr>
        <w:t>Figure D35 Enterprises in EU countries selling over computer networks</w:t>
      </w:r>
      <w:r w:rsidRPr="00A64C6C">
        <w:rPr>
          <w:lang w:val="en-GB"/>
        </w:rPr>
        <w:tab/>
      </w:r>
      <w:r w:rsidR="003A2AD1">
        <w:rPr>
          <w:lang w:val="en-GB"/>
        </w:rPr>
        <w:t>70</w:t>
      </w:r>
    </w:p>
    <w:p w:rsidR="004C7BC9" w:rsidRPr="00A64C6C" w:rsidRDefault="004C7BC9" w:rsidP="004C7BC9">
      <w:pPr>
        <w:pStyle w:val="Seznamobrzk"/>
        <w:tabs>
          <w:tab w:val="right" w:leader="dot" w:pos="9628"/>
        </w:tabs>
        <w:rPr>
          <w:lang w:val="en-GB"/>
        </w:rPr>
      </w:pPr>
      <w:r w:rsidRPr="00A64C6C">
        <w:rPr>
          <w:lang w:val="en-GB"/>
        </w:rPr>
        <w:t>Figure D36 Enterprises in the Czech Rep. providing employees with devices with internet</w:t>
      </w:r>
      <w:r w:rsidR="003A2AD1">
        <w:rPr>
          <w:lang w:val="en-GB"/>
        </w:rPr>
        <w:t xml:space="preserve"> connection</w:t>
      </w:r>
      <w:r w:rsidRPr="00A64C6C">
        <w:rPr>
          <w:lang w:val="en-GB"/>
        </w:rPr>
        <w:tab/>
      </w:r>
      <w:r w:rsidR="003A2AD1">
        <w:rPr>
          <w:lang w:val="en-GB"/>
        </w:rPr>
        <w:t>71</w:t>
      </w:r>
    </w:p>
    <w:p w:rsidR="004C7BC9" w:rsidRPr="00A64C6C" w:rsidRDefault="004C7BC9" w:rsidP="004C7BC9">
      <w:pPr>
        <w:pStyle w:val="Seznamobrzk"/>
        <w:tabs>
          <w:tab w:val="right" w:leader="dot" w:pos="9628"/>
        </w:tabs>
        <w:rPr>
          <w:lang w:val="en-GB"/>
        </w:rPr>
      </w:pPr>
      <w:r w:rsidRPr="00A64C6C">
        <w:rPr>
          <w:lang w:val="en-GB"/>
        </w:rPr>
        <w:t>Figure D37 Employees in the Czech Rep. using portable devices with internet for business purposes</w:t>
      </w:r>
      <w:r w:rsidRPr="00A64C6C">
        <w:rPr>
          <w:lang w:val="en-GB"/>
        </w:rPr>
        <w:tab/>
      </w:r>
      <w:r w:rsidR="003A2AD1">
        <w:rPr>
          <w:lang w:val="en-GB"/>
        </w:rPr>
        <w:t>71</w:t>
      </w:r>
    </w:p>
    <w:p w:rsidR="004C7BC9" w:rsidRPr="00A64C6C" w:rsidRDefault="004C7BC9" w:rsidP="004C7BC9">
      <w:pPr>
        <w:pStyle w:val="Seznamobrzk"/>
        <w:tabs>
          <w:tab w:val="right" w:leader="dot" w:pos="9628"/>
        </w:tabs>
        <w:rPr>
          <w:lang w:val="en-GB"/>
        </w:rPr>
      </w:pPr>
      <w:r w:rsidRPr="00A64C6C">
        <w:rPr>
          <w:lang w:val="en-GB"/>
        </w:rPr>
        <w:t>Figure D38 Enterprises in EU countries providing training for employees to develop their ICT skills</w:t>
      </w:r>
      <w:r w:rsidRPr="00A64C6C">
        <w:rPr>
          <w:lang w:val="en-GB"/>
        </w:rPr>
        <w:tab/>
      </w:r>
      <w:r w:rsidR="003A2AD1">
        <w:rPr>
          <w:lang w:val="en-GB"/>
        </w:rPr>
        <w:t>72</w:t>
      </w:r>
    </w:p>
    <w:p w:rsidR="004C7BC9" w:rsidRPr="00A64C6C" w:rsidRDefault="004C7BC9" w:rsidP="004C7BC9">
      <w:pPr>
        <w:pStyle w:val="Seznamobrzk"/>
        <w:tabs>
          <w:tab w:val="right" w:leader="dot" w:pos="9628"/>
        </w:tabs>
        <w:rPr>
          <w:lang w:val="en-GB"/>
        </w:rPr>
      </w:pPr>
      <w:r w:rsidRPr="00A64C6C">
        <w:rPr>
          <w:lang w:val="en-GB"/>
        </w:rPr>
        <w:t>Figure D39 ICT specialists in all enterprises in the Czech Republic</w:t>
      </w:r>
      <w:r w:rsidRPr="00A64C6C">
        <w:rPr>
          <w:lang w:val="en-GB"/>
        </w:rPr>
        <w:tab/>
        <w:t>7</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t>Figure D40 ICT specialists in enterprises with ICT specialists in the Czech Republic</w:t>
      </w:r>
      <w:r w:rsidRPr="00A64C6C">
        <w:rPr>
          <w:lang w:val="en-GB"/>
        </w:rPr>
        <w:tab/>
        <w:t>7</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t>Figure D41 Enterprises in the Czech Rep. having vacancies for ICT specialists that were difficult to fill</w:t>
      </w:r>
      <w:r w:rsidRPr="00A64C6C">
        <w:rPr>
          <w:lang w:val="en-GB"/>
        </w:rPr>
        <w:tab/>
        <w:t>7</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t>Figure D42 Enterprises in the Czech Rep. providing training for ICT specialists to develop their ICT skills</w:t>
      </w:r>
      <w:r w:rsidRPr="00A64C6C">
        <w:rPr>
          <w:lang w:val="en-GB"/>
        </w:rPr>
        <w:tab/>
        <w:t>7</w:t>
      </w:r>
      <w:r w:rsidR="003A2AD1">
        <w:rPr>
          <w:lang w:val="en-GB"/>
        </w:rPr>
        <w:t>3</w:t>
      </w:r>
    </w:p>
    <w:p w:rsidR="004C7BC9" w:rsidRPr="00A64C6C" w:rsidRDefault="004C7BC9" w:rsidP="004C7BC9">
      <w:pPr>
        <w:pStyle w:val="Seznamobrzk"/>
        <w:tabs>
          <w:tab w:val="right" w:leader="dot" w:pos="9628"/>
        </w:tabs>
        <w:rPr>
          <w:lang w:val="en-GB"/>
        </w:rPr>
      </w:pPr>
      <w:r w:rsidRPr="00A64C6C">
        <w:rPr>
          <w:lang w:val="en-GB"/>
        </w:rPr>
        <w:fldChar w:fldCharType="end"/>
      </w:r>
    </w:p>
    <w:p w:rsidR="004C7BC9" w:rsidRPr="002C567D" w:rsidRDefault="004C7BC9" w:rsidP="004C7BC9">
      <w:pPr>
        <w:pStyle w:val="Seznamobrzk"/>
        <w:tabs>
          <w:tab w:val="right" w:leader="dot" w:pos="9628"/>
        </w:tabs>
        <w:rPr>
          <w:b/>
          <w:bCs/>
          <w:noProof/>
          <w:color w:val="009BB4"/>
          <w:sz w:val="32"/>
          <w:szCs w:val="28"/>
        </w:rPr>
      </w:pPr>
      <w:r w:rsidRPr="002C567D">
        <w:rPr>
          <w:b/>
          <w:bCs/>
          <w:noProof/>
          <w:color w:val="009BB4"/>
          <w:sz w:val="32"/>
          <w:szCs w:val="28"/>
        </w:rPr>
        <w:t xml:space="preserve">E </w:t>
      </w:r>
      <w:r>
        <w:rPr>
          <w:b/>
          <w:bCs/>
          <w:noProof/>
          <w:color w:val="009BB4"/>
          <w:sz w:val="32"/>
          <w:szCs w:val="28"/>
        </w:rPr>
        <w:t xml:space="preserve">Government </w:t>
      </w:r>
      <w:r w:rsidRPr="002C567D">
        <w:rPr>
          <w:b/>
          <w:bCs/>
          <w:noProof/>
          <w:color w:val="009BB4"/>
          <w:sz w:val="32"/>
          <w:szCs w:val="28"/>
        </w:rPr>
        <w:t>and ICT</w:t>
      </w:r>
    </w:p>
    <w:p w:rsidR="004C7BC9" w:rsidRDefault="004C7BC9" w:rsidP="004C7BC9">
      <w:pPr>
        <w:pStyle w:val="Seznamobrzk"/>
        <w:tabs>
          <w:tab w:val="right" w:leader="dot" w:pos="9628"/>
        </w:tabs>
        <w:rPr>
          <w:lang w:val="en-GB"/>
        </w:rPr>
      </w:pPr>
      <w:r w:rsidRPr="00A64C6C">
        <w:rPr>
          <w:lang w:val="en-GB"/>
        </w:rPr>
        <w:fldChar w:fldCharType="begin"/>
      </w:r>
      <w:r w:rsidRPr="00A64C6C">
        <w:rPr>
          <w:lang w:val="en-GB"/>
        </w:rPr>
        <w:instrText xml:space="preserve"> TOC \h \z \c "Figure E" </w:instrText>
      </w:r>
      <w:r w:rsidRPr="00A64C6C">
        <w:rPr>
          <w:lang w:val="en-GB"/>
        </w:rPr>
        <w:fldChar w:fldCharType="separate"/>
      </w:r>
    </w:p>
    <w:p w:rsidR="004C7BC9" w:rsidRPr="00A64C6C" w:rsidRDefault="004C7BC9" w:rsidP="004C7BC9">
      <w:pPr>
        <w:pStyle w:val="Seznamobrzk"/>
        <w:tabs>
          <w:tab w:val="right" w:leader="dot" w:pos="9628"/>
        </w:tabs>
        <w:rPr>
          <w:lang w:val="en-GB"/>
        </w:rPr>
      </w:pPr>
      <w:r w:rsidRPr="00A64C6C">
        <w:rPr>
          <w:lang w:val="en-GB"/>
        </w:rPr>
        <w:t>Figure E1 Number of verified copies issued 'at the desk' of the Czech POINT public contact points</w:t>
      </w:r>
      <w:r w:rsidRPr="00A64C6C">
        <w:rPr>
          <w:lang w:val="en-GB"/>
        </w:rPr>
        <w:tab/>
        <w:t>7</w:t>
      </w:r>
      <w:r w:rsidR="003945DB">
        <w:rPr>
          <w:lang w:val="en-GB"/>
        </w:rPr>
        <w:t>5</w:t>
      </w:r>
    </w:p>
    <w:p w:rsidR="004C7BC9" w:rsidRPr="00A64C6C" w:rsidRDefault="004C7BC9" w:rsidP="004C7BC9">
      <w:pPr>
        <w:pStyle w:val="Seznamobrzk"/>
        <w:tabs>
          <w:tab w:val="right" w:leader="dot" w:pos="9628"/>
        </w:tabs>
        <w:rPr>
          <w:lang w:val="en-GB"/>
        </w:rPr>
      </w:pPr>
      <w:r w:rsidRPr="00A64C6C">
        <w:rPr>
          <w:lang w:val="en-GB"/>
        </w:rPr>
        <w:t>Figure E2 Number of authorized conversions of documents issued at Czech POINT public contact points</w:t>
      </w:r>
      <w:r w:rsidRPr="00A64C6C">
        <w:rPr>
          <w:lang w:val="en-GB"/>
        </w:rPr>
        <w:tab/>
        <w:t>7</w:t>
      </w:r>
      <w:r w:rsidR="003945DB">
        <w:rPr>
          <w:lang w:val="en-GB"/>
        </w:rPr>
        <w:t>5</w:t>
      </w:r>
    </w:p>
    <w:p w:rsidR="004C7BC9" w:rsidRPr="00A64C6C" w:rsidRDefault="004C7BC9" w:rsidP="004C7BC9">
      <w:pPr>
        <w:pStyle w:val="Seznamobrzk"/>
        <w:tabs>
          <w:tab w:val="right" w:leader="dot" w:pos="9628"/>
        </w:tabs>
        <w:rPr>
          <w:lang w:val="en-GB"/>
        </w:rPr>
      </w:pPr>
      <w:r w:rsidRPr="00A64C6C">
        <w:rPr>
          <w:lang w:val="en-GB"/>
        </w:rPr>
        <w:t>Figure E3 Verified copies/extracts issued from the CzechPoint@office interface for selected services</w:t>
      </w:r>
      <w:r w:rsidRPr="00A64C6C">
        <w:rPr>
          <w:lang w:val="en-GB"/>
        </w:rPr>
        <w:tab/>
        <w:t>7</w:t>
      </w:r>
      <w:r w:rsidR="003945DB">
        <w:rPr>
          <w:lang w:val="en-GB"/>
        </w:rPr>
        <w:t>6</w:t>
      </w:r>
    </w:p>
    <w:p w:rsidR="004C7BC9" w:rsidRPr="00A64C6C" w:rsidRDefault="004C7BC9" w:rsidP="004C7BC9">
      <w:pPr>
        <w:pStyle w:val="Seznamobrzk"/>
        <w:tabs>
          <w:tab w:val="right" w:leader="dot" w:pos="9628"/>
        </w:tabs>
        <w:rPr>
          <w:lang w:val="en-GB"/>
        </w:rPr>
      </w:pPr>
      <w:r w:rsidRPr="00A64C6C">
        <w:rPr>
          <w:lang w:val="en-GB"/>
        </w:rPr>
        <w:t>Figure E4 Number of authorized conversions of documents issued from the CzechPoint@office interface</w:t>
      </w:r>
      <w:r w:rsidRPr="00A64C6C">
        <w:rPr>
          <w:lang w:val="en-GB"/>
        </w:rPr>
        <w:tab/>
        <w:t>7</w:t>
      </w:r>
      <w:r w:rsidR="003945DB">
        <w:rPr>
          <w:lang w:val="en-GB"/>
        </w:rPr>
        <w:t>6</w:t>
      </w:r>
    </w:p>
    <w:p w:rsidR="004C7BC9" w:rsidRPr="00A64C6C" w:rsidRDefault="004C7BC9" w:rsidP="004C7BC9">
      <w:pPr>
        <w:pStyle w:val="Seznamobrzk"/>
        <w:tabs>
          <w:tab w:val="right" w:leader="dot" w:pos="9628"/>
        </w:tabs>
        <w:rPr>
          <w:lang w:val="en-GB"/>
        </w:rPr>
      </w:pPr>
      <w:r w:rsidRPr="00A64C6C">
        <w:rPr>
          <w:lang w:val="en-GB"/>
        </w:rPr>
        <w:t>Figure E5 Number of newly activated Data Boxes in the Czech Republic</w:t>
      </w:r>
      <w:r w:rsidRPr="00A64C6C">
        <w:rPr>
          <w:lang w:val="en-GB"/>
        </w:rPr>
        <w:tab/>
        <w:t>7</w:t>
      </w:r>
      <w:r w:rsidR="003945DB">
        <w:rPr>
          <w:lang w:val="en-GB"/>
        </w:rPr>
        <w:t>7</w:t>
      </w:r>
    </w:p>
    <w:p w:rsidR="004C7BC9" w:rsidRPr="00A64C6C" w:rsidRDefault="004C7BC9" w:rsidP="004C7BC9">
      <w:pPr>
        <w:pStyle w:val="Seznamobrzk"/>
        <w:tabs>
          <w:tab w:val="right" w:leader="dot" w:pos="9628"/>
        </w:tabs>
        <w:rPr>
          <w:lang w:val="en-GB"/>
        </w:rPr>
      </w:pPr>
      <w:r w:rsidRPr="00A64C6C">
        <w:rPr>
          <w:lang w:val="en-GB"/>
        </w:rPr>
        <w:t>Figure E6 Number of new Data Boxes in the Czech Republic by type of entity</w:t>
      </w:r>
      <w:r w:rsidRPr="00A64C6C">
        <w:rPr>
          <w:lang w:val="en-GB"/>
        </w:rPr>
        <w:tab/>
        <w:t>7</w:t>
      </w:r>
      <w:r w:rsidR="003945DB">
        <w:rPr>
          <w:lang w:val="en-GB"/>
        </w:rPr>
        <w:t>7</w:t>
      </w:r>
    </w:p>
    <w:p w:rsidR="004C7BC9" w:rsidRDefault="004C7BC9" w:rsidP="004C7BC9">
      <w:pPr>
        <w:pStyle w:val="Seznamobrzk"/>
        <w:tabs>
          <w:tab w:val="right" w:leader="dot" w:pos="9628"/>
        </w:tabs>
        <w:rPr>
          <w:lang w:val="en-GB"/>
        </w:rPr>
      </w:pPr>
      <w:r w:rsidRPr="00A64C6C">
        <w:rPr>
          <w:lang w:val="en-GB"/>
        </w:rPr>
        <w:t>Figure E7 Number of e-transactions made via Data Boxes in the Czec</w:t>
      </w:r>
      <w:r>
        <w:rPr>
          <w:lang w:val="en-GB"/>
        </w:rPr>
        <w:t>h Republic by type of entities</w:t>
      </w:r>
      <w:r w:rsidRPr="00A64C6C">
        <w:rPr>
          <w:lang w:val="en-GB"/>
        </w:rPr>
        <w:tab/>
        <w:t>7</w:t>
      </w:r>
      <w:r w:rsidR="003945DB">
        <w:rPr>
          <w:lang w:val="en-GB"/>
        </w:rPr>
        <w:t>8</w:t>
      </w:r>
    </w:p>
    <w:p w:rsidR="004C7BC9" w:rsidRPr="002C567D" w:rsidRDefault="004C7BC9" w:rsidP="004C7BC9">
      <w:pPr>
        <w:pStyle w:val="Seznamobrzk"/>
        <w:tabs>
          <w:tab w:val="right" w:leader="dot" w:pos="9628"/>
        </w:tabs>
        <w:rPr>
          <w:lang w:val="en-GB"/>
        </w:rPr>
      </w:pPr>
      <w:r w:rsidRPr="00A64C6C">
        <w:rPr>
          <w:lang w:val="en-GB"/>
        </w:rPr>
        <w:t>Figure E</w:t>
      </w:r>
      <w:r>
        <w:rPr>
          <w:lang w:val="en-GB"/>
        </w:rPr>
        <w:t>8</w:t>
      </w:r>
      <w:r w:rsidRPr="00A64C6C">
        <w:rPr>
          <w:lang w:val="en-GB"/>
        </w:rPr>
        <w:t xml:space="preserve"> Number of e-transactions made via Data Boxes in the Czec</w:t>
      </w:r>
      <w:r>
        <w:rPr>
          <w:lang w:val="en-GB"/>
        </w:rPr>
        <w:t>h Republic by citizens</w:t>
      </w:r>
      <w:r w:rsidRPr="00A64C6C">
        <w:rPr>
          <w:lang w:val="en-GB"/>
        </w:rPr>
        <w:tab/>
        <w:t>7</w:t>
      </w:r>
      <w:r w:rsidR="003945DB">
        <w:rPr>
          <w:lang w:val="en-GB"/>
        </w:rPr>
        <w:t>8</w:t>
      </w:r>
    </w:p>
    <w:p w:rsidR="004C7BC9" w:rsidRPr="00A64C6C" w:rsidRDefault="004C7BC9" w:rsidP="004C7BC9">
      <w:pPr>
        <w:pStyle w:val="Seznamobrzk"/>
        <w:tabs>
          <w:tab w:val="right" w:leader="dot" w:pos="9628"/>
        </w:tabs>
        <w:rPr>
          <w:lang w:val="en-GB"/>
        </w:rPr>
      </w:pPr>
      <w:r w:rsidRPr="00A64C6C">
        <w:rPr>
          <w:lang w:val="en-GB"/>
        </w:rPr>
        <w:t>Figure E</w:t>
      </w:r>
      <w:r>
        <w:rPr>
          <w:lang w:val="en-GB"/>
        </w:rPr>
        <w:t>9</w:t>
      </w:r>
      <w:r w:rsidRPr="00A64C6C">
        <w:rPr>
          <w:lang w:val="en-GB"/>
        </w:rPr>
        <w:t xml:space="preserve"> Personal Income Tax forms sent electronically to the Czech Fin</w:t>
      </w:r>
      <w:r>
        <w:rPr>
          <w:lang w:val="en-GB"/>
        </w:rPr>
        <w:t>.</w:t>
      </w:r>
      <w:r w:rsidRPr="00A64C6C">
        <w:rPr>
          <w:lang w:val="en-GB"/>
        </w:rPr>
        <w:t xml:space="preserve"> Administration via EPO</w:t>
      </w:r>
      <w:r>
        <w:rPr>
          <w:lang w:val="en-GB"/>
        </w:rPr>
        <w:t xml:space="preserve"> </w:t>
      </w:r>
      <w:r w:rsidRPr="00A64C6C">
        <w:rPr>
          <w:lang w:val="en-GB"/>
        </w:rPr>
        <w:t>app</w:t>
      </w:r>
      <w:r w:rsidRPr="00A64C6C">
        <w:rPr>
          <w:lang w:val="en-GB"/>
        </w:rPr>
        <w:tab/>
      </w:r>
      <w:r w:rsidR="003945DB">
        <w:rPr>
          <w:lang w:val="en-GB"/>
        </w:rPr>
        <w:t>79</w:t>
      </w:r>
    </w:p>
    <w:p w:rsidR="004C7BC9" w:rsidRPr="00A64C6C" w:rsidRDefault="004C7BC9" w:rsidP="004C7BC9">
      <w:pPr>
        <w:pStyle w:val="Seznamobrzk"/>
        <w:tabs>
          <w:tab w:val="right" w:leader="dot" w:pos="9628"/>
        </w:tabs>
        <w:rPr>
          <w:lang w:val="en-GB"/>
        </w:rPr>
      </w:pPr>
      <w:r w:rsidRPr="00A64C6C">
        <w:rPr>
          <w:lang w:val="en-GB"/>
        </w:rPr>
        <w:t>Figure E</w:t>
      </w:r>
      <w:r>
        <w:rPr>
          <w:lang w:val="en-GB"/>
        </w:rPr>
        <w:t>10</w:t>
      </w:r>
      <w:r w:rsidRPr="00A64C6C">
        <w:rPr>
          <w:lang w:val="en-GB"/>
        </w:rPr>
        <w:t xml:space="preserve"> Corporate Income Tax forms sent electronically to the Czech Fin</w:t>
      </w:r>
      <w:r>
        <w:rPr>
          <w:lang w:val="en-GB"/>
        </w:rPr>
        <w:t>.</w:t>
      </w:r>
      <w:r w:rsidRPr="00A64C6C">
        <w:rPr>
          <w:lang w:val="en-GB"/>
        </w:rPr>
        <w:t xml:space="preserve"> Administration via EPO app</w:t>
      </w:r>
      <w:r w:rsidR="003945DB">
        <w:rPr>
          <w:lang w:val="en-GB"/>
        </w:rPr>
        <w:t>..</w:t>
      </w:r>
      <w:r w:rsidRPr="00A64C6C">
        <w:rPr>
          <w:lang w:val="en-GB"/>
        </w:rPr>
        <w:tab/>
      </w:r>
      <w:r w:rsidR="003945DB">
        <w:rPr>
          <w:lang w:val="en-GB"/>
        </w:rPr>
        <w:t>79</w:t>
      </w:r>
    </w:p>
    <w:p w:rsidR="004C7BC9" w:rsidRDefault="004C7BC9" w:rsidP="004C7BC9">
      <w:pPr>
        <w:pStyle w:val="Seznamobrzk"/>
        <w:tabs>
          <w:tab w:val="right" w:leader="dot" w:pos="9628"/>
        </w:tabs>
        <w:rPr>
          <w:lang w:val="en-GB"/>
        </w:rPr>
      </w:pPr>
      <w:r w:rsidRPr="00A64C6C">
        <w:rPr>
          <w:lang w:val="en-GB"/>
        </w:rPr>
        <w:t>Figure E1</w:t>
      </w:r>
      <w:r>
        <w:rPr>
          <w:lang w:val="en-GB"/>
        </w:rPr>
        <w:t>1</w:t>
      </w:r>
      <w:r w:rsidRPr="00A64C6C">
        <w:rPr>
          <w:lang w:val="en-GB"/>
        </w:rPr>
        <w:t xml:space="preserve"> Individuals in the Czech Republic using the internet for interaction with public authorities</w:t>
      </w:r>
      <w:r w:rsidRPr="00A64C6C">
        <w:rPr>
          <w:lang w:val="en-GB"/>
        </w:rPr>
        <w:tab/>
      </w:r>
      <w:r w:rsidR="003945DB">
        <w:rPr>
          <w:lang w:val="en-GB"/>
        </w:rPr>
        <w:t>80</w:t>
      </w:r>
    </w:p>
    <w:p w:rsidR="004C7BC9" w:rsidRDefault="004C7BC9" w:rsidP="004C7BC9">
      <w:pPr>
        <w:pStyle w:val="Seznamobrzk"/>
        <w:tabs>
          <w:tab w:val="right" w:leader="dot" w:pos="9628"/>
        </w:tabs>
        <w:rPr>
          <w:lang w:val="en-GB"/>
        </w:rPr>
      </w:pPr>
      <w:r w:rsidRPr="00A64C6C">
        <w:rPr>
          <w:lang w:val="en-GB"/>
        </w:rPr>
        <w:t>Figure E1</w:t>
      </w:r>
      <w:r>
        <w:rPr>
          <w:lang w:val="en-GB"/>
        </w:rPr>
        <w:t xml:space="preserve">2 </w:t>
      </w:r>
      <w:r w:rsidRPr="00A64C6C">
        <w:rPr>
          <w:lang w:val="en-GB"/>
        </w:rPr>
        <w:t>Individuals in the Czech Rep</w:t>
      </w:r>
      <w:r>
        <w:rPr>
          <w:lang w:val="en-GB"/>
        </w:rPr>
        <w:t>. aged 16+ using the internet for interac</w:t>
      </w:r>
      <w:r w:rsidR="003945DB">
        <w:rPr>
          <w:lang w:val="en-GB"/>
        </w:rPr>
        <w:t>tion with public autorities ..80</w:t>
      </w:r>
    </w:p>
    <w:p w:rsidR="002C79A7" w:rsidRDefault="004C7BC9" w:rsidP="004C7BC9">
      <w:pPr>
        <w:pStyle w:val="Seznamobrzk"/>
        <w:tabs>
          <w:tab w:val="right" w:leader="dot" w:pos="9628"/>
        </w:tabs>
        <w:rPr>
          <w:lang w:val="en-GB"/>
        </w:rPr>
      </w:pPr>
      <w:r>
        <w:rPr>
          <w:lang w:val="en-GB"/>
        </w:rPr>
        <w:t xml:space="preserve">Figure E13 </w:t>
      </w:r>
      <w:r w:rsidRPr="00A64C6C">
        <w:rPr>
          <w:lang w:val="en-GB"/>
        </w:rPr>
        <w:t>Individuals in EU countries aged 16</w:t>
      </w:r>
      <w:r w:rsidR="00FC0AB6">
        <w:rPr>
          <w:lang w:val="en-GB"/>
        </w:rPr>
        <w:t>–</w:t>
      </w:r>
      <w:r w:rsidRPr="00A64C6C">
        <w:rPr>
          <w:lang w:val="en-GB"/>
        </w:rPr>
        <w:t>74 using the internet for interaction with public authorities</w:t>
      </w:r>
      <w:r w:rsidRPr="00A64C6C">
        <w:rPr>
          <w:lang w:val="en-GB"/>
        </w:rPr>
        <w:tab/>
      </w:r>
      <w:r w:rsidR="003945DB">
        <w:rPr>
          <w:lang w:val="en-GB"/>
        </w:rPr>
        <w:t>81</w:t>
      </w:r>
    </w:p>
    <w:p w:rsidR="002C79A7" w:rsidRDefault="002C79A7">
      <w:pPr>
        <w:spacing w:after="0" w:line="240" w:lineRule="auto"/>
      </w:pPr>
      <w:r>
        <w:br w:type="page"/>
      </w:r>
    </w:p>
    <w:p w:rsidR="004C7BC9" w:rsidRPr="002C567D" w:rsidRDefault="004C7BC9" w:rsidP="004C7BC9">
      <w:pPr>
        <w:pStyle w:val="Seznamobrzk"/>
        <w:tabs>
          <w:tab w:val="right" w:leader="dot" w:pos="9628"/>
        </w:tabs>
        <w:rPr>
          <w:b/>
          <w:bCs/>
          <w:noProof/>
          <w:color w:val="009BB4"/>
          <w:sz w:val="32"/>
          <w:szCs w:val="28"/>
        </w:rPr>
      </w:pPr>
      <w:r w:rsidRPr="00A64C6C">
        <w:rPr>
          <w:lang w:val="en-GB"/>
        </w:rPr>
        <w:lastRenderedPageBreak/>
        <w:fldChar w:fldCharType="end"/>
      </w:r>
      <w:r w:rsidRPr="002C567D">
        <w:rPr>
          <w:b/>
          <w:bCs/>
          <w:noProof/>
          <w:color w:val="009BB4"/>
          <w:sz w:val="32"/>
          <w:szCs w:val="28"/>
        </w:rPr>
        <w:t xml:space="preserve">F </w:t>
      </w:r>
      <w:r>
        <w:rPr>
          <w:b/>
          <w:bCs/>
          <w:noProof/>
          <w:color w:val="009BB4"/>
          <w:sz w:val="32"/>
          <w:szCs w:val="28"/>
        </w:rPr>
        <w:t>Education and ICT</w:t>
      </w:r>
    </w:p>
    <w:p w:rsidR="004C7BC9" w:rsidRDefault="004C7BC9" w:rsidP="004C7BC9">
      <w:pPr>
        <w:pStyle w:val="Seznamobrzk"/>
        <w:tabs>
          <w:tab w:val="right" w:leader="dot" w:pos="9628"/>
        </w:tabs>
        <w:rPr>
          <w:lang w:val="en-GB"/>
        </w:rPr>
      </w:pPr>
    </w:p>
    <w:p w:rsidR="004C7BC9" w:rsidRPr="00A64C6C" w:rsidRDefault="004C7BC9" w:rsidP="004C7BC9">
      <w:pPr>
        <w:pStyle w:val="Seznamobrzk"/>
        <w:tabs>
          <w:tab w:val="right" w:leader="dot" w:pos="9628"/>
        </w:tabs>
        <w:rPr>
          <w:lang w:val="en-GB"/>
        </w:rPr>
      </w:pPr>
      <w:r w:rsidRPr="00A64C6C">
        <w:rPr>
          <w:lang w:val="en-GB"/>
        </w:rPr>
        <w:fldChar w:fldCharType="begin"/>
      </w:r>
      <w:r w:rsidRPr="00A64C6C">
        <w:rPr>
          <w:lang w:val="en-GB"/>
        </w:rPr>
        <w:instrText xml:space="preserve"> TOC \h \z \c "Figure F" </w:instrText>
      </w:r>
      <w:r w:rsidRPr="00A64C6C">
        <w:rPr>
          <w:lang w:val="en-GB"/>
        </w:rPr>
        <w:fldChar w:fldCharType="separate"/>
      </w:r>
      <w:hyperlink w:anchor="_Toc533164363" w:history="1">
        <w:r w:rsidRPr="00A64C6C">
          <w:rPr>
            <w:lang w:val="en-GB"/>
          </w:rPr>
          <w:t>Figure F1 Schools in the Czech Republic with at least 31 Mbit/s internet</w:t>
        </w:r>
        <w:r w:rsidRPr="00A64C6C">
          <w:rPr>
            <w:webHidden/>
            <w:lang w:val="en-GB"/>
          </w:rPr>
          <w:tab/>
        </w:r>
        <w:r w:rsidR="00FC0AB6">
          <w:rPr>
            <w:webHidden/>
            <w:lang w:val="en-GB"/>
          </w:rPr>
          <w:t>82</w:t>
        </w:r>
      </w:hyperlink>
    </w:p>
    <w:p w:rsidR="004C7BC9" w:rsidRPr="00A64C6C" w:rsidRDefault="004E3FD8" w:rsidP="004C7BC9">
      <w:pPr>
        <w:pStyle w:val="Seznamobrzk"/>
        <w:tabs>
          <w:tab w:val="right" w:leader="dot" w:pos="9628"/>
        </w:tabs>
        <w:rPr>
          <w:lang w:val="en-GB"/>
        </w:rPr>
      </w:pPr>
      <w:hyperlink w:anchor="_Toc533164364" w:history="1">
        <w:r w:rsidR="004C7BC9" w:rsidRPr="00A64C6C">
          <w:rPr>
            <w:lang w:val="en-GB"/>
          </w:rPr>
          <w:t>Figure F2 Elementary and secondary schools in the Czech Rep</w:t>
        </w:r>
        <w:r w:rsidR="004C7BC9">
          <w:rPr>
            <w:lang w:val="en-GB"/>
          </w:rPr>
          <w:t>.</w:t>
        </w:r>
        <w:r w:rsidR="00FC0AB6">
          <w:rPr>
            <w:lang w:val="en-GB"/>
          </w:rPr>
          <w:t xml:space="preserve"> with a w</w:t>
        </w:r>
        <w:r w:rsidR="004C7BC9" w:rsidRPr="00A64C6C">
          <w:rPr>
            <w:lang w:val="en-GB"/>
          </w:rPr>
          <w:t>ebsite and Student info system</w:t>
        </w:r>
        <w:r w:rsidR="00FC0AB6">
          <w:rPr>
            <w:lang w:val="en-GB"/>
          </w:rPr>
          <w:t>…82</w:t>
        </w:r>
        <w:r w:rsidR="004C7BC9" w:rsidRPr="00A64C6C">
          <w:rPr>
            <w:webHidden/>
            <w:lang w:val="en-GB"/>
          </w:rPr>
          <w:tab/>
        </w:r>
      </w:hyperlink>
    </w:p>
    <w:p w:rsidR="00FC0AB6" w:rsidRDefault="004E3FD8" w:rsidP="004C7BC9">
      <w:pPr>
        <w:pStyle w:val="Seznamobrzk"/>
        <w:tabs>
          <w:tab w:val="right" w:leader="dot" w:pos="9628"/>
        </w:tabs>
        <w:rPr>
          <w:lang w:val="en-GB"/>
        </w:rPr>
      </w:pPr>
      <w:hyperlink w:anchor="_Toc533164365" w:history="1">
        <w:r w:rsidR="004C7BC9" w:rsidRPr="00A64C6C">
          <w:rPr>
            <w:lang w:val="en-GB"/>
          </w:rPr>
          <w:t xml:space="preserve">Figure F3 </w:t>
        </w:r>
        <w:r w:rsidR="00FC0AB6">
          <w:rPr>
            <w:lang w:val="en-GB"/>
          </w:rPr>
          <w:t>N</w:t>
        </w:r>
        <w:r w:rsidR="004C7BC9" w:rsidRPr="00A64C6C">
          <w:rPr>
            <w:lang w:val="en-GB"/>
          </w:rPr>
          <w:t>umber of laptops with internet access per 100 students in the Czech Republic</w:t>
        </w:r>
        <w:r w:rsidR="004C7BC9" w:rsidRPr="00A64C6C">
          <w:rPr>
            <w:webHidden/>
            <w:lang w:val="en-GB"/>
          </w:rPr>
          <w:tab/>
        </w:r>
        <w:r w:rsidR="00FC0AB6">
          <w:rPr>
            <w:webHidden/>
            <w:lang w:val="en-GB"/>
          </w:rPr>
          <w:t>83</w:t>
        </w:r>
      </w:hyperlink>
    </w:p>
    <w:p w:rsidR="004C7BC9" w:rsidRPr="00A64C6C" w:rsidRDefault="004E3FD8" w:rsidP="004C7BC9">
      <w:pPr>
        <w:pStyle w:val="Seznamobrzk"/>
        <w:tabs>
          <w:tab w:val="right" w:leader="dot" w:pos="9628"/>
        </w:tabs>
        <w:rPr>
          <w:lang w:val="en-GB"/>
        </w:rPr>
      </w:pPr>
      <w:hyperlink w:anchor="_Toc533164366" w:history="1">
        <w:r w:rsidR="004C7BC9" w:rsidRPr="00A64C6C">
          <w:rPr>
            <w:lang w:val="en-GB"/>
          </w:rPr>
          <w:t xml:space="preserve">Figure F4 </w:t>
        </w:r>
        <w:r w:rsidR="00FC0AB6">
          <w:rPr>
            <w:lang w:val="en-GB"/>
          </w:rPr>
          <w:t>N</w:t>
        </w:r>
        <w:r w:rsidR="004C7BC9" w:rsidRPr="00A64C6C">
          <w:rPr>
            <w:lang w:val="en-GB"/>
          </w:rPr>
          <w:t>umber of tablets per 100 students in the Czech Republic</w:t>
        </w:r>
        <w:r w:rsidR="004C7BC9" w:rsidRPr="00A64C6C">
          <w:rPr>
            <w:webHidden/>
            <w:lang w:val="en-GB"/>
          </w:rPr>
          <w:tab/>
        </w:r>
        <w:r w:rsidR="00FC0AB6">
          <w:rPr>
            <w:webHidden/>
            <w:lang w:val="en-GB"/>
          </w:rPr>
          <w:t>8</w:t>
        </w:r>
      </w:hyperlink>
      <w:r w:rsidR="00FC0AB6">
        <w:rPr>
          <w:lang w:val="en-GB"/>
        </w:rPr>
        <w:t>3</w:t>
      </w:r>
    </w:p>
    <w:p w:rsidR="00FC0AB6" w:rsidRDefault="004E3FD8" w:rsidP="004C7BC9">
      <w:pPr>
        <w:pStyle w:val="Seznamobrzk"/>
        <w:tabs>
          <w:tab w:val="right" w:leader="dot" w:pos="9628"/>
        </w:tabs>
        <w:rPr>
          <w:lang w:val="en-GB"/>
        </w:rPr>
      </w:pPr>
      <w:hyperlink w:anchor="_Toc533164367" w:history="1">
        <w:r w:rsidR="004C7BC9" w:rsidRPr="00A64C6C">
          <w:rPr>
            <w:lang w:val="en-GB"/>
          </w:rPr>
          <w:t>Figure F5 Computers available to students in Czech schools by type of device</w:t>
        </w:r>
        <w:r w:rsidR="004C7BC9" w:rsidRPr="00A64C6C">
          <w:rPr>
            <w:webHidden/>
            <w:lang w:val="en-GB"/>
          </w:rPr>
          <w:tab/>
        </w:r>
        <w:r w:rsidR="00FC0AB6">
          <w:rPr>
            <w:webHidden/>
            <w:lang w:val="en-GB"/>
          </w:rPr>
          <w:t>83</w:t>
        </w:r>
      </w:hyperlink>
    </w:p>
    <w:p w:rsidR="004C7BC9" w:rsidRPr="00A64C6C" w:rsidRDefault="004E3FD8" w:rsidP="004C7BC9">
      <w:pPr>
        <w:pStyle w:val="Seznamobrzk"/>
        <w:tabs>
          <w:tab w:val="right" w:leader="dot" w:pos="9628"/>
        </w:tabs>
        <w:rPr>
          <w:lang w:val="en-GB"/>
        </w:rPr>
      </w:pPr>
      <w:hyperlink w:anchor="_Toc533164368" w:history="1">
        <w:r w:rsidR="004C7BC9" w:rsidRPr="00A64C6C">
          <w:rPr>
            <w:lang w:val="en-GB"/>
          </w:rPr>
          <w:t>Figure F6 Computers available to students in Czech schools by the age of devices</w:t>
        </w:r>
        <w:r w:rsidR="004C7BC9" w:rsidRPr="00A64C6C">
          <w:rPr>
            <w:webHidden/>
            <w:lang w:val="en-GB"/>
          </w:rPr>
          <w:tab/>
        </w:r>
        <w:r w:rsidR="00FC0AB6">
          <w:rPr>
            <w:webHidden/>
            <w:lang w:val="en-GB"/>
          </w:rPr>
          <w:t>83</w:t>
        </w:r>
      </w:hyperlink>
    </w:p>
    <w:p w:rsidR="004C7BC9" w:rsidRPr="00A64C6C" w:rsidRDefault="004E3FD8" w:rsidP="004C7BC9">
      <w:pPr>
        <w:pStyle w:val="Seznamobrzk"/>
        <w:tabs>
          <w:tab w:val="right" w:leader="dot" w:pos="9628"/>
        </w:tabs>
        <w:rPr>
          <w:lang w:val="en-GB"/>
        </w:rPr>
      </w:pPr>
      <w:hyperlink w:anchor="_Toc533164369" w:history="1">
        <w:r w:rsidR="004C7BC9" w:rsidRPr="00A64C6C">
          <w:rPr>
            <w:lang w:val="en-GB"/>
          </w:rPr>
          <w:t>Figure F7 15 years old students in EU countries with the Internet access at school</w:t>
        </w:r>
        <w:r w:rsidR="004C7BC9" w:rsidRPr="00A64C6C">
          <w:rPr>
            <w:webHidden/>
            <w:lang w:val="en-GB"/>
          </w:rPr>
          <w:tab/>
        </w:r>
        <w:r w:rsidR="00FC0AB6">
          <w:rPr>
            <w:webHidden/>
            <w:lang w:val="en-GB"/>
          </w:rPr>
          <w:t>84</w:t>
        </w:r>
      </w:hyperlink>
    </w:p>
    <w:p w:rsidR="004C7BC9" w:rsidRPr="00A64C6C" w:rsidRDefault="004E3FD8" w:rsidP="004C7BC9">
      <w:pPr>
        <w:pStyle w:val="Seznamobrzk"/>
        <w:tabs>
          <w:tab w:val="right" w:leader="dot" w:pos="9628"/>
        </w:tabs>
        <w:rPr>
          <w:lang w:val="en-GB"/>
        </w:rPr>
      </w:pPr>
      <w:hyperlink w:anchor="_Toc533164370" w:history="1">
        <w:r w:rsidR="004C7BC9" w:rsidRPr="00A64C6C">
          <w:rPr>
            <w:lang w:val="en-GB"/>
          </w:rPr>
          <w:t>Figure F8 Students and individuals in the Czech Rep</w:t>
        </w:r>
        <w:r w:rsidR="004C7BC9">
          <w:rPr>
            <w:lang w:val="en-GB"/>
          </w:rPr>
          <w:t>.</w:t>
        </w:r>
        <w:r w:rsidR="004C7BC9" w:rsidRPr="00A64C6C">
          <w:rPr>
            <w:lang w:val="en-GB"/>
          </w:rPr>
          <w:t xml:space="preserve"> aged 16+ using the internet for selected activities</w:t>
        </w:r>
        <w:r w:rsidR="004C7BC9" w:rsidRPr="00A64C6C">
          <w:rPr>
            <w:webHidden/>
            <w:lang w:val="en-GB"/>
          </w:rPr>
          <w:tab/>
        </w:r>
        <w:r w:rsidR="00FC0AB6">
          <w:rPr>
            <w:webHidden/>
            <w:lang w:val="en-GB"/>
          </w:rPr>
          <w:t>85</w:t>
        </w:r>
      </w:hyperlink>
    </w:p>
    <w:p w:rsidR="004C7BC9" w:rsidRPr="00A64C6C" w:rsidRDefault="004E3FD8" w:rsidP="004C7BC9">
      <w:pPr>
        <w:pStyle w:val="Seznamobrzk"/>
        <w:tabs>
          <w:tab w:val="right" w:leader="dot" w:pos="9628"/>
        </w:tabs>
        <w:rPr>
          <w:lang w:val="en-GB"/>
        </w:rPr>
      </w:pPr>
      <w:hyperlink w:anchor="_Toc533164371" w:history="1">
        <w:r w:rsidR="004C7BC9" w:rsidRPr="00A64C6C">
          <w:rPr>
            <w:lang w:val="en-GB"/>
          </w:rPr>
          <w:t>Figure F9 Students and individuals in the Czech Rep</w:t>
        </w:r>
        <w:r w:rsidR="004C7BC9">
          <w:rPr>
            <w:lang w:val="en-GB"/>
          </w:rPr>
          <w:t>.</w:t>
        </w:r>
        <w:r w:rsidR="004C7BC9" w:rsidRPr="00A64C6C">
          <w:rPr>
            <w:lang w:val="en-GB"/>
          </w:rPr>
          <w:t xml:space="preserve"> using internet on mobile phone by type of network</w:t>
        </w:r>
        <w:r w:rsidR="004C7BC9" w:rsidRPr="00A64C6C">
          <w:rPr>
            <w:webHidden/>
            <w:lang w:val="en-GB"/>
          </w:rPr>
          <w:tab/>
        </w:r>
        <w:r w:rsidR="00FC0AB6">
          <w:rPr>
            <w:webHidden/>
            <w:lang w:val="en-GB"/>
          </w:rPr>
          <w:t>85</w:t>
        </w:r>
      </w:hyperlink>
    </w:p>
    <w:p w:rsidR="004C7BC9" w:rsidRPr="00A64C6C" w:rsidRDefault="004E3FD8" w:rsidP="004C7BC9">
      <w:pPr>
        <w:pStyle w:val="Seznamobrzk"/>
        <w:tabs>
          <w:tab w:val="right" w:leader="dot" w:pos="9628"/>
        </w:tabs>
        <w:rPr>
          <w:lang w:val="en-GB"/>
        </w:rPr>
      </w:pPr>
      <w:hyperlink w:anchor="_Toc533164372" w:history="1">
        <w:r w:rsidR="004C7BC9" w:rsidRPr="00A64C6C">
          <w:rPr>
            <w:lang w:val="en-GB"/>
          </w:rPr>
          <w:t>Figure F10 Word processing software use in the Czech Republic</w:t>
        </w:r>
        <w:r w:rsidR="004C7BC9" w:rsidRPr="00A64C6C">
          <w:rPr>
            <w:webHidden/>
            <w:lang w:val="en-GB"/>
          </w:rPr>
          <w:tab/>
        </w:r>
        <w:r w:rsidR="00FC0AB6">
          <w:rPr>
            <w:webHidden/>
            <w:lang w:val="en-GB"/>
          </w:rPr>
          <w:t>87</w:t>
        </w:r>
      </w:hyperlink>
    </w:p>
    <w:p w:rsidR="004C7BC9" w:rsidRPr="00A64C6C" w:rsidRDefault="004E3FD8" w:rsidP="004C7BC9">
      <w:pPr>
        <w:pStyle w:val="Seznamobrzk"/>
        <w:tabs>
          <w:tab w:val="right" w:leader="dot" w:pos="9628"/>
        </w:tabs>
        <w:rPr>
          <w:lang w:val="en-GB"/>
        </w:rPr>
      </w:pPr>
      <w:hyperlink w:anchor="_Toc533164373" w:history="1">
        <w:r w:rsidR="004C7BC9" w:rsidRPr="00A64C6C">
          <w:rPr>
            <w:lang w:val="en-GB"/>
          </w:rPr>
          <w:t xml:space="preserve">Figure F11 </w:t>
        </w:r>
        <w:r w:rsidR="00FC0AB6">
          <w:rPr>
            <w:lang w:val="en-GB"/>
          </w:rPr>
          <w:t>Use of p</w:t>
        </w:r>
        <w:r w:rsidR="004C7BC9" w:rsidRPr="00A64C6C">
          <w:rPr>
            <w:lang w:val="en-GB"/>
          </w:rPr>
          <w:t>rogramming</w:t>
        </w:r>
        <w:r w:rsidR="00FC0AB6">
          <w:rPr>
            <w:lang w:val="en-GB"/>
          </w:rPr>
          <w:t xml:space="preserve"> by individuals</w:t>
        </w:r>
        <w:r w:rsidR="004C7BC9" w:rsidRPr="00A64C6C">
          <w:rPr>
            <w:lang w:val="en-GB"/>
          </w:rPr>
          <w:t xml:space="preserve"> in the Czech Republic</w:t>
        </w:r>
        <w:r w:rsidR="004C7BC9" w:rsidRPr="00A64C6C">
          <w:rPr>
            <w:webHidden/>
            <w:lang w:val="en-GB"/>
          </w:rPr>
          <w:tab/>
        </w:r>
        <w:r w:rsidR="00FC0AB6">
          <w:rPr>
            <w:webHidden/>
            <w:lang w:val="en-GB"/>
          </w:rPr>
          <w:t>87</w:t>
        </w:r>
      </w:hyperlink>
    </w:p>
    <w:p w:rsidR="004C7BC9" w:rsidRPr="00A64C6C" w:rsidRDefault="004E3FD8" w:rsidP="004C7BC9">
      <w:pPr>
        <w:pStyle w:val="Seznamobrzk"/>
        <w:tabs>
          <w:tab w:val="right" w:leader="dot" w:pos="9628"/>
        </w:tabs>
        <w:rPr>
          <w:lang w:val="en-GB"/>
        </w:rPr>
      </w:pPr>
      <w:hyperlink w:anchor="_Toc533164374" w:history="1">
        <w:r w:rsidR="004C7BC9" w:rsidRPr="00A64C6C">
          <w:rPr>
            <w:lang w:val="en-GB"/>
          </w:rPr>
          <w:t>Figure F12 Individuals aged 16</w:t>
        </w:r>
        <w:r w:rsidR="00FC0AB6">
          <w:rPr>
            <w:lang w:val="en-GB"/>
          </w:rPr>
          <w:t>–</w:t>
        </w:r>
        <w:r w:rsidR="004C7BC9" w:rsidRPr="00A64C6C">
          <w:rPr>
            <w:lang w:val="en-GB"/>
          </w:rPr>
          <w:t>74 in EU countries who used spreadsheet software</w:t>
        </w:r>
        <w:r w:rsidR="004C7BC9" w:rsidRPr="00A64C6C">
          <w:rPr>
            <w:webHidden/>
            <w:lang w:val="en-GB"/>
          </w:rPr>
          <w:tab/>
        </w:r>
        <w:r w:rsidR="00FC0AB6">
          <w:rPr>
            <w:webHidden/>
            <w:lang w:val="en-GB"/>
          </w:rPr>
          <w:t>87</w:t>
        </w:r>
      </w:hyperlink>
    </w:p>
    <w:p w:rsidR="004C7BC9" w:rsidRPr="00A64C6C" w:rsidRDefault="004E3FD8" w:rsidP="004C7BC9">
      <w:pPr>
        <w:pStyle w:val="Seznamobrzk"/>
        <w:tabs>
          <w:tab w:val="right" w:leader="dot" w:pos="9628"/>
        </w:tabs>
        <w:rPr>
          <w:lang w:val="en-GB"/>
        </w:rPr>
      </w:pPr>
      <w:hyperlink w:anchor="_Toc533164375" w:history="1">
        <w:r w:rsidR="004C7BC9" w:rsidRPr="00A64C6C">
          <w:rPr>
            <w:lang w:val="en-GB"/>
          </w:rPr>
          <w:t>Figure F13 University students of ICT field of education in the Czech Republic</w:t>
        </w:r>
        <w:r w:rsidR="004C7BC9" w:rsidRPr="00A64C6C">
          <w:rPr>
            <w:webHidden/>
            <w:lang w:val="en-GB"/>
          </w:rPr>
          <w:tab/>
        </w:r>
        <w:r w:rsidR="00FC0AB6">
          <w:rPr>
            <w:webHidden/>
            <w:lang w:val="en-GB"/>
          </w:rPr>
          <w:t>88</w:t>
        </w:r>
      </w:hyperlink>
    </w:p>
    <w:p w:rsidR="004C7BC9" w:rsidRDefault="004E3FD8" w:rsidP="004C7BC9">
      <w:pPr>
        <w:pStyle w:val="Seznamobrzk"/>
        <w:tabs>
          <w:tab w:val="right" w:leader="dot" w:pos="9628"/>
        </w:tabs>
        <w:rPr>
          <w:lang w:val="en-GB"/>
        </w:rPr>
      </w:pPr>
      <w:hyperlink w:anchor="_Toc533164376" w:history="1">
        <w:r w:rsidR="004C7BC9" w:rsidRPr="00A64C6C">
          <w:rPr>
            <w:lang w:val="en-GB"/>
          </w:rPr>
          <w:t xml:space="preserve">Figure F14 University students of ICT </w:t>
        </w:r>
        <w:r w:rsidR="00FC0AB6">
          <w:rPr>
            <w:lang w:val="en-GB"/>
          </w:rPr>
          <w:t xml:space="preserve">field of education </w:t>
        </w:r>
        <w:r w:rsidR="004C7BC9" w:rsidRPr="00A64C6C">
          <w:rPr>
            <w:lang w:val="en-GB"/>
          </w:rPr>
          <w:t>in the Czech Republic by sex</w:t>
        </w:r>
        <w:r w:rsidR="004C7BC9" w:rsidRPr="00A64C6C">
          <w:rPr>
            <w:webHidden/>
            <w:lang w:val="en-GB"/>
          </w:rPr>
          <w:tab/>
        </w:r>
        <w:r w:rsidR="00FC0AB6">
          <w:rPr>
            <w:webHidden/>
            <w:lang w:val="en-GB"/>
          </w:rPr>
          <w:t>88</w:t>
        </w:r>
      </w:hyperlink>
    </w:p>
    <w:p w:rsidR="004C7BC9" w:rsidRPr="00A64C6C" w:rsidRDefault="004E3FD8" w:rsidP="004C7BC9">
      <w:pPr>
        <w:pStyle w:val="Seznamobrzk"/>
        <w:tabs>
          <w:tab w:val="right" w:leader="dot" w:pos="9628"/>
        </w:tabs>
        <w:rPr>
          <w:lang w:val="en-GB"/>
        </w:rPr>
      </w:pPr>
      <w:hyperlink w:anchor="_Toc533164376" w:history="1">
        <w:r w:rsidR="004C7BC9" w:rsidRPr="00A64C6C">
          <w:rPr>
            <w:lang w:val="en-GB"/>
          </w:rPr>
          <w:t>Figure F1</w:t>
        </w:r>
        <w:r w:rsidR="004C7BC9">
          <w:rPr>
            <w:lang w:val="en-GB"/>
          </w:rPr>
          <w:t>5</w:t>
        </w:r>
        <w:r w:rsidR="004C7BC9" w:rsidRPr="00A64C6C">
          <w:rPr>
            <w:lang w:val="en-GB"/>
          </w:rPr>
          <w:t xml:space="preserve"> </w:t>
        </w:r>
        <w:r w:rsidR="004C7BC9">
          <w:rPr>
            <w:lang w:val="en-GB"/>
          </w:rPr>
          <w:t>ICT specialists in the Czech Republic</w:t>
        </w:r>
        <w:r w:rsidR="004C7BC9" w:rsidRPr="00A64C6C">
          <w:rPr>
            <w:webHidden/>
            <w:lang w:val="en-GB"/>
          </w:rPr>
          <w:tab/>
        </w:r>
        <w:r w:rsidR="004C7BC9">
          <w:rPr>
            <w:webHidden/>
            <w:lang w:val="en-GB"/>
          </w:rPr>
          <w:t>8</w:t>
        </w:r>
      </w:hyperlink>
      <w:r w:rsidR="00FC0AB6">
        <w:rPr>
          <w:lang w:val="en-GB"/>
        </w:rPr>
        <w:t>9</w:t>
      </w:r>
    </w:p>
    <w:p w:rsidR="004C7BC9" w:rsidRDefault="004E3FD8" w:rsidP="004C7BC9">
      <w:pPr>
        <w:pStyle w:val="Seznamobrzk"/>
        <w:tabs>
          <w:tab w:val="right" w:leader="dot" w:pos="9628"/>
        </w:tabs>
        <w:rPr>
          <w:lang w:val="en-GB"/>
        </w:rPr>
      </w:pPr>
      <w:hyperlink w:anchor="_Toc533164377" w:history="1">
        <w:r w:rsidR="004C7BC9" w:rsidRPr="00A64C6C">
          <w:rPr>
            <w:lang w:val="en-GB"/>
          </w:rPr>
          <w:t>Figure F1</w:t>
        </w:r>
        <w:r w:rsidR="004C7BC9">
          <w:rPr>
            <w:lang w:val="en-GB"/>
          </w:rPr>
          <w:t>6</w:t>
        </w:r>
        <w:r w:rsidR="004C7BC9" w:rsidRPr="00A64C6C">
          <w:rPr>
            <w:lang w:val="en-GB"/>
          </w:rPr>
          <w:t xml:space="preserve"> Earnings of men and women ICT specialists</w:t>
        </w:r>
        <w:r w:rsidR="00FC0AB6">
          <w:rPr>
            <w:lang w:val="en-GB"/>
          </w:rPr>
          <w:t xml:space="preserve"> in the Czech Republic</w:t>
        </w:r>
        <w:r w:rsidR="004C7BC9" w:rsidRPr="00A64C6C">
          <w:rPr>
            <w:webHidden/>
            <w:lang w:val="en-GB"/>
          </w:rPr>
          <w:tab/>
        </w:r>
        <w:r w:rsidR="00FC0AB6">
          <w:rPr>
            <w:webHidden/>
            <w:lang w:val="en-GB"/>
          </w:rPr>
          <w:t>89</w:t>
        </w:r>
      </w:hyperlink>
    </w:p>
    <w:p w:rsidR="004C7BC9" w:rsidRPr="002C567D" w:rsidRDefault="004C7BC9" w:rsidP="004C7BC9">
      <w:pPr>
        <w:spacing w:after="0"/>
        <w:rPr>
          <w:rFonts w:eastAsiaTheme="minorEastAsia"/>
        </w:rPr>
      </w:pPr>
    </w:p>
    <w:p w:rsidR="004C7BC9" w:rsidRDefault="004C7BC9" w:rsidP="004C7BC9">
      <w:pPr>
        <w:pStyle w:val="Seznamobrzk"/>
        <w:tabs>
          <w:tab w:val="right" w:leader="dot" w:pos="9628"/>
        </w:tabs>
        <w:rPr>
          <w:lang w:val="en-GB"/>
        </w:rPr>
      </w:pPr>
      <w:r w:rsidRPr="00A64C6C">
        <w:rPr>
          <w:lang w:val="en-GB"/>
        </w:rPr>
        <w:fldChar w:fldCharType="end"/>
      </w:r>
      <w:r w:rsidRPr="00A64C6C">
        <w:rPr>
          <w:lang w:val="en-GB"/>
        </w:rPr>
        <w:fldChar w:fldCharType="end"/>
      </w:r>
      <w:r>
        <w:rPr>
          <w:b/>
          <w:bCs/>
          <w:noProof/>
          <w:color w:val="009BB4"/>
          <w:sz w:val="32"/>
          <w:szCs w:val="28"/>
        </w:rPr>
        <w:t>G Health and ICT</w:t>
      </w:r>
      <w:r>
        <w:fldChar w:fldCharType="end"/>
      </w:r>
    </w:p>
    <w:p w:rsidR="004C7BC9" w:rsidRDefault="004C7BC9" w:rsidP="004C7BC9">
      <w:pPr>
        <w:pStyle w:val="Seznamobrzk"/>
        <w:tabs>
          <w:tab w:val="right" w:leader="dot" w:pos="9628"/>
        </w:tabs>
        <w:rPr>
          <w:lang w:val="en-GB"/>
        </w:rPr>
      </w:pPr>
    </w:p>
    <w:p w:rsidR="004C7BC9" w:rsidRPr="002C567D" w:rsidRDefault="004C7BC9" w:rsidP="004C7BC9">
      <w:pPr>
        <w:pStyle w:val="Seznamobrzk"/>
        <w:tabs>
          <w:tab w:val="right" w:leader="dot" w:pos="9628"/>
        </w:tabs>
        <w:rPr>
          <w:lang w:val="en-GB"/>
        </w:rPr>
      </w:pPr>
      <w:r w:rsidRPr="002C567D">
        <w:rPr>
          <w:lang w:val="en-GB"/>
        </w:rPr>
        <w:t>Figure G1 Independent physicians in the Czech Rep. with internet in their medical office and a website</w:t>
      </w:r>
      <w:r w:rsidRPr="002C567D">
        <w:rPr>
          <w:lang w:val="en-GB"/>
        </w:rPr>
        <w:tab/>
      </w:r>
      <w:r w:rsidR="00FC0AB6">
        <w:rPr>
          <w:lang w:val="en-GB"/>
        </w:rPr>
        <w:t>90</w:t>
      </w:r>
    </w:p>
    <w:p w:rsidR="004C7BC9" w:rsidRPr="002C567D" w:rsidRDefault="004C7BC9" w:rsidP="004C7BC9">
      <w:pPr>
        <w:pStyle w:val="Seznamobrzk"/>
        <w:tabs>
          <w:tab w:val="right" w:leader="dot" w:pos="9628"/>
        </w:tabs>
        <w:rPr>
          <w:lang w:val="en-GB"/>
        </w:rPr>
      </w:pPr>
      <w:r w:rsidRPr="002C567D">
        <w:rPr>
          <w:lang w:val="en-GB"/>
        </w:rPr>
        <w:t>Figure G2 Independent physicians in the Czech Republic with a website by type of practice</w:t>
      </w:r>
      <w:r w:rsidRPr="002C567D">
        <w:rPr>
          <w:lang w:val="en-GB"/>
        </w:rPr>
        <w:tab/>
      </w:r>
      <w:r w:rsidR="00FC0AB6">
        <w:rPr>
          <w:lang w:val="en-GB"/>
        </w:rPr>
        <w:t>90</w:t>
      </w:r>
    </w:p>
    <w:p w:rsidR="004C7BC9" w:rsidRPr="002C567D" w:rsidRDefault="004C7BC9" w:rsidP="004C7BC9">
      <w:pPr>
        <w:pStyle w:val="Seznamobrzk"/>
        <w:tabs>
          <w:tab w:val="right" w:leader="dot" w:pos="9628"/>
        </w:tabs>
        <w:rPr>
          <w:lang w:val="en-GB"/>
        </w:rPr>
      </w:pPr>
      <w:r w:rsidRPr="002C567D">
        <w:rPr>
          <w:lang w:val="en-GB"/>
        </w:rPr>
        <w:t>Figure G3 Independent physicians in the Czech Rep. with a website app for making online appointment</w:t>
      </w:r>
      <w:r w:rsidRPr="002C567D">
        <w:rPr>
          <w:lang w:val="en-GB"/>
        </w:rPr>
        <w:tab/>
      </w:r>
      <w:r w:rsidR="00FC0AB6">
        <w:rPr>
          <w:lang w:val="en-GB"/>
        </w:rPr>
        <w:t>92</w:t>
      </w:r>
    </w:p>
    <w:p w:rsidR="004C7BC9" w:rsidRPr="002C567D" w:rsidRDefault="004C7BC9" w:rsidP="004C7BC9">
      <w:pPr>
        <w:pStyle w:val="Seznamobrzk"/>
        <w:tabs>
          <w:tab w:val="right" w:leader="dot" w:pos="9628"/>
        </w:tabs>
        <w:rPr>
          <w:lang w:val="en-GB"/>
        </w:rPr>
      </w:pPr>
      <w:r w:rsidRPr="002C567D">
        <w:rPr>
          <w:lang w:val="en-GB"/>
        </w:rPr>
        <w:t>Figure G4 Independent physicians in the Czech Rep. with a website app for making online consultation</w:t>
      </w:r>
      <w:r w:rsidRPr="002C567D">
        <w:rPr>
          <w:lang w:val="en-GB"/>
        </w:rPr>
        <w:tab/>
      </w:r>
      <w:r w:rsidR="00FC0AB6">
        <w:rPr>
          <w:lang w:val="en-GB"/>
        </w:rPr>
        <w:t>92</w:t>
      </w:r>
    </w:p>
    <w:p w:rsidR="004C7BC9" w:rsidRPr="002C567D" w:rsidRDefault="004C7BC9" w:rsidP="004C7BC9">
      <w:pPr>
        <w:pStyle w:val="Seznamobrzk"/>
        <w:tabs>
          <w:tab w:val="right" w:leader="dot" w:pos="9628"/>
        </w:tabs>
        <w:rPr>
          <w:lang w:val="en-GB"/>
        </w:rPr>
      </w:pPr>
      <w:r w:rsidRPr="002C567D">
        <w:rPr>
          <w:lang w:val="en-GB"/>
        </w:rPr>
        <w:t>Figure G5 Independent physicians in the Czech Republic keeping health records electronically</w:t>
      </w:r>
      <w:r w:rsidRPr="002C567D">
        <w:rPr>
          <w:lang w:val="en-GB"/>
        </w:rPr>
        <w:tab/>
      </w:r>
      <w:r w:rsidR="00FC0AB6">
        <w:rPr>
          <w:lang w:val="en-GB"/>
        </w:rPr>
        <w:t>93</w:t>
      </w:r>
    </w:p>
    <w:p w:rsidR="004C7BC9" w:rsidRPr="002C567D" w:rsidRDefault="004C7BC9" w:rsidP="004C7BC9">
      <w:pPr>
        <w:pStyle w:val="Seznamobrzk"/>
        <w:tabs>
          <w:tab w:val="right" w:leader="dot" w:pos="9628"/>
        </w:tabs>
        <w:rPr>
          <w:lang w:val="en-GB"/>
        </w:rPr>
      </w:pPr>
      <w:r w:rsidRPr="002C567D">
        <w:rPr>
          <w:lang w:val="en-GB"/>
        </w:rPr>
        <w:t>Figure G6 Independent physicians in the Czech Republic keeping health records in paper form</w:t>
      </w:r>
      <w:r w:rsidRPr="002C567D">
        <w:rPr>
          <w:lang w:val="en-GB"/>
        </w:rPr>
        <w:tab/>
      </w:r>
      <w:r w:rsidR="00FC0AB6">
        <w:rPr>
          <w:lang w:val="en-GB"/>
        </w:rPr>
        <w:t>93</w:t>
      </w:r>
    </w:p>
    <w:p w:rsidR="004C7BC9" w:rsidRPr="002C567D" w:rsidRDefault="004C7BC9" w:rsidP="004C7BC9">
      <w:pPr>
        <w:pStyle w:val="Seznamobrzk"/>
        <w:tabs>
          <w:tab w:val="right" w:leader="dot" w:pos="9628"/>
        </w:tabs>
        <w:rPr>
          <w:lang w:val="en-GB"/>
        </w:rPr>
      </w:pPr>
      <w:r w:rsidRPr="002C567D">
        <w:rPr>
          <w:lang w:val="en-GB"/>
        </w:rPr>
        <w:t>Figure G7 Independent physicians in the Czech Rep. using selected functions of their el. health systems</w:t>
      </w:r>
      <w:r w:rsidRPr="002C567D">
        <w:rPr>
          <w:lang w:val="en-GB"/>
        </w:rPr>
        <w:tab/>
        <w:t>9</w:t>
      </w:r>
      <w:r w:rsidR="00FC0AB6">
        <w:rPr>
          <w:lang w:val="en-GB"/>
        </w:rPr>
        <w:t>4</w:t>
      </w:r>
    </w:p>
    <w:p w:rsidR="004C7BC9" w:rsidRPr="002C567D" w:rsidRDefault="004C7BC9" w:rsidP="004C7BC9">
      <w:pPr>
        <w:pStyle w:val="Seznamobrzk"/>
        <w:tabs>
          <w:tab w:val="right" w:leader="dot" w:pos="9628"/>
        </w:tabs>
        <w:rPr>
          <w:lang w:val="en-GB"/>
        </w:rPr>
      </w:pPr>
      <w:r w:rsidRPr="002C567D">
        <w:rPr>
          <w:lang w:val="en-GB"/>
        </w:rPr>
        <w:t>Figure G8 Independent physicians in the Czech Republic with electronic health system enabling to generate selected patient records</w:t>
      </w:r>
      <w:r w:rsidRPr="002C567D">
        <w:rPr>
          <w:lang w:val="en-GB"/>
        </w:rPr>
        <w:tab/>
        <w:t>9</w:t>
      </w:r>
      <w:r w:rsidR="00FC0AB6">
        <w:rPr>
          <w:lang w:val="en-GB"/>
        </w:rPr>
        <w:t>4</w:t>
      </w:r>
    </w:p>
    <w:p w:rsidR="004C7BC9" w:rsidRPr="002C567D" w:rsidRDefault="004C7BC9" w:rsidP="004C7BC9">
      <w:pPr>
        <w:pStyle w:val="Seznamobrzk"/>
        <w:tabs>
          <w:tab w:val="right" w:leader="dot" w:pos="9628"/>
        </w:tabs>
        <w:rPr>
          <w:lang w:val="en-GB"/>
        </w:rPr>
      </w:pPr>
      <w:r w:rsidRPr="002C567D">
        <w:rPr>
          <w:lang w:val="en-GB"/>
        </w:rPr>
        <w:t>Figure G9 Individuals in the Czech Republic using the internet for seeking health-related information</w:t>
      </w:r>
      <w:r w:rsidRPr="002C567D">
        <w:rPr>
          <w:lang w:val="en-GB"/>
        </w:rPr>
        <w:tab/>
        <w:t>9</w:t>
      </w:r>
      <w:r w:rsidR="00FC0AB6">
        <w:rPr>
          <w:lang w:val="en-GB"/>
        </w:rPr>
        <w:t>5</w:t>
      </w:r>
    </w:p>
    <w:p w:rsidR="004C7BC9" w:rsidRPr="002C567D" w:rsidRDefault="004C7BC9" w:rsidP="004C7BC9">
      <w:pPr>
        <w:pStyle w:val="Seznamobrzk"/>
        <w:tabs>
          <w:tab w:val="right" w:leader="dot" w:pos="9628"/>
        </w:tabs>
        <w:rPr>
          <w:lang w:val="en-GB"/>
        </w:rPr>
      </w:pPr>
      <w:r w:rsidRPr="002C567D">
        <w:rPr>
          <w:lang w:val="en-GB"/>
        </w:rPr>
        <w:t>Figure G10 Individuals in the Czech Republic looking for health related information</w:t>
      </w:r>
      <w:r w:rsidRPr="002C567D">
        <w:rPr>
          <w:lang w:val="en-GB"/>
        </w:rPr>
        <w:tab/>
        <w:t>9</w:t>
      </w:r>
      <w:r w:rsidR="00FC0AB6">
        <w:rPr>
          <w:lang w:val="en-GB"/>
        </w:rPr>
        <w:t>5</w:t>
      </w:r>
    </w:p>
    <w:p w:rsidR="004C7BC9" w:rsidRPr="002C567D" w:rsidRDefault="004C7BC9" w:rsidP="004C7BC9">
      <w:pPr>
        <w:pStyle w:val="Seznamobrzk"/>
        <w:tabs>
          <w:tab w:val="right" w:leader="dot" w:pos="9628"/>
        </w:tabs>
        <w:rPr>
          <w:lang w:val="en-GB"/>
        </w:rPr>
      </w:pPr>
      <w:r w:rsidRPr="002C567D">
        <w:rPr>
          <w:lang w:val="en-GB"/>
        </w:rPr>
        <w:t>Figure G11 Individuals in EU countries looking for health related information via the internet</w:t>
      </w:r>
      <w:r w:rsidRPr="002C567D">
        <w:rPr>
          <w:lang w:val="en-GB"/>
        </w:rPr>
        <w:tab/>
        <w:t>9</w:t>
      </w:r>
      <w:r w:rsidR="00FC0AB6">
        <w:rPr>
          <w:lang w:val="en-GB"/>
        </w:rPr>
        <w:t>6</w:t>
      </w:r>
    </w:p>
    <w:p w:rsidR="004C7BC9" w:rsidRPr="002C567D" w:rsidRDefault="004C7BC9" w:rsidP="004C7BC9">
      <w:pPr>
        <w:pStyle w:val="Seznamobrzk"/>
        <w:tabs>
          <w:tab w:val="right" w:leader="dot" w:pos="9628"/>
        </w:tabs>
        <w:rPr>
          <w:lang w:val="en-GB"/>
        </w:rPr>
      </w:pPr>
      <w:r w:rsidRPr="002C567D">
        <w:rPr>
          <w:lang w:val="en-GB"/>
        </w:rPr>
        <w:t>Figure G12 Internet users in EU countries using the internet for seeking health-related information</w:t>
      </w:r>
      <w:r w:rsidRPr="002C567D">
        <w:rPr>
          <w:lang w:val="en-GB"/>
        </w:rPr>
        <w:tab/>
        <w:t>9</w:t>
      </w:r>
      <w:r w:rsidR="00FC0AB6">
        <w:rPr>
          <w:lang w:val="en-GB"/>
        </w:rPr>
        <w:t>6</w:t>
      </w:r>
    </w:p>
    <w:p w:rsidR="004C7BC9" w:rsidRPr="002C567D" w:rsidRDefault="004C7BC9" w:rsidP="004C7BC9">
      <w:pPr>
        <w:pStyle w:val="Seznamobrzk"/>
        <w:tabs>
          <w:tab w:val="right" w:leader="dot" w:pos="9628"/>
        </w:tabs>
        <w:rPr>
          <w:lang w:val="en-GB"/>
        </w:rPr>
      </w:pPr>
      <w:r w:rsidRPr="002C567D">
        <w:rPr>
          <w:lang w:val="en-GB"/>
        </w:rPr>
        <w:t>Figure G13 Individuals in the Czech Republic, who consulted a practitioner online via the website app</w:t>
      </w:r>
      <w:r w:rsidRPr="002C567D">
        <w:rPr>
          <w:lang w:val="en-GB"/>
        </w:rPr>
        <w:tab/>
        <w:t>9</w:t>
      </w:r>
      <w:r w:rsidR="00FC0AB6">
        <w:rPr>
          <w:lang w:val="en-GB"/>
        </w:rPr>
        <w:t>7</w:t>
      </w:r>
    </w:p>
    <w:p w:rsidR="004C7BC9" w:rsidRPr="002C567D" w:rsidRDefault="004C7BC9" w:rsidP="004C7BC9">
      <w:pPr>
        <w:pStyle w:val="Seznamobrzk"/>
        <w:tabs>
          <w:tab w:val="right" w:leader="dot" w:pos="9628"/>
        </w:tabs>
        <w:rPr>
          <w:lang w:val="en-GB"/>
        </w:rPr>
      </w:pPr>
      <w:r w:rsidRPr="002C567D">
        <w:rPr>
          <w:lang w:val="en-GB"/>
        </w:rPr>
        <w:t>Figure G14 Individuals in the Czech Republic, who made an online appointment with a practitioner via the website application</w:t>
      </w:r>
      <w:r w:rsidRPr="002C567D">
        <w:rPr>
          <w:lang w:val="en-GB"/>
        </w:rPr>
        <w:tab/>
        <w:t>9</w:t>
      </w:r>
      <w:r w:rsidR="00FC0AB6">
        <w:rPr>
          <w:lang w:val="en-GB"/>
        </w:rPr>
        <w:t>7</w:t>
      </w:r>
    </w:p>
    <w:p w:rsidR="004C7BC9" w:rsidRPr="004C7BC9" w:rsidRDefault="004C7BC9" w:rsidP="004C7BC9">
      <w:pPr>
        <w:pStyle w:val="Seznamobrzk"/>
        <w:tabs>
          <w:tab w:val="right" w:leader="dot" w:pos="9628"/>
        </w:tabs>
        <w:rPr>
          <w:lang w:val="en-GB"/>
        </w:rPr>
      </w:pPr>
      <w:r w:rsidRPr="002C567D">
        <w:rPr>
          <w:lang w:val="en-GB"/>
        </w:rPr>
        <w:t>Figure G15 Individuals in EU countries who made an online appointment with a practitioner via the website application</w:t>
      </w:r>
      <w:r w:rsidRPr="002C567D">
        <w:rPr>
          <w:lang w:val="en-GB"/>
        </w:rPr>
        <w:tab/>
        <w:t>9</w:t>
      </w:r>
      <w:r w:rsidR="00FC0AB6">
        <w:rPr>
          <w:lang w:val="en-GB"/>
        </w:rPr>
        <w:t>8</w:t>
      </w:r>
    </w:p>
    <w:sectPr w:rsidR="004C7BC9" w:rsidRPr="004C7BC9" w:rsidSect="0026358E">
      <w:headerReference w:type="even" r:id="rId209"/>
      <w:headerReference w:type="default" r:id="rId210"/>
      <w:footerReference w:type="even" r:id="rId211"/>
      <w:footerReference w:type="default" r:id="rId212"/>
      <w:type w:val="continuous"/>
      <w:pgSz w:w="11906" w:h="16838" w:code="9"/>
      <w:pgMar w:top="1134" w:right="1134" w:bottom="1418"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80B" w:rsidRDefault="008E680B" w:rsidP="00E71A58">
      <w:r>
        <w:separator/>
      </w:r>
    </w:p>
  </w:endnote>
  <w:endnote w:type="continuationSeparator" w:id="0">
    <w:p w:rsidR="008E680B" w:rsidRDefault="008E680B"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altName w:val="Times New Roman"/>
    <w:panose1 w:val="02040503050406030204"/>
    <w:charset w:val="EE"/>
    <w:family w:val="roman"/>
    <w:pitch w:val="variable"/>
    <w:sig w:usb0="E00002FF" w:usb1="400004FF" w:usb2="00000000" w:usb3="00000000" w:csb0="0000019F" w:csb1="00000000"/>
  </w:font>
  <w:font w:name="Tahoma">
    <w:panose1 w:val="020B0604030504040204"/>
    <w:charset w:val="00"/>
    <w:family w:val="auto"/>
    <w:notTrueType/>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74112" behindDoc="0" locked="0" layoutInCell="1" allowOverlap="1" wp14:anchorId="6754E694" wp14:editId="3F1E9ADA">
          <wp:simplePos x="0" y="0"/>
          <wp:positionH relativeFrom="column">
            <wp:posOffset>5660390</wp:posOffset>
          </wp:positionH>
          <wp:positionV relativeFrom="paragraph">
            <wp:posOffset>-52070</wp:posOffset>
          </wp:positionV>
          <wp:extent cx="466725" cy="219075"/>
          <wp:effectExtent l="0" t="0" r="0" b="0"/>
          <wp:wrapNone/>
          <wp:docPr id="8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4E3FD8">
      <w:rPr>
        <w:noProof/>
        <w:szCs w:val="16"/>
      </w:rPr>
      <w:t>42</w:t>
    </w:r>
    <w:r w:rsidRPr="005A21E0">
      <w:rPr>
        <w:szCs w:val="16"/>
      </w:rPr>
      <w:fldChar w:fldCharType="end"/>
    </w:r>
    <w:r>
      <w:rPr>
        <w:szCs w:val="16"/>
      </w:rPr>
      <w:tab/>
      <w:t>2018</w:t>
    </w:r>
    <w:r>
      <w:tab/>
    </w: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8C4CA2">
    <w:pPr>
      <w:pStyle w:val="Zpat"/>
      <w:tabs>
        <w:tab w:val="left" w:pos="1134"/>
        <w:tab w:val="left" w:pos="1920"/>
      </w:tabs>
    </w:pPr>
    <w:r>
      <w:rPr>
        <w:noProof/>
        <w:lang w:val="cs-CZ" w:eastAsia="cs-CZ"/>
      </w:rPr>
      <w:drawing>
        <wp:anchor distT="0" distB="0" distL="114300" distR="114300" simplePos="0" relativeHeight="251628032" behindDoc="0" locked="0" layoutInCell="1" allowOverlap="1" wp14:anchorId="142763EE" wp14:editId="463166EB">
          <wp:simplePos x="0" y="0"/>
          <wp:positionH relativeFrom="column">
            <wp:posOffset>0</wp:posOffset>
          </wp:positionH>
          <wp:positionV relativeFrom="paragraph">
            <wp:posOffset>0</wp:posOffset>
          </wp:positionV>
          <wp:extent cx="676910" cy="201930"/>
          <wp:effectExtent l="0" t="0" r="8890" b="1270"/>
          <wp:wrapNone/>
          <wp:docPr id="83"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szCs w:val="16"/>
      </w:rPr>
      <w:tab/>
      <w:t>2018</w:t>
    </w:r>
    <w:r>
      <w:tab/>
    </w:r>
    <w:r w:rsidRPr="00B6608F">
      <w:rPr>
        <w:szCs w:val="16"/>
      </w:rPr>
      <w:fldChar w:fldCharType="begin"/>
    </w:r>
    <w:r w:rsidRPr="00B6608F">
      <w:rPr>
        <w:szCs w:val="16"/>
      </w:rPr>
      <w:instrText>PAGE   \* MERGEFORMAT</w:instrText>
    </w:r>
    <w:r w:rsidRPr="00B6608F">
      <w:rPr>
        <w:szCs w:val="16"/>
      </w:rPr>
      <w:fldChar w:fldCharType="separate"/>
    </w:r>
    <w:r w:rsidR="004E3FD8">
      <w:rPr>
        <w:noProof/>
        <w:szCs w:val="16"/>
      </w:rPr>
      <w:t>43</w:t>
    </w:r>
    <w:r w:rsidRPr="00B6608F">
      <w:rPr>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63872" behindDoc="0" locked="0" layoutInCell="1" allowOverlap="1" wp14:anchorId="54009254" wp14:editId="34FA8046">
          <wp:simplePos x="0" y="0"/>
          <wp:positionH relativeFrom="column">
            <wp:posOffset>5660390</wp:posOffset>
          </wp:positionH>
          <wp:positionV relativeFrom="paragraph">
            <wp:posOffset>-52070</wp:posOffset>
          </wp:positionV>
          <wp:extent cx="466725" cy="219075"/>
          <wp:effectExtent l="0" t="0" r="0" b="0"/>
          <wp:wrapNone/>
          <wp:docPr id="76"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4E3FD8">
      <w:rPr>
        <w:noProof/>
        <w:szCs w:val="16"/>
      </w:rPr>
      <w:t>70</w:t>
    </w:r>
    <w:r w:rsidRPr="005A21E0">
      <w:rPr>
        <w:szCs w:val="16"/>
      </w:rPr>
      <w:fldChar w:fldCharType="end"/>
    </w:r>
    <w:r>
      <w:rPr>
        <w:szCs w:val="16"/>
      </w:rPr>
      <w:tab/>
      <w:t>2018</w:t>
    </w:r>
    <w:r>
      <w:tab/>
    </w: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7B46EA">
    <w:pPr>
      <w:pStyle w:val="Zpat"/>
      <w:tabs>
        <w:tab w:val="left" w:pos="1134"/>
        <w:tab w:val="left" w:pos="1920"/>
      </w:tabs>
    </w:pPr>
    <w:r>
      <w:rPr>
        <w:noProof/>
        <w:lang w:val="cs-CZ" w:eastAsia="cs-CZ"/>
      </w:rPr>
      <w:drawing>
        <wp:anchor distT="0" distB="0" distL="114300" distR="114300" simplePos="0" relativeHeight="251685376" behindDoc="0" locked="0" layoutInCell="1" allowOverlap="1" wp14:anchorId="0917DC84" wp14:editId="73737AAF">
          <wp:simplePos x="0" y="0"/>
          <wp:positionH relativeFrom="margin">
            <wp:align>left</wp:align>
          </wp:positionH>
          <wp:positionV relativeFrom="paragraph">
            <wp:posOffset>-66675</wp:posOffset>
          </wp:positionV>
          <wp:extent cx="676910" cy="201930"/>
          <wp:effectExtent l="0" t="0" r="8890" b="7620"/>
          <wp:wrapNone/>
          <wp:docPr id="77"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zCs w:val="16"/>
      </w:rPr>
      <w:tab/>
    </w:r>
    <w:r>
      <w:rPr>
        <w:szCs w:val="16"/>
      </w:rPr>
      <w:tab/>
      <w:t>2018</w:t>
    </w:r>
    <w:r>
      <w:tab/>
    </w:r>
    <w:r w:rsidRPr="00B6608F">
      <w:rPr>
        <w:szCs w:val="16"/>
      </w:rPr>
      <w:fldChar w:fldCharType="begin"/>
    </w:r>
    <w:r w:rsidRPr="00B6608F">
      <w:rPr>
        <w:szCs w:val="16"/>
      </w:rPr>
      <w:instrText>PAGE   \* MERGEFORMAT</w:instrText>
    </w:r>
    <w:r w:rsidRPr="00B6608F">
      <w:rPr>
        <w:szCs w:val="16"/>
      </w:rPr>
      <w:fldChar w:fldCharType="separate"/>
    </w:r>
    <w:r w:rsidR="004E3FD8">
      <w:rPr>
        <w:noProof/>
        <w:szCs w:val="16"/>
      </w:rPr>
      <w:t>71</w:t>
    </w:r>
    <w:r w:rsidRPr="00B6608F">
      <w:rPr>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r>
      <w:rPr>
        <w:noProof/>
        <w:lang w:val="cs-CZ" w:eastAsia="cs-CZ"/>
      </w:rPr>
      <w:drawing>
        <wp:inline distT="0" distB="0" distL="0" distR="0" wp14:anchorId="30367766" wp14:editId="348F4638">
          <wp:extent cx="869746" cy="247650"/>
          <wp:effectExtent l="0" t="0" r="6985" b="0"/>
          <wp:docPr id="78" name="Obrázek 78" descr="D:\Dokumenty\prac\3.1 barevna verze logotypu zkratka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prac\3.1 barevna verze logotypu zkratka en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6726"/>
                  <a:stretch/>
                </pic:blipFill>
                <pic:spPr bwMode="auto">
                  <a:xfrm>
                    <a:off x="0" y="0"/>
                    <a:ext cx="885023" cy="2520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43392" behindDoc="0" locked="0" layoutInCell="1" allowOverlap="1" wp14:anchorId="184F75B6" wp14:editId="3B638861">
          <wp:simplePos x="0" y="0"/>
          <wp:positionH relativeFrom="column">
            <wp:posOffset>5660390</wp:posOffset>
          </wp:positionH>
          <wp:positionV relativeFrom="paragraph">
            <wp:posOffset>-52070</wp:posOffset>
          </wp:positionV>
          <wp:extent cx="466725" cy="219075"/>
          <wp:effectExtent l="0" t="0" r="0" b="0"/>
          <wp:wrapNone/>
          <wp:docPr id="95"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4E3FD8">
      <w:rPr>
        <w:noProof/>
        <w:szCs w:val="16"/>
      </w:rPr>
      <w:t>78</w:t>
    </w:r>
    <w:r w:rsidRPr="005A21E0">
      <w:rPr>
        <w:szCs w:val="16"/>
      </w:rPr>
      <w:fldChar w:fldCharType="end"/>
    </w:r>
    <w:r>
      <w:rPr>
        <w:szCs w:val="16"/>
      </w:rPr>
      <w:tab/>
      <w:t>2018</w:t>
    </w:r>
    <w:r>
      <w:tab/>
    </w:r>
    <w:r>
      <w:tab/>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7B46EA">
    <w:pPr>
      <w:pStyle w:val="Zpat"/>
      <w:tabs>
        <w:tab w:val="clear" w:pos="9639"/>
        <w:tab w:val="left" w:pos="1134"/>
        <w:tab w:val="left" w:pos="1920"/>
        <w:tab w:val="right" w:pos="9498"/>
      </w:tabs>
    </w:pPr>
    <w:r>
      <w:rPr>
        <w:noProof/>
        <w:lang w:val="cs-CZ" w:eastAsia="cs-CZ"/>
      </w:rPr>
      <w:drawing>
        <wp:anchor distT="0" distB="0" distL="114300" distR="114300" simplePos="0" relativeHeight="251658752" behindDoc="0" locked="0" layoutInCell="1" allowOverlap="1" wp14:anchorId="7473D317" wp14:editId="1A76221A">
          <wp:simplePos x="0" y="0"/>
          <wp:positionH relativeFrom="margin">
            <wp:posOffset>0</wp:posOffset>
          </wp:positionH>
          <wp:positionV relativeFrom="paragraph">
            <wp:posOffset>0</wp:posOffset>
          </wp:positionV>
          <wp:extent cx="676910" cy="201930"/>
          <wp:effectExtent l="0" t="0" r="8890" b="7620"/>
          <wp:wrapNone/>
          <wp:docPr id="97"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zCs w:val="16"/>
      </w:rPr>
      <w:tab/>
    </w:r>
    <w:r>
      <w:rPr>
        <w:szCs w:val="16"/>
      </w:rPr>
      <w:tab/>
      <w:t xml:space="preserve">2018 </w:t>
    </w:r>
    <w:r>
      <w:rPr>
        <w:szCs w:val="16"/>
      </w:rPr>
      <w:tab/>
    </w:r>
    <w:r w:rsidRPr="00B6608F">
      <w:rPr>
        <w:szCs w:val="16"/>
      </w:rPr>
      <w:fldChar w:fldCharType="begin"/>
    </w:r>
    <w:r w:rsidRPr="00B6608F">
      <w:rPr>
        <w:szCs w:val="16"/>
      </w:rPr>
      <w:instrText>PAGE   \* MERGEFORMAT</w:instrText>
    </w:r>
    <w:r w:rsidRPr="00B6608F">
      <w:rPr>
        <w:szCs w:val="16"/>
      </w:rPr>
      <w:fldChar w:fldCharType="separate"/>
    </w:r>
    <w:r w:rsidR="004E3FD8">
      <w:rPr>
        <w:noProof/>
        <w:szCs w:val="16"/>
      </w:rPr>
      <w:t>77</w:t>
    </w:r>
    <w:r w:rsidRPr="00B6608F">
      <w:rPr>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p>
  <w:p w:rsidR="003945DB" w:rsidRDefault="003945D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80256" behindDoc="0" locked="0" layoutInCell="1" allowOverlap="1" wp14:anchorId="2B05063E" wp14:editId="7ACD50DC">
          <wp:simplePos x="0" y="0"/>
          <wp:positionH relativeFrom="column">
            <wp:posOffset>5660390</wp:posOffset>
          </wp:positionH>
          <wp:positionV relativeFrom="paragraph">
            <wp:posOffset>-52070</wp:posOffset>
          </wp:positionV>
          <wp:extent cx="466725" cy="219075"/>
          <wp:effectExtent l="0" t="0" r="0" b="0"/>
          <wp:wrapNone/>
          <wp:docPr id="5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4E3FD8">
      <w:rPr>
        <w:noProof/>
        <w:szCs w:val="16"/>
      </w:rPr>
      <w:t>96</w:t>
    </w:r>
    <w:r w:rsidRPr="005A21E0">
      <w:rPr>
        <w:szCs w:val="16"/>
      </w:rPr>
      <w:fldChar w:fldCharType="end"/>
    </w:r>
    <w:r>
      <w:rPr>
        <w:szCs w:val="16"/>
      </w:rPr>
      <w:tab/>
      <w:t>2018</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0971C4">
    <w:pPr>
      <w:pStyle w:val="Zpat"/>
      <w:tabs>
        <w:tab w:val="left" w:pos="1134"/>
        <w:tab w:val="left" w:pos="1920"/>
      </w:tabs>
    </w:pPr>
    <w:r>
      <w:rPr>
        <w:noProof/>
        <w:lang w:val="cs-CZ" w:eastAsia="cs-CZ"/>
      </w:rPr>
      <w:drawing>
        <wp:anchor distT="0" distB="0" distL="114300" distR="114300" simplePos="0" relativeHeight="251692544" behindDoc="0" locked="0" layoutInCell="1" allowOverlap="1" wp14:anchorId="31A40E0B" wp14:editId="7DBB9B3A">
          <wp:simplePos x="0" y="0"/>
          <wp:positionH relativeFrom="margin">
            <wp:posOffset>0</wp:posOffset>
          </wp:positionH>
          <wp:positionV relativeFrom="paragraph">
            <wp:posOffset>0</wp:posOffset>
          </wp:positionV>
          <wp:extent cx="676910" cy="201930"/>
          <wp:effectExtent l="0" t="0" r="8890" b="7620"/>
          <wp:wrapNone/>
          <wp:docPr id="57"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zCs w:val="16"/>
      </w:rPr>
      <w:tab/>
    </w:r>
    <w:r>
      <w:rPr>
        <w:szCs w:val="16"/>
      </w:rPr>
      <w:tab/>
      <w:t>2018</w:t>
    </w:r>
    <w:r>
      <w:rPr>
        <w:szCs w:val="16"/>
      </w:rPr>
      <w:tab/>
    </w:r>
    <w:r w:rsidRPr="00B6608F">
      <w:rPr>
        <w:szCs w:val="16"/>
      </w:rPr>
      <w:fldChar w:fldCharType="begin"/>
    </w:r>
    <w:r w:rsidRPr="00B6608F">
      <w:rPr>
        <w:szCs w:val="16"/>
      </w:rPr>
      <w:instrText>PAGE   \* MERGEFORMAT</w:instrText>
    </w:r>
    <w:r w:rsidRPr="00B6608F">
      <w:rPr>
        <w:szCs w:val="16"/>
      </w:rPr>
      <w:fldChar w:fldCharType="separate"/>
    </w:r>
    <w:r w:rsidR="004E3FD8">
      <w:rPr>
        <w:noProof/>
        <w:szCs w:val="16"/>
      </w:rPr>
      <w:t>97</w:t>
    </w:r>
    <w:r w:rsidRPr="00B6608F">
      <w:rPr>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D44910">
    <w:pPr>
      <w:pStyle w:val="Zpat"/>
    </w:pPr>
    <w:r>
      <w:rPr>
        <w:noProof/>
        <w:lang w:val="cs-CZ" w:eastAsia="cs-CZ"/>
      </w:rPr>
      <w:drawing>
        <wp:anchor distT="0" distB="0" distL="114300" distR="114300" simplePos="0" relativeHeight="251662848" behindDoc="0" locked="0" layoutInCell="1" allowOverlap="1">
          <wp:simplePos x="0" y="0"/>
          <wp:positionH relativeFrom="column">
            <wp:align>right</wp:align>
          </wp:positionH>
          <wp:positionV relativeFrom="paragraph">
            <wp:posOffset>-64770</wp:posOffset>
          </wp:positionV>
          <wp:extent cx="385445" cy="190500"/>
          <wp:effectExtent l="0" t="0" r="0" b="12700"/>
          <wp:wrapNone/>
          <wp:docPr id="81" name="Picture 13" descr="CSU RGB EN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 RGB EN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10">
      <w:fldChar w:fldCharType="begin"/>
    </w:r>
    <w:r w:rsidRPr="00D44910">
      <w:instrText>PAGE   \* MERGEFORMAT</w:instrText>
    </w:r>
    <w:r w:rsidRPr="00D44910">
      <w:fldChar w:fldCharType="separate"/>
    </w:r>
    <w:r w:rsidR="004E3FD8">
      <w:rPr>
        <w:noProof/>
      </w:rPr>
      <w:t>102</w:t>
    </w:r>
    <w:r w:rsidRPr="00D44910">
      <w:fldChar w:fldCharType="end"/>
    </w:r>
    <w:r w:rsidRPr="00D44910">
      <w:tab/>
    </w:r>
    <w:r>
      <w:rPr>
        <w:szCs w:val="16"/>
      </w:rPr>
      <w:t>2018</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FE30D1">
    <w:pPr>
      <w:pStyle w:val="Zpat"/>
    </w:pPr>
    <w:r>
      <w:rPr>
        <w:noProof/>
        <w:lang w:val="cs-CZ" w:eastAsia="cs-CZ"/>
      </w:rPr>
      <w:drawing>
        <wp:anchor distT="0" distB="0" distL="114300" distR="114300" simplePos="0" relativeHeight="251660800" behindDoc="0" locked="0" layoutInCell="1" allowOverlap="1">
          <wp:simplePos x="0" y="0"/>
          <wp:positionH relativeFrom="column">
            <wp:align>left</wp:align>
          </wp:positionH>
          <wp:positionV relativeFrom="paragraph">
            <wp:posOffset>-64770</wp:posOffset>
          </wp:positionV>
          <wp:extent cx="676910" cy="201930"/>
          <wp:effectExtent l="0" t="0" r="8890" b="1270"/>
          <wp:wrapNone/>
          <wp:docPr id="89"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F3">
      <w:tab/>
    </w:r>
    <w:r>
      <w:rPr>
        <w:szCs w:val="16"/>
      </w:rPr>
      <w:t>2018</w:t>
    </w:r>
    <w:r w:rsidRPr="000B58F3">
      <w:tab/>
    </w:r>
    <w:r w:rsidRPr="000B58F3">
      <w:rPr>
        <w:rStyle w:val="ZpatChar"/>
      </w:rPr>
      <w:fldChar w:fldCharType="begin"/>
    </w:r>
    <w:r w:rsidRPr="000B58F3">
      <w:rPr>
        <w:rStyle w:val="ZpatChar"/>
      </w:rPr>
      <w:instrText>PAGE   \* MERGEFORMAT</w:instrText>
    </w:r>
    <w:r w:rsidRPr="000B58F3">
      <w:rPr>
        <w:rStyle w:val="ZpatChar"/>
      </w:rPr>
      <w:fldChar w:fldCharType="separate"/>
    </w:r>
    <w:r w:rsidR="004E3FD8">
      <w:rPr>
        <w:rStyle w:val="ZpatChar"/>
        <w:noProof/>
      </w:rPr>
      <w:t>101</w:t>
    </w:r>
    <w:r w:rsidRPr="000B58F3">
      <w:rPr>
        <w:rStyle w:val="Zpat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D44910">
    <w:pPr>
      <w:pStyle w:val="Zpat"/>
    </w:pPr>
    <w:r>
      <w:rPr>
        <w:noProof/>
        <w:lang w:val="cs-CZ" w:eastAsia="cs-CZ"/>
      </w:rPr>
      <w:drawing>
        <wp:anchor distT="0" distB="0" distL="114300" distR="114300" simplePos="0" relativeHeight="251667968" behindDoc="0" locked="0" layoutInCell="1" allowOverlap="1" wp14:anchorId="68957A41" wp14:editId="497FEBB3">
          <wp:simplePos x="0" y="0"/>
          <wp:positionH relativeFrom="column">
            <wp:align>right</wp:align>
          </wp:positionH>
          <wp:positionV relativeFrom="paragraph">
            <wp:posOffset>-64770</wp:posOffset>
          </wp:positionV>
          <wp:extent cx="385445" cy="190500"/>
          <wp:effectExtent l="0" t="0" r="0" b="12700"/>
          <wp:wrapNone/>
          <wp:docPr id="105" name="Picture 13" descr="CSU RGB EN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 RGB EN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4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910">
      <w:fldChar w:fldCharType="begin"/>
    </w:r>
    <w:r w:rsidRPr="00D44910">
      <w:instrText>PAGE   \* MERGEFORMAT</w:instrText>
    </w:r>
    <w:r w:rsidRPr="00D44910">
      <w:fldChar w:fldCharType="separate"/>
    </w:r>
    <w:r w:rsidR="004E3FD8">
      <w:rPr>
        <w:noProof/>
      </w:rPr>
      <w:t>4</w:t>
    </w:r>
    <w:r w:rsidRPr="00D44910">
      <w:fldChar w:fldCharType="end"/>
    </w:r>
    <w:r w:rsidRPr="00D44910">
      <w:tab/>
    </w:r>
    <w:r>
      <w:rPr>
        <w:szCs w:val="16"/>
      </w:rPr>
      <w:t>2018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0B58F3" w:rsidRDefault="003945DB" w:rsidP="00FE30D1">
    <w:pPr>
      <w:pStyle w:val="Zpat"/>
    </w:pPr>
    <w:r>
      <w:rPr>
        <w:noProof/>
        <w:lang w:val="cs-CZ" w:eastAsia="cs-CZ"/>
      </w:rPr>
      <w:drawing>
        <wp:anchor distT="0" distB="0" distL="114300" distR="114300" simplePos="0" relativeHeight="251652608" behindDoc="0" locked="0" layoutInCell="1" allowOverlap="1" wp14:anchorId="4B8214EF" wp14:editId="5869E5AC">
          <wp:simplePos x="0" y="0"/>
          <wp:positionH relativeFrom="column">
            <wp:align>left</wp:align>
          </wp:positionH>
          <wp:positionV relativeFrom="paragraph">
            <wp:posOffset>-64770</wp:posOffset>
          </wp:positionV>
          <wp:extent cx="676910" cy="201930"/>
          <wp:effectExtent l="0" t="0" r="8890" b="1270"/>
          <wp:wrapNone/>
          <wp:docPr id="106"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8F3">
      <w:tab/>
    </w:r>
    <w:r>
      <w:rPr>
        <w:szCs w:val="16"/>
      </w:rPr>
      <w:t>2018</w:t>
    </w:r>
    <w:r w:rsidRPr="000B58F3">
      <w:tab/>
    </w:r>
    <w:r w:rsidRPr="000B58F3">
      <w:rPr>
        <w:rStyle w:val="ZpatChar"/>
      </w:rPr>
      <w:fldChar w:fldCharType="begin"/>
    </w:r>
    <w:r w:rsidRPr="000B58F3">
      <w:rPr>
        <w:rStyle w:val="ZpatChar"/>
      </w:rPr>
      <w:instrText>PAGE   \* MERGEFORMAT</w:instrText>
    </w:r>
    <w:r w:rsidRPr="000B58F3">
      <w:rPr>
        <w:rStyle w:val="ZpatChar"/>
      </w:rPr>
      <w:fldChar w:fldCharType="separate"/>
    </w:r>
    <w:r w:rsidR="004E3FD8">
      <w:rPr>
        <w:rStyle w:val="ZpatChar"/>
        <w:noProof/>
      </w:rPr>
      <w:t>15</w:t>
    </w:r>
    <w:r w:rsidRPr="000B58F3">
      <w:rPr>
        <w:rStyle w:val="ZpatCh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3A6B38">
    <w:pPr>
      <w:pStyle w:val="Zpat"/>
    </w:pPr>
    <w:r>
      <w:rPr>
        <w:noProof/>
        <w:lang w:val="cs-CZ" w:eastAsia="cs-CZ"/>
      </w:rPr>
      <w:drawing>
        <wp:anchor distT="0" distB="0" distL="114300" distR="114300" simplePos="0" relativeHeight="251632128" behindDoc="0" locked="0" layoutInCell="1" allowOverlap="1" wp14:anchorId="719CD0F2" wp14:editId="2808CF79">
          <wp:simplePos x="0" y="0"/>
          <wp:positionH relativeFrom="column">
            <wp:posOffset>5660390</wp:posOffset>
          </wp:positionH>
          <wp:positionV relativeFrom="paragraph">
            <wp:posOffset>-52070</wp:posOffset>
          </wp:positionV>
          <wp:extent cx="466725" cy="219075"/>
          <wp:effectExtent l="0" t="0" r="0" b="0"/>
          <wp:wrapNone/>
          <wp:docPr id="124"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szCs w:val="16"/>
      </w:rPr>
      <w:fldChar w:fldCharType="begin"/>
    </w:r>
    <w:r w:rsidRPr="005A21E0">
      <w:rPr>
        <w:szCs w:val="16"/>
      </w:rPr>
      <w:instrText>PAGE   \* MERGEFORMAT</w:instrText>
    </w:r>
    <w:r w:rsidRPr="005A21E0">
      <w:rPr>
        <w:szCs w:val="16"/>
      </w:rPr>
      <w:fldChar w:fldCharType="separate"/>
    </w:r>
    <w:r w:rsidR="004E3FD8">
      <w:rPr>
        <w:noProof/>
        <w:szCs w:val="16"/>
      </w:rPr>
      <w:t>22</w:t>
    </w:r>
    <w:r w:rsidRPr="005A21E0">
      <w:rPr>
        <w:szCs w:val="16"/>
      </w:rPr>
      <w:fldChar w:fldCharType="end"/>
    </w:r>
    <w:r>
      <w:rPr>
        <w:szCs w:val="16"/>
      </w:rPr>
      <w:tab/>
      <w:t>2018</w:t>
    </w:r>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8C4CA2">
    <w:pPr>
      <w:pStyle w:val="Zpat"/>
      <w:tabs>
        <w:tab w:val="left" w:pos="1134"/>
        <w:tab w:val="left" w:pos="1920"/>
      </w:tabs>
    </w:pPr>
    <w:r>
      <w:rPr>
        <w:noProof/>
        <w:lang w:val="cs-CZ" w:eastAsia="cs-CZ"/>
      </w:rPr>
      <w:drawing>
        <wp:anchor distT="0" distB="0" distL="114300" distR="114300" simplePos="0" relativeHeight="251637248" behindDoc="0" locked="0" layoutInCell="1" allowOverlap="1" wp14:anchorId="750C1CA9" wp14:editId="6CB47913">
          <wp:simplePos x="0" y="0"/>
          <wp:positionH relativeFrom="column">
            <wp:posOffset>0</wp:posOffset>
          </wp:positionH>
          <wp:positionV relativeFrom="paragraph">
            <wp:posOffset>0</wp:posOffset>
          </wp:positionV>
          <wp:extent cx="676910" cy="201930"/>
          <wp:effectExtent l="0" t="0" r="8890" b="1270"/>
          <wp:wrapNone/>
          <wp:docPr id="44"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Pr>
        <w:szCs w:val="16"/>
      </w:rPr>
      <w:tab/>
    </w:r>
    <w:r>
      <w:rPr>
        <w:szCs w:val="16"/>
      </w:rPr>
      <w:tab/>
    </w:r>
    <w:r>
      <w:rPr>
        <w:szCs w:val="16"/>
      </w:rPr>
      <w:tab/>
      <w:t>2018</w:t>
    </w:r>
    <w:r>
      <w:tab/>
    </w:r>
    <w:r w:rsidRPr="00B6608F">
      <w:rPr>
        <w:szCs w:val="16"/>
      </w:rPr>
      <w:fldChar w:fldCharType="begin"/>
    </w:r>
    <w:r w:rsidRPr="00B6608F">
      <w:rPr>
        <w:szCs w:val="16"/>
      </w:rPr>
      <w:instrText>PAGE   \* MERGEFORMAT</w:instrText>
    </w:r>
    <w:r w:rsidRPr="00B6608F">
      <w:rPr>
        <w:szCs w:val="16"/>
      </w:rPr>
      <w:fldChar w:fldCharType="separate"/>
    </w:r>
    <w:r>
      <w:rPr>
        <w:noProof/>
        <w:szCs w:val="16"/>
      </w:rPr>
      <w:t>19</w:t>
    </w:r>
    <w:r w:rsidRPr="00B6608F">
      <w:rPr>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pat"/>
    </w:pPr>
    <w:r>
      <w:rPr>
        <w:noProof/>
        <w:lang w:val="cs-CZ" w:eastAsia="cs-CZ"/>
      </w:rPr>
      <w:drawing>
        <wp:inline distT="0" distB="0" distL="0" distR="0" wp14:anchorId="6295CD81" wp14:editId="27F9B497">
          <wp:extent cx="869746" cy="247650"/>
          <wp:effectExtent l="0" t="0" r="6985" b="0"/>
          <wp:docPr id="136" name="Obrázek 136" descr="D:\Dokumenty\prac\3.1 barevna verze logotypu zkratka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prac\3.1 barevna verze logotypu zkratka en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6726"/>
                  <a:stretch/>
                </pic:blipFill>
                <pic:spPr bwMode="auto">
                  <a:xfrm>
                    <a:off x="0" y="0"/>
                    <a:ext cx="885023" cy="2520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8C4CA2">
    <w:pPr>
      <w:pStyle w:val="Zpat"/>
      <w:tabs>
        <w:tab w:val="left" w:pos="1134"/>
        <w:tab w:val="left" w:pos="1920"/>
      </w:tabs>
    </w:pPr>
    <w:r>
      <w:rPr>
        <w:noProof/>
        <w:lang w:val="cs-CZ" w:eastAsia="cs-CZ"/>
      </w:rPr>
      <w:drawing>
        <wp:anchor distT="0" distB="0" distL="114300" distR="114300" simplePos="0" relativeHeight="251647488" behindDoc="0" locked="0" layoutInCell="1" allowOverlap="1" wp14:anchorId="5A2FA3D9" wp14:editId="70AD9A8A">
          <wp:simplePos x="0" y="0"/>
          <wp:positionH relativeFrom="column">
            <wp:posOffset>0</wp:posOffset>
          </wp:positionH>
          <wp:positionV relativeFrom="paragraph">
            <wp:posOffset>0</wp:posOffset>
          </wp:positionV>
          <wp:extent cx="676910" cy="201930"/>
          <wp:effectExtent l="0" t="0" r="8890" b="1270"/>
          <wp:wrapNone/>
          <wp:docPr id="60" name="Picture 12" descr="CSU RGB EN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 RGB EN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2019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 xml:space="preserve">                </w:t>
    </w:r>
    <w:r>
      <w:rPr>
        <w:szCs w:val="16"/>
      </w:rPr>
      <w:tab/>
      <w:t>2018</w:t>
    </w:r>
    <w:r>
      <w:tab/>
    </w:r>
    <w:r w:rsidRPr="00B6608F">
      <w:rPr>
        <w:szCs w:val="16"/>
      </w:rPr>
      <w:fldChar w:fldCharType="begin"/>
    </w:r>
    <w:r w:rsidRPr="00B6608F">
      <w:rPr>
        <w:szCs w:val="16"/>
      </w:rPr>
      <w:instrText>PAGE   \* MERGEFORMAT</w:instrText>
    </w:r>
    <w:r w:rsidRPr="00B6608F">
      <w:rPr>
        <w:szCs w:val="16"/>
      </w:rPr>
      <w:fldChar w:fldCharType="separate"/>
    </w:r>
    <w:r w:rsidR="004E3FD8">
      <w:rPr>
        <w:noProof/>
        <w:szCs w:val="16"/>
      </w:rPr>
      <w:t>21</w:t>
    </w:r>
    <w:r w:rsidRPr="00B6608F">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80B" w:rsidRDefault="008E680B" w:rsidP="00E71A58">
      <w:r>
        <w:separator/>
      </w:r>
    </w:p>
  </w:footnote>
  <w:footnote w:type="continuationSeparator" w:id="0">
    <w:p w:rsidR="008E680B" w:rsidRDefault="008E680B" w:rsidP="00E71A58">
      <w:r>
        <w:continuationSeparator/>
      </w:r>
    </w:p>
  </w:footnote>
  <w:footnote w:id="1">
    <w:p w:rsidR="003945DB" w:rsidRPr="000971C4" w:rsidRDefault="003945DB" w:rsidP="000971C4">
      <w:pPr>
        <w:pStyle w:val="Textpoznpodarou"/>
        <w:jc w:val="both"/>
        <w:rPr>
          <w:rFonts w:ascii="Arial" w:hAnsi="Arial" w:cs="Arial"/>
          <w:sz w:val="18"/>
          <w:szCs w:val="18"/>
          <w:lang w:val="en-GB"/>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w:t>
      </w:r>
      <w:r w:rsidRPr="000971C4">
        <w:rPr>
          <w:rFonts w:ascii="Arial" w:hAnsi="Arial" w:cs="Arial"/>
          <w:bCs/>
          <w:iCs/>
          <w:sz w:val="18"/>
          <w:szCs w:val="18"/>
          <w:lang w:val="en-GB"/>
        </w:rPr>
        <w:t xml:space="preserve">A </w:t>
      </w:r>
      <w:r w:rsidRPr="000971C4">
        <w:rPr>
          <w:rFonts w:ascii="Arial" w:hAnsi="Arial" w:cs="Arial"/>
          <w:sz w:val="18"/>
          <w:szCs w:val="18"/>
          <w:lang w:val="en-GB"/>
        </w:rPr>
        <w:t>subscription (subscriber) to publicly accessible services of electronic communications (voice and data services in fixed and mobile communication networks) refers to natural (individual or household) or legal (enterprise, public organisation) person (entity), that has concluded a contract on the use of such services with a provider. Data presented here include solely services provided in the retail segment, i.e. services provided to end users.</w:t>
      </w:r>
    </w:p>
  </w:footnote>
  <w:footnote w:id="2">
    <w:p w:rsidR="003945DB" w:rsidRPr="000971C4" w:rsidRDefault="003945DB" w:rsidP="00874476">
      <w:pPr>
        <w:pStyle w:val="Textpoznpodarou"/>
        <w:spacing w:before="60"/>
        <w:jc w:val="both"/>
        <w:rPr>
          <w:rFonts w:ascii="Arial" w:hAnsi="Arial" w:cs="Arial"/>
          <w:sz w:val="18"/>
          <w:szCs w:val="18"/>
          <w:lang w:val="en-GB"/>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Number of fixed-telephone voice subscriptions is measured as a number of active fixed traditional telephone lines/connections (PSTN) and number of voice subscriptions using VoIP technology.</w:t>
      </w:r>
    </w:p>
  </w:footnote>
  <w:footnote w:id="3">
    <w:p w:rsidR="003945DB" w:rsidRDefault="003945DB" w:rsidP="00874476">
      <w:pPr>
        <w:pStyle w:val="Textpoznpodarou"/>
        <w:spacing w:before="60"/>
        <w:jc w:val="both"/>
      </w:pPr>
      <w:r w:rsidRPr="000971C4">
        <w:rPr>
          <w:rStyle w:val="Znakapoznpodarou"/>
          <w:rFonts w:ascii="Arial" w:hAnsi="Arial" w:cs="Arial"/>
          <w:sz w:val="18"/>
          <w:szCs w:val="18"/>
        </w:rPr>
        <w:footnoteRef/>
      </w:r>
      <w:r w:rsidRPr="000971C4">
        <w:rPr>
          <w:rFonts w:ascii="Arial" w:hAnsi="Arial" w:cs="Arial"/>
          <w:sz w:val="18"/>
          <w:szCs w:val="18"/>
        </w:rPr>
        <w:t xml:space="preserve"> </w:t>
      </w:r>
      <w:r w:rsidRPr="000971C4">
        <w:rPr>
          <w:rFonts w:ascii="Arial" w:hAnsi="Arial" w:cs="Arial"/>
          <w:sz w:val="18"/>
          <w:szCs w:val="18"/>
          <w:lang w:val="en-GB"/>
        </w:rPr>
        <w:t>The PSTN (Public Switched Telephone Network) is a set of technical means defined by an active end point of the public switched telephone network and unambiguously determined by the telephone exchange ending. The number of fixed-voice subscriptions to PSTN lines is measured by number of active PSTN stations – formerly called main telephone stations – and are further classified as residential telephone lines and business telephone lines.</w:t>
      </w:r>
    </w:p>
  </w:footnote>
  <w:footnote w:id="4">
    <w:p w:rsidR="003945DB" w:rsidRPr="000971C4" w:rsidRDefault="003945DB" w:rsidP="000971C4">
      <w:pPr>
        <w:pStyle w:val="Textpoznpodarou"/>
        <w:jc w:val="both"/>
        <w:rPr>
          <w:rFonts w:ascii="Arial" w:hAnsi="Arial" w:cs="Arial"/>
          <w:sz w:val="18"/>
          <w:szCs w:val="18"/>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Further details on the number of households using fixed telephone lines are available in Chapter B.1.</w:t>
      </w:r>
    </w:p>
  </w:footnote>
  <w:footnote w:id="5">
    <w:p w:rsidR="003945DB" w:rsidRPr="000971C4" w:rsidRDefault="003945DB" w:rsidP="00874476">
      <w:pPr>
        <w:pStyle w:val="Textpoznpodarou"/>
        <w:spacing w:before="60"/>
        <w:jc w:val="both"/>
        <w:rPr>
          <w:rFonts w:ascii="Arial" w:hAnsi="Arial" w:cs="Arial"/>
          <w:sz w:val="18"/>
          <w:szCs w:val="18"/>
          <w:lang w:val="en-US"/>
        </w:rPr>
      </w:pPr>
      <w:r w:rsidRPr="000971C4">
        <w:rPr>
          <w:rStyle w:val="Znakapoznpodarou"/>
          <w:rFonts w:ascii="Arial" w:hAnsi="Arial" w:cs="Arial"/>
          <w:sz w:val="18"/>
          <w:szCs w:val="18"/>
        </w:rPr>
        <w:footnoteRef/>
      </w:r>
      <w:r w:rsidRPr="000971C4">
        <w:rPr>
          <w:rStyle w:val="Znakapoznpodarou"/>
          <w:rFonts w:ascii="Arial" w:hAnsi="Arial" w:cs="Arial"/>
          <w:sz w:val="18"/>
          <w:szCs w:val="18"/>
          <w:lang w:val="en-US"/>
        </w:rPr>
        <w:t xml:space="preserve"> </w:t>
      </w:r>
      <w:r w:rsidRPr="000971C4">
        <w:rPr>
          <w:rFonts w:ascii="Arial" w:hAnsi="Arial" w:cs="Arial"/>
          <w:sz w:val="18"/>
          <w:szCs w:val="18"/>
          <w:lang w:val="en-US"/>
        </w:rPr>
        <w:t xml:space="preserve">The VoIP (Voice over Internet Protocol) service, also called IP telephony enables voice transmission over packet-switched data networks and signal transmission by means of Internet Protocol (IP) packets. Voice services by means of the VoIP technology are an alternative to voice services provided by means of the traditional public switched telephone network (PSTN). The number of fixed-voice subscriptions to VoIP corresponds to the number of active telephone numbers used by the subscribers. </w:t>
      </w:r>
    </w:p>
  </w:footnote>
  <w:footnote w:id="6">
    <w:p w:rsidR="003945DB" w:rsidRPr="000971C4" w:rsidRDefault="003945DB" w:rsidP="000971C4">
      <w:pPr>
        <w:pStyle w:val="Textpoznpodarou"/>
        <w:jc w:val="both"/>
        <w:rPr>
          <w:rFonts w:ascii="Arial" w:hAnsi="Arial" w:cs="Arial"/>
          <w:sz w:val="18"/>
          <w:szCs w:val="18"/>
          <w:highlight w:val="cyan"/>
          <w:lang w:val="en-US"/>
        </w:rPr>
      </w:pPr>
      <w:r w:rsidRPr="000971C4">
        <w:rPr>
          <w:rStyle w:val="Znakapoznpodarou"/>
          <w:rFonts w:ascii="Arial" w:hAnsi="Arial" w:cs="Arial"/>
          <w:sz w:val="18"/>
          <w:szCs w:val="18"/>
        </w:rPr>
        <w:footnoteRef/>
      </w:r>
      <w:r w:rsidRPr="000971C4">
        <w:rPr>
          <w:rFonts w:ascii="Arial" w:hAnsi="Arial" w:cs="Arial"/>
          <w:sz w:val="18"/>
          <w:szCs w:val="18"/>
          <w:lang w:val="en-US"/>
        </w:rPr>
        <w:t xml:space="preserve"> Number of mobile telephone subscriptions is measured as a number of SIM cards. Both post-paid and active prepaid SIM cards that have been used during the last three months are included. </w:t>
      </w:r>
    </w:p>
  </w:footnote>
  <w:footnote w:id="7">
    <w:p w:rsidR="003945DB" w:rsidRPr="00F43FC1" w:rsidRDefault="003945DB" w:rsidP="00874476">
      <w:pPr>
        <w:pStyle w:val="Textpoznpodarou"/>
        <w:spacing w:before="60"/>
        <w:jc w:val="both"/>
        <w:rPr>
          <w:rFonts w:ascii="Arial" w:hAnsi="Arial" w:cs="Arial"/>
          <w:sz w:val="18"/>
          <w:szCs w:val="18"/>
          <w:lang w:val="fr-FR"/>
        </w:rPr>
      </w:pPr>
      <w:r w:rsidRPr="000971C4">
        <w:rPr>
          <w:rStyle w:val="Znakapoznpodarou"/>
          <w:rFonts w:ascii="Arial" w:hAnsi="Arial" w:cs="Arial"/>
          <w:sz w:val="18"/>
          <w:szCs w:val="18"/>
        </w:rPr>
        <w:footnoteRef/>
      </w:r>
      <w:r w:rsidRPr="000971C4">
        <w:rPr>
          <w:rStyle w:val="Znakapoznpodarou"/>
          <w:rFonts w:ascii="Arial" w:hAnsi="Arial" w:cs="Arial"/>
          <w:sz w:val="18"/>
          <w:szCs w:val="18"/>
          <w:lang w:val="fr-FR"/>
        </w:rPr>
        <w:t xml:space="preserve"> </w:t>
      </w:r>
      <w:r w:rsidRPr="000971C4">
        <w:rPr>
          <w:rStyle w:val="Znakapoznpodarou"/>
          <w:rFonts w:ascii="Arial" w:hAnsi="Arial" w:cs="Arial"/>
          <w:sz w:val="18"/>
          <w:szCs w:val="18"/>
          <w:vertAlign w:val="baseline"/>
          <w:lang w:val="fr-FR"/>
        </w:rPr>
        <w:t>The SIM card is a subscriber card that identifies a participant on a public mobile telephone network. SIM cards include both prepaid cards, when the customer does not enter into a contract with the provider, only prepares a certain amount from which the provider subtracts the payments for the services provided, as well as the tariff (post</w:t>
      </w:r>
      <w:r w:rsidRPr="000971C4">
        <w:rPr>
          <w:rFonts w:ascii="Arial" w:hAnsi="Arial" w:cs="Arial"/>
          <w:sz w:val="18"/>
          <w:szCs w:val="18"/>
          <w:lang w:val="fr-FR"/>
        </w:rPr>
        <w:t>-</w:t>
      </w:r>
      <w:r w:rsidRPr="000971C4">
        <w:rPr>
          <w:rStyle w:val="Znakapoznpodarou"/>
          <w:rFonts w:ascii="Arial" w:hAnsi="Arial" w:cs="Arial"/>
          <w:sz w:val="18"/>
          <w:szCs w:val="18"/>
          <w:vertAlign w:val="baseline"/>
          <w:lang w:val="fr-FR"/>
        </w:rPr>
        <w:t>paid) cards where the customers have a contract with the operator under which they pay for monthly billing services.</w:t>
      </w:r>
    </w:p>
  </w:footnote>
  <w:footnote w:id="8">
    <w:p w:rsidR="003945DB" w:rsidRPr="000971C4" w:rsidRDefault="003945DB" w:rsidP="000971C4">
      <w:pPr>
        <w:pStyle w:val="Textpoznpodarou"/>
        <w:jc w:val="both"/>
        <w:rPr>
          <w:rFonts w:ascii="Arial" w:hAnsi="Arial" w:cs="Arial"/>
          <w:sz w:val="18"/>
          <w:szCs w:val="18"/>
          <w:highlight w:val="cyan"/>
          <w:lang w:val="en-US"/>
        </w:rPr>
      </w:pPr>
      <w:r w:rsidRPr="000971C4">
        <w:rPr>
          <w:rStyle w:val="Znakapoznpodarou"/>
          <w:rFonts w:ascii="Arial" w:hAnsi="Arial" w:cs="Arial"/>
          <w:sz w:val="18"/>
          <w:szCs w:val="18"/>
        </w:rPr>
        <w:footnoteRef/>
      </w:r>
      <w:r w:rsidRPr="000971C4">
        <w:rPr>
          <w:rFonts w:ascii="Arial" w:hAnsi="Arial" w:cs="Arial"/>
          <w:sz w:val="18"/>
          <w:szCs w:val="18"/>
          <w:lang w:val="en-US"/>
        </w:rPr>
        <w:t xml:space="preserve"> M2M (Machine-to-machine) – SIM cards designed exclusively for wireless communication between machines, devices and IS without human intervention.</w:t>
      </w:r>
    </w:p>
  </w:footnote>
  <w:footnote w:id="9">
    <w:p w:rsidR="003945DB" w:rsidRPr="000971C4" w:rsidRDefault="003945DB" w:rsidP="00874476">
      <w:pPr>
        <w:pStyle w:val="Textpoznpodarou"/>
        <w:spacing w:before="60"/>
        <w:jc w:val="both"/>
        <w:rPr>
          <w:rFonts w:ascii="Arial" w:hAnsi="Arial" w:cs="Arial"/>
          <w:sz w:val="18"/>
          <w:szCs w:val="18"/>
          <w:lang w:val="en-GB"/>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The Internet of Things (IoT) covers devices (vehicles, home appliances and other devices) equipped with electronic, software, sensors, moving parts and network connectivity that allow them to connect and exchange data and be manageable even remotely, especially through wireless data and internet technologies, e.g. through a mobile phone. </w:t>
      </w:r>
    </w:p>
  </w:footnote>
  <w:footnote w:id="10">
    <w:p w:rsidR="003945DB" w:rsidRPr="00263A0C" w:rsidRDefault="003945DB" w:rsidP="00874476">
      <w:pPr>
        <w:pStyle w:val="Textpoznpodarou"/>
        <w:spacing w:before="60"/>
        <w:jc w:val="both"/>
        <w:rPr>
          <w:rFonts w:ascii="Arial" w:hAnsi="Arial" w:cs="Arial"/>
          <w:sz w:val="18"/>
          <w:szCs w:val="18"/>
          <w:lang w:val="en-US"/>
        </w:rPr>
      </w:pPr>
      <w:r w:rsidRPr="000971C4">
        <w:rPr>
          <w:rStyle w:val="Znakapoznpodarou"/>
          <w:rFonts w:ascii="Arial" w:hAnsi="Arial" w:cs="Arial"/>
          <w:sz w:val="18"/>
          <w:szCs w:val="18"/>
        </w:rPr>
        <w:footnoteRef/>
      </w:r>
      <w:r w:rsidRPr="000971C4">
        <w:rPr>
          <w:rFonts w:ascii="Arial" w:hAnsi="Arial" w:cs="Arial"/>
          <w:sz w:val="18"/>
          <w:szCs w:val="18"/>
          <w:lang w:val="en-US"/>
        </w:rPr>
        <w:t xml:space="preserve"> The telephone traffic originated in fixed or mobile telephone networks is measured by means of the number of actually called minutes (real minutes of calling) during the reference year, not the invoiced ones.</w:t>
      </w:r>
    </w:p>
  </w:footnote>
  <w:footnote w:id="11">
    <w:p w:rsidR="003945DB" w:rsidRPr="000971C4" w:rsidRDefault="003945DB" w:rsidP="000971C4">
      <w:pPr>
        <w:pStyle w:val="Textpoznpodarou"/>
        <w:jc w:val="both"/>
        <w:rPr>
          <w:rFonts w:ascii="Arial" w:hAnsi="Arial" w:cs="Arial"/>
          <w:sz w:val="18"/>
          <w:szCs w:val="18"/>
        </w:rPr>
      </w:pPr>
      <w:r w:rsidRPr="000971C4">
        <w:rPr>
          <w:rStyle w:val="Znakapoznpodarou"/>
          <w:rFonts w:ascii="Arial" w:hAnsi="Arial" w:cs="Arial"/>
          <w:sz w:val="18"/>
          <w:szCs w:val="18"/>
        </w:rPr>
        <w:footnoteRef/>
      </w:r>
      <w:r w:rsidRPr="000971C4">
        <w:rPr>
          <w:rFonts w:ascii="Arial" w:hAnsi="Arial" w:cs="Arial"/>
          <w:sz w:val="18"/>
          <w:szCs w:val="18"/>
        </w:rPr>
        <w:t xml:space="preserve"> </w:t>
      </w:r>
      <w:r w:rsidRPr="000971C4">
        <w:rPr>
          <w:rFonts w:ascii="Arial" w:hAnsi="Arial" w:cs="Arial"/>
          <w:sz w:val="18"/>
          <w:szCs w:val="18"/>
          <w:lang w:val="en-GB"/>
        </w:rPr>
        <w:t>Broadband subscriptions data are typically supplied to the EC, OECD and ITU by communications regulators that collect them directly from network operators according to common definitions. It is not currently possible for majority of countries – the Czech Republic being exception – to delineate business and consumer subscriptions and so both are counted; the data are presented in relation to the population of individuals.</w:t>
      </w:r>
    </w:p>
  </w:footnote>
  <w:footnote w:id="12">
    <w:p w:rsidR="003945DB" w:rsidRPr="000971C4" w:rsidRDefault="003945DB" w:rsidP="00874476">
      <w:pPr>
        <w:pStyle w:val="Textpoznpodarou"/>
        <w:spacing w:before="60"/>
        <w:jc w:val="both"/>
        <w:rPr>
          <w:rFonts w:ascii="Arial" w:hAnsi="Arial" w:cs="Arial"/>
          <w:sz w:val="18"/>
          <w:szCs w:val="18"/>
          <w:highlight w:val="cyan"/>
          <w:lang w:val="en-GB"/>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The number of fixed internet access subscriptions is measured based on the number of so-called access points (active connections) that provide a service for one of the below technologies employed for the internet access. In majority of cases the number corresponds to the number of agreements concluded for the services providing in the retail segment. Fixed broadband refers to the number of subscriptions to services with 256 kbps advertised speed or greater, provided using DSL, cable, fibre-to-the-home (FTTH), fibre-to-the-building (FTTB), satellite, terrestrial fixed wireless, or other fixed-wired technologies.</w:t>
      </w:r>
    </w:p>
  </w:footnote>
  <w:footnote w:id="13">
    <w:p w:rsidR="003945DB" w:rsidRPr="004F7ED4" w:rsidRDefault="003945DB" w:rsidP="00874476">
      <w:pPr>
        <w:pStyle w:val="Textpoznpodarou"/>
        <w:spacing w:before="60"/>
        <w:jc w:val="both"/>
        <w:rPr>
          <w:rFonts w:ascii="Arial" w:hAnsi="Arial" w:cs="Arial"/>
          <w:sz w:val="18"/>
          <w:szCs w:val="18"/>
          <w:lang w:val="en-GB"/>
        </w:rPr>
      </w:pPr>
      <w:r w:rsidRPr="000971C4">
        <w:rPr>
          <w:rStyle w:val="Znakapoznpodarou"/>
          <w:rFonts w:ascii="Arial" w:hAnsi="Arial" w:cs="Arial"/>
          <w:sz w:val="18"/>
          <w:szCs w:val="18"/>
          <w:lang w:val="en-GB"/>
        </w:rPr>
        <w:footnoteRef/>
      </w:r>
      <w:r w:rsidRPr="000971C4">
        <w:rPr>
          <w:rFonts w:ascii="Arial" w:hAnsi="Arial" w:cs="Arial"/>
          <w:sz w:val="18"/>
          <w:szCs w:val="18"/>
          <w:lang w:val="en-GB"/>
        </w:rPr>
        <w:t xml:space="preserve"> Fixed wireless access (FWA) is the terrestrial internet connection by means of a radio system including non-licensed frequency (Wi-Fi). It is characteristic by placing of the end point device on a fixed location (house, apartment) – the so-called WLL (Wireless Local Loop).</w:t>
      </w:r>
    </w:p>
  </w:footnote>
  <w:footnote w:id="14">
    <w:p w:rsidR="003945DB" w:rsidRPr="002E73A7" w:rsidRDefault="003945DB" w:rsidP="002E73A7">
      <w:pPr>
        <w:pStyle w:val="Textpoznpodarou"/>
        <w:jc w:val="both"/>
        <w:rPr>
          <w:rFonts w:ascii="Arial" w:hAnsi="Arial" w:cs="Arial"/>
          <w:sz w:val="18"/>
          <w:szCs w:val="18"/>
          <w:lang w:val="en-GB"/>
        </w:rPr>
      </w:pPr>
      <w:r w:rsidRPr="002E73A7">
        <w:rPr>
          <w:rStyle w:val="Znakapoznpodarou"/>
          <w:rFonts w:ascii="Arial" w:hAnsi="Arial" w:cs="Arial"/>
          <w:sz w:val="18"/>
          <w:szCs w:val="18"/>
          <w:lang w:val="en-GB"/>
        </w:rPr>
        <w:footnoteRef/>
      </w:r>
      <w:r w:rsidRPr="002E73A7">
        <w:rPr>
          <w:rFonts w:ascii="Arial" w:hAnsi="Arial" w:cs="Arial"/>
          <w:sz w:val="18"/>
          <w:szCs w:val="18"/>
          <w:lang w:val="en-GB"/>
        </w:rPr>
        <w:t xml:space="preserve"> Thanks to this technology, which is used as an alternative to other (traditional) means of internet connections (xDSL, connection via cable TV mains, etc.), the Czech Republic keeps a specific position among the EU countries on the</w:t>
      </w:r>
      <w:r w:rsidRPr="002E73A7">
        <w:rPr>
          <w:rFonts w:ascii="Arial" w:hAnsi="Arial" w:cs="Arial"/>
          <w:lang w:val="en-GB"/>
        </w:rPr>
        <w:t xml:space="preserve"> </w:t>
      </w:r>
      <w:r w:rsidRPr="002E73A7">
        <w:rPr>
          <w:rFonts w:ascii="Arial" w:hAnsi="Arial" w:cs="Arial"/>
          <w:sz w:val="18"/>
          <w:szCs w:val="18"/>
          <w:lang w:val="en-GB"/>
        </w:rPr>
        <w:t>market of fixed internet infrastructure. A significant factor in the use of high-speed services via Wi-Fi networks is, above all, a lower price while maintaining sufficient user quality of these services as well as their availability practically throughout the whole territory of the Czech Republic.</w:t>
      </w:r>
    </w:p>
  </w:footnote>
  <w:footnote w:id="15">
    <w:p w:rsidR="003945DB" w:rsidRPr="002E73A7" w:rsidRDefault="003945DB" w:rsidP="00874476">
      <w:pPr>
        <w:pStyle w:val="Textpoznpodarou"/>
        <w:spacing w:before="60"/>
        <w:jc w:val="both"/>
        <w:rPr>
          <w:rFonts w:ascii="Arial" w:hAnsi="Arial" w:cs="Arial"/>
          <w:sz w:val="18"/>
          <w:szCs w:val="18"/>
          <w:lang w:val="en-GB"/>
        </w:rPr>
      </w:pPr>
      <w:r w:rsidRPr="002E73A7">
        <w:rPr>
          <w:rStyle w:val="Znakapoznpodarou"/>
          <w:rFonts w:ascii="Arial" w:hAnsi="Arial" w:cs="Arial"/>
          <w:sz w:val="18"/>
          <w:szCs w:val="18"/>
          <w:lang w:val="en-GB"/>
        </w:rPr>
        <w:footnoteRef/>
      </w:r>
      <w:r w:rsidRPr="002E73A7">
        <w:rPr>
          <w:rFonts w:ascii="Arial" w:hAnsi="Arial" w:cs="Arial"/>
          <w:sz w:val="18"/>
          <w:szCs w:val="18"/>
          <w:lang w:val="en-GB"/>
        </w:rPr>
        <w:t xml:space="preserve"> In the past, this situation was primarily caused by the price, offered quality, and generally worse availability of ADSL technology in the Czech Republic as opposed to the majority of EU countries where ADSL technology most frequently belonged among the first affordable quality technology used for high-speed internet access. </w:t>
      </w:r>
    </w:p>
  </w:footnote>
  <w:footnote w:id="16">
    <w:p w:rsidR="003945DB" w:rsidRPr="002E73A7" w:rsidRDefault="003945DB" w:rsidP="002E73A7">
      <w:pPr>
        <w:pStyle w:val="Textpoznpodarou"/>
        <w:spacing w:before="60"/>
        <w:jc w:val="both"/>
        <w:rPr>
          <w:rFonts w:ascii="Arial" w:hAnsi="Arial" w:cs="Arial"/>
        </w:rPr>
      </w:pPr>
      <w:r w:rsidRPr="002E73A7">
        <w:rPr>
          <w:rStyle w:val="Znakapoznpodarou"/>
          <w:rFonts w:ascii="Arial" w:hAnsi="Arial" w:cs="Arial"/>
          <w:sz w:val="18"/>
        </w:rPr>
        <w:footnoteRef/>
      </w:r>
      <w:r w:rsidRPr="002E73A7">
        <w:rPr>
          <w:rFonts w:ascii="Arial" w:hAnsi="Arial" w:cs="Arial"/>
        </w:rPr>
        <w:t xml:space="preserve"> </w:t>
      </w:r>
      <w:r w:rsidRPr="002E73A7">
        <w:rPr>
          <w:rFonts w:ascii="Arial" w:hAnsi="Arial" w:cs="Arial"/>
          <w:sz w:val="18"/>
          <w:szCs w:val="18"/>
          <w:lang w:val="en-GB"/>
        </w:rPr>
        <w:t>Fibre broadband refers to subscriptions using FTTH or FTTB where fibre reaches the subscriber’s premises or terminates no more than 2 metres from an external wall. Excludes fibre</w:t>
      </w:r>
      <w:r w:rsidRPr="002E73A7">
        <w:rPr>
          <w:rFonts w:ascii="Cambria Math" w:hAnsi="Cambria Math" w:cs="Cambria Math"/>
          <w:sz w:val="18"/>
          <w:szCs w:val="18"/>
          <w:lang w:val="en-GB"/>
        </w:rPr>
        <w:t>‐</w:t>
      </w:r>
      <w:r w:rsidRPr="002E73A7">
        <w:rPr>
          <w:rFonts w:ascii="Arial" w:hAnsi="Arial" w:cs="Arial"/>
          <w:sz w:val="18"/>
          <w:szCs w:val="18"/>
          <w:lang w:val="en-GB"/>
        </w:rPr>
        <w:t>to</w:t>
      </w:r>
      <w:r w:rsidRPr="002E73A7">
        <w:rPr>
          <w:rFonts w:ascii="Cambria Math" w:hAnsi="Cambria Math" w:cs="Cambria Math"/>
          <w:sz w:val="18"/>
          <w:szCs w:val="18"/>
          <w:lang w:val="en-GB"/>
        </w:rPr>
        <w:t>‐</w:t>
      </w:r>
      <w:r w:rsidRPr="002E73A7">
        <w:rPr>
          <w:rFonts w:ascii="Arial" w:hAnsi="Arial" w:cs="Arial"/>
          <w:sz w:val="18"/>
          <w:szCs w:val="18"/>
          <w:lang w:val="en-GB"/>
        </w:rPr>
        <w:t>the</w:t>
      </w:r>
      <w:r w:rsidRPr="002E73A7">
        <w:rPr>
          <w:rFonts w:ascii="Cambria Math" w:hAnsi="Cambria Math" w:cs="Cambria Math"/>
          <w:sz w:val="18"/>
          <w:szCs w:val="18"/>
          <w:lang w:val="en-GB"/>
        </w:rPr>
        <w:t>‐</w:t>
      </w:r>
      <w:r w:rsidRPr="002E73A7">
        <w:rPr>
          <w:rFonts w:ascii="Arial" w:hAnsi="Arial" w:cs="Arial"/>
          <w:sz w:val="18"/>
          <w:szCs w:val="18"/>
          <w:lang w:val="en-GB"/>
        </w:rPr>
        <w:t>node/cabinet.</w:t>
      </w:r>
    </w:p>
  </w:footnote>
  <w:footnote w:id="17">
    <w:p w:rsidR="003945DB" w:rsidRDefault="003945DB" w:rsidP="002E73A7">
      <w:pPr>
        <w:pStyle w:val="Textpoznpodarou"/>
        <w:jc w:val="both"/>
      </w:pPr>
      <w:r w:rsidRPr="00264338">
        <w:rPr>
          <w:rStyle w:val="Znakapoznpodarou"/>
          <w:rFonts w:ascii="Arial" w:hAnsi="Arial" w:cs="Arial"/>
          <w:sz w:val="18"/>
          <w:szCs w:val="18"/>
        </w:rPr>
        <w:footnoteRef/>
      </w:r>
      <w:r>
        <w:t xml:space="preserve"> </w:t>
      </w:r>
      <w:r w:rsidRPr="00DE192F">
        <w:rPr>
          <w:rFonts w:ascii="Arial" w:hAnsi="Arial" w:cs="Arial"/>
          <w:sz w:val="18"/>
          <w:szCs w:val="18"/>
          <w:lang w:val="en-GB"/>
        </w:rPr>
        <w:t>Internet speed is measured by the amount of data that can pass through the connection in a given amount of time. The most fundamental unit of digital data is the “bit” – which comprises a 0 or 1 in binary code. 1 000 bits is a kilobit, 1</w:t>
      </w:r>
      <w:r>
        <w:rPr>
          <w:rFonts w:ascii="Arial" w:hAnsi="Arial" w:cs="Arial"/>
          <w:sz w:val="18"/>
          <w:szCs w:val="18"/>
          <w:lang w:val="en-GB"/>
        </w:rPr>
        <w:t> </w:t>
      </w:r>
      <w:r w:rsidRPr="00DE192F">
        <w:rPr>
          <w:rFonts w:ascii="Arial" w:hAnsi="Arial" w:cs="Arial"/>
          <w:sz w:val="18"/>
          <w:szCs w:val="18"/>
          <w:lang w:val="en-GB"/>
        </w:rPr>
        <w:t>000</w:t>
      </w:r>
      <w:r>
        <w:rPr>
          <w:rFonts w:ascii="Arial" w:hAnsi="Arial" w:cs="Arial"/>
          <w:sz w:val="18"/>
          <w:szCs w:val="18"/>
          <w:lang w:val="en-GB"/>
        </w:rPr>
        <w:t> </w:t>
      </w:r>
      <w:r w:rsidRPr="00DE192F">
        <w:rPr>
          <w:rFonts w:ascii="Arial" w:hAnsi="Arial" w:cs="Arial"/>
          <w:sz w:val="18"/>
          <w:szCs w:val="18"/>
          <w:lang w:val="en-GB"/>
        </w:rPr>
        <w:t>kilobits is a megabit, and 1 000 megabits is a gigabit. Network speed is expressed in terms of how many of these are flowing through the connection each second to give – kilobits per second (Kbps), megabits per second (Mbps), and</w:t>
      </w:r>
      <w:r>
        <w:rPr>
          <w:rFonts w:ascii="Arial" w:hAnsi="Arial" w:cs="Arial"/>
          <w:sz w:val="18"/>
          <w:szCs w:val="18"/>
          <w:lang w:val="en-GB"/>
        </w:rPr>
        <w:t> g</w:t>
      </w:r>
      <w:r w:rsidRPr="00DE192F">
        <w:rPr>
          <w:rFonts w:ascii="Arial" w:hAnsi="Arial" w:cs="Arial"/>
          <w:sz w:val="18"/>
          <w:szCs w:val="18"/>
          <w:lang w:val="en-GB"/>
        </w:rPr>
        <w:t>igabits per second (Gbps).</w:t>
      </w:r>
      <w:r>
        <w:rPr>
          <w:rFonts w:ascii="Arial" w:hAnsi="Arial" w:cs="Arial"/>
          <w:sz w:val="18"/>
          <w:szCs w:val="18"/>
          <w:lang w:val="en-GB"/>
        </w:rPr>
        <w:t xml:space="preserve"> </w:t>
      </w:r>
      <w:r w:rsidRPr="008776DE">
        <w:rPr>
          <w:rFonts w:ascii="Arial" w:hAnsi="Arial" w:cs="Arial"/>
          <w:sz w:val="18"/>
          <w:szCs w:val="18"/>
          <w:lang w:val="en-GB"/>
        </w:rPr>
        <w:t xml:space="preserve">These data focus on download speed (i.e. the speed of data flowing from the </w:t>
      </w:r>
      <w:r>
        <w:rPr>
          <w:rFonts w:ascii="Arial" w:hAnsi="Arial" w:cs="Arial"/>
          <w:sz w:val="18"/>
          <w:szCs w:val="18"/>
          <w:lang w:val="en-GB"/>
        </w:rPr>
        <w:t>i</w:t>
      </w:r>
      <w:r w:rsidRPr="008776DE">
        <w:rPr>
          <w:rFonts w:ascii="Arial" w:hAnsi="Arial" w:cs="Arial"/>
          <w:sz w:val="18"/>
          <w:szCs w:val="18"/>
          <w:lang w:val="en-GB"/>
        </w:rPr>
        <w:t>nternet to</w:t>
      </w:r>
      <w:r>
        <w:rPr>
          <w:rFonts w:ascii="Arial" w:hAnsi="Arial" w:cs="Arial"/>
          <w:sz w:val="18"/>
          <w:szCs w:val="18"/>
          <w:lang w:val="en-GB"/>
        </w:rPr>
        <w:t> </w:t>
      </w:r>
      <w:r w:rsidRPr="008776DE">
        <w:rPr>
          <w:rFonts w:ascii="Arial" w:hAnsi="Arial" w:cs="Arial"/>
          <w:sz w:val="18"/>
          <w:szCs w:val="18"/>
          <w:lang w:val="en-GB"/>
        </w:rPr>
        <w:t>the user’s device); nevertheless, the speed at which data moves in the opposite direction (upload speed) is also an</w:t>
      </w:r>
      <w:r>
        <w:rPr>
          <w:rFonts w:ascii="Arial" w:hAnsi="Arial" w:cs="Arial"/>
          <w:sz w:val="18"/>
          <w:szCs w:val="18"/>
          <w:lang w:val="en-GB"/>
        </w:rPr>
        <w:t> </w:t>
      </w:r>
      <w:r w:rsidRPr="008776DE">
        <w:rPr>
          <w:rFonts w:ascii="Arial" w:hAnsi="Arial" w:cs="Arial"/>
          <w:sz w:val="18"/>
          <w:szCs w:val="18"/>
          <w:lang w:val="en-GB"/>
        </w:rPr>
        <w:t>important aspect of overall connection quality (as well as reliability).</w:t>
      </w:r>
      <w:r>
        <w:rPr>
          <w:rFonts w:ascii="Arial" w:hAnsi="Arial" w:cs="Arial"/>
          <w:sz w:val="18"/>
          <w:szCs w:val="18"/>
          <w:lang w:val="en-GB"/>
        </w:rPr>
        <w:t xml:space="preserve"> </w:t>
      </w:r>
      <w:r w:rsidRPr="008776DE">
        <w:rPr>
          <w:rFonts w:ascii="Arial" w:hAnsi="Arial" w:cs="Arial"/>
          <w:sz w:val="18"/>
          <w:szCs w:val="18"/>
          <w:lang w:val="en-GB"/>
        </w:rPr>
        <w:t>Measurement of broadband performance is affected by the potential gap between advertised and “actual” speeds delivered to customers.</w:t>
      </w:r>
    </w:p>
  </w:footnote>
  <w:footnote w:id="18">
    <w:p w:rsidR="003945DB" w:rsidRPr="00B01C59" w:rsidRDefault="003945DB" w:rsidP="00BB78A6">
      <w:pPr>
        <w:pStyle w:val="Textpoznpodarou"/>
        <w:jc w:val="both"/>
        <w:rPr>
          <w:rFonts w:ascii="Arial" w:hAnsi="Arial" w:cs="Arial"/>
          <w:sz w:val="18"/>
          <w:lang w:val="en-GB"/>
        </w:rPr>
      </w:pPr>
      <w:r w:rsidRPr="00B01C59">
        <w:rPr>
          <w:rStyle w:val="Znakapoznpodarou"/>
          <w:rFonts w:ascii="Arial" w:hAnsi="Arial" w:cs="Arial"/>
          <w:sz w:val="18"/>
          <w:lang w:val="en-GB"/>
        </w:rPr>
        <w:footnoteRef/>
      </w:r>
      <w:r w:rsidRPr="00B01C59">
        <w:rPr>
          <w:lang w:val="en-GB"/>
        </w:rPr>
        <w:t xml:space="preserve"> </w:t>
      </w:r>
      <w:r w:rsidRPr="00B01C59">
        <w:rPr>
          <w:rFonts w:ascii="Arial" w:hAnsi="Arial"/>
          <w:sz w:val="18"/>
          <w:lang w:val="en-GB"/>
        </w:rPr>
        <w:t xml:space="preserve">Since 2002, Czech Statistical Office monitors detailed data on the expansion of selected ICT in households by means of </w:t>
      </w:r>
      <w:r w:rsidRPr="00B01C59">
        <w:rPr>
          <w:rFonts w:ascii="Arial" w:hAnsi="Arial"/>
          <w:b/>
          <w:sz w:val="18"/>
          <w:lang w:val="en-GB"/>
        </w:rPr>
        <w:t>Selective Survey on ICT usage in households (VŠIT).</w:t>
      </w:r>
      <w:r w:rsidRPr="00B01C59">
        <w:rPr>
          <w:lang w:val="en-GB"/>
        </w:rPr>
        <w:t xml:space="preserve"> </w:t>
      </w:r>
      <w:r w:rsidRPr="00B01C59">
        <w:rPr>
          <w:rFonts w:ascii="Arial" w:hAnsi="Arial"/>
          <w:sz w:val="18"/>
          <w:szCs w:val="18"/>
          <w:lang w:val="en-GB"/>
        </w:rPr>
        <w:t>The survey is carried out by means of a survey sample of approx. 5 thousand households and the results are compared to all private households in the Czech Republic.</w:t>
      </w:r>
      <w:r w:rsidRPr="00B01C59">
        <w:rPr>
          <w:rFonts w:ascii="Arial" w:hAnsi="Arial"/>
          <w:sz w:val="18"/>
          <w:lang w:val="en-GB"/>
        </w:rPr>
        <w:t xml:space="preserve"> Since 2006, the survey is carried out yearly in the 2nd quarter of the monitored year in all EU countries as a mandatory survey stipulated by the Regulation (EC) No. 808/2004 of the European Parliament and of the Council concerning Community statistics on the information society. The foundation for the selection of surveyed topics, forms of individual concepts and questions is the yearly updated model survey carried out by Eurostat. The ascertained data from this survey serves primarily to the regular monitoring of performance of individual targets of Digital Agenda for Europe and also the public administration of the Czech Republic with respect to the development of information society and digital economics. </w:t>
      </w:r>
    </w:p>
    <w:p w:rsidR="003945DB" w:rsidRPr="00B01C59" w:rsidRDefault="003945DB" w:rsidP="00BB78A6">
      <w:pPr>
        <w:pStyle w:val="Textpoznpodarou"/>
        <w:rPr>
          <w:rFonts w:ascii="Arial" w:hAnsi="Arial" w:cs="Arial"/>
          <w:b/>
          <w:bCs/>
          <w:sz w:val="18"/>
          <w:highlight w:val="yellow"/>
          <w:lang w:val="en-GB"/>
        </w:rPr>
      </w:pPr>
      <w:r w:rsidRPr="00B01C59">
        <w:rPr>
          <w:rFonts w:ascii="Arial" w:hAnsi="Arial"/>
          <w:sz w:val="18"/>
          <w:lang w:val="en-GB"/>
        </w:rPr>
        <w:t>For more details see</w:t>
      </w:r>
      <w:r>
        <w:rPr>
          <w:rFonts w:ascii="Arial" w:hAnsi="Arial"/>
          <w:sz w:val="18"/>
          <w:lang w:val="en-GB"/>
        </w:rPr>
        <w:t xml:space="preserve"> (</w:t>
      </w:r>
      <w:r w:rsidRPr="0058273D">
        <w:rPr>
          <w:rFonts w:ascii="Arial" w:hAnsi="Arial"/>
          <w:i/>
          <w:sz w:val="18"/>
          <w:lang w:val="en-GB"/>
        </w:rPr>
        <w:t>only in Czech</w:t>
      </w:r>
      <w:r>
        <w:rPr>
          <w:rFonts w:ascii="Arial" w:hAnsi="Arial"/>
          <w:sz w:val="18"/>
          <w:lang w:val="en-GB"/>
        </w:rPr>
        <w:t>)</w:t>
      </w:r>
      <w:r w:rsidRPr="00B01C59">
        <w:rPr>
          <w:rFonts w:ascii="Arial" w:hAnsi="Arial"/>
          <w:sz w:val="18"/>
          <w:lang w:val="en-GB"/>
        </w:rPr>
        <w:t>:</w:t>
      </w:r>
      <w:r w:rsidRPr="00B01C59">
        <w:rPr>
          <w:sz w:val="15"/>
          <w:lang w:val="en-GB"/>
        </w:rPr>
        <w:t xml:space="preserve"> </w:t>
      </w:r>
      <w:r w:rsidRPr="00776859">
        <w:rPr>
          <w:rStyle w:val="Hypertextovodkaz"/>
          <w:rFonts w:ascii="Arial" w:eastAsia="MS Gothic" w:hAnsi="Arial" w:cs="Arial"/>
          <w:color w:val="auto"/>
          <w:sz w:val="18"/>
          <w:szCs w:val="18"/>
          <w:u w:val="none"/>
          <w:lang w:val="en-GB"/>
        </w:rPr>
        <w:t>https://www.czso.cz/csu/czso/domacnosti_a_jednotlivci</w:t>
      </w:r>
      <w:r w:rsidRPr="00776859">
        <w:rPr>
          <w:rFonts w:ascii="Arial" w:hAnsi="Arial"/>
          <w:b/>
          <w:bCs/>
          <w:sz w:val="18"/>
          <w:lang w:val="en-GB"/>
        </w:rPr>
        <w:t xml:space="preserve"> </w:t>
      </w:r>
    </w:p>
  </w:footnote>
  <w:footnote w:id="19">
    <w:p w:rsidR="003945DB" w:rsidRPr="00944712" w:rsidRDefault="003945DB" w:rsidP="00BB78A6">
      <w:pPr>
        <w:pStyle w:val="Textpoznpodarou"/>
        <w:spacing w:before="60"/>
        <w:jc w:val="both"/>
        <w:rPr>
          <w:rFonts w:ascii="Arial" w:hAnsi="Arial" w:cs="Arial"/>
        </w:rPr>
      </w:pPr>
      <w:r w:rsidRPr="00B01C59">
        <w:rPr>
          <w:rStyle w:val="Znakapoznpodarou"/>
          <w:rFonts w:ascii="Arial" w:hAnsi="Arial" w:cs="Arial"/>
          <w:sz w:val="18"/>
          <w:lang w:val="en-GB"/>
        </w:rPr>
        <w:footnoteRef/>
      </w:r>
      <w:r w:rsidRPr="00B01C59">
        <w:rPr>
          <w:rFonts w:ascii="Arial" w:hAnsi="Arial"/>
          <w:sz w:val="18"/>
          <w:lang w:val="en-GB"/>
        </w:rPr>
        <w:t xml:space="preserve"> Data concerning the equipment of households with a fixed telephone line and a mobile phone as of the end of the monitored year was collected from the </w:t>
      </w:r>
      <w:r w:rsidRPr="00B01C59">
        <w:rPr>
          <w:rFonts w:ascii="Arial" w:hAnsi="Arial"/>
          <w:b/>
          <w:sz w:val="18"/>
          <w:lang w:val="en-GB"/>
        </w:rPr>
        <w:t>Statistical Report of Family Accounts of the CZSO</w:t>
      </w:r>
      <w:r w:rsidRPr="00B01C59">
        <w:rPr>
          <w:rFonts w:ascii="Arial" w:hAnsi="Arial"/>
          <w:sz w:val="18"/>
          <w:lang w:val="en-GB"/>
        </w:rPr>
        <w:t xml:space="preserve"> where the data is available with respect to individual types of households and various surveyed topics. Within the scope of this statistical report, this data was last monitored for the year 2016.</w:t>
      </w:r>
      <w:r>
        <w:rPr>
          <w:rFonts w:ascii="Arial" w:hAnsi="Arial"/>
          <w:iCs/>
          <w:sz w:val="14"/>
          <w:szCs w:val="24"/>
        </w:rPr>
        <w:t xml:space="preserve"> </w:t>
      </w:r>
    </w:p>
  </w:footnote>
  <w:footnote w:id="20">
    <w:p w:rsidR="003945DB" w:rsidRPr="00D80D97" w:rsidRDefault="003945DB" w:rsidP="00BB78A6">
      <w:pPr>
        <w:pStyle w:val="Textpoznpodarou"/>
        <w:jc w:val="both"/>
        <w:rPr>
          <w:highlight w:val="cyan"/>
        </w:rPr>
      </w:pPr>
      <w:r w:rsidRPr="00B01C59">
        <w:rPr>
          <w:rStyle w:val="Znakapoznpodarou"/>
          <w:rFonts w:ascii="Arial" w:hAnsi="Arial" w:cs="Arial"/>
          <w:sz w:val="18"/>
          <w:lang w:val="en-GB"/>
        </w:rPr>
        <w:footnoteRef/>
      </w:r>
      <w:r w:rsidRPr="00B01C59">
        <w:rPr>
          <w:rFonts w:ascii="Arial" w:hAnsi="Arial" w:cs="Arial"/>
          <w:sz w:val="18"/>
          <w:lang w:val="en-GB"/>
        </w:rPr>
        <w:t xml:space="preserve"> </w:t>
      </w:r>
      <w:r w:rsidRPr="00B01C59">
        <w:rPr>
          <w:rFonts w:ascii="Arial" w:hAnsi="Arial"/>
          <w:sz w:val="18"/>
          <w:lang w:val="en-GB"/>
        </w:rPr>
        <w:t xml:space="preserve">Data on </w:t>
      </w:r>
      <w:r w:rsidRPr="00B01C59">
        <w:rPr>
          <w:rFonts w:ascii="Arial" w:hAnsi="Arial"/>
          <w:b/>
          <w:sz w:val="18"/>
          <w:lang w:val="en-GB"/>
        </w:rPr>
        <w:t>total household expenditure for telecommunication services</w:t>
      </w:r>
      <w:r w:rsidRPr="00B01C59">
        <w:rPr>
          <w:rFonts w:ascii="Arial" w:hAnsi="Arial"/>
          <w:sz w:val="18"/>
          <w:lang w:val="en-GB"/>
        </w:rPr>
        <w:t xml:space="preserve"> (CZ-COICOP: 08.3) was obtained from the Czech Database of National Accounts using the national concept, which includes expenditure of residents in the Czech Republic and abroad spent on telecommunication services dedicated to direct satisfaction of needs and wishes of individuals. Expenditure for telecommunication services includes not only fixed line and mobile phone related services, but also payments for internet connection and bundled (packages) services. Further information: </w:t>
      </w:r>
      <w:hyperlink r:id="rId1" w:history="1">
        <w:r w:rsidRPr="00776859">
          <w:rPr>
            <w:rStyle w:val="Hypertextovodkaz"/>
            <w:rFonts w:ascii="Arial" w:hAnsi="Arial"/>
            <w:color w:val="auto"/>
            <w:sz w:val="18"/>
            <w:u w:val="none"/>
            <w:lang w:val="en-GB"/>
          </w:rPr>
          <w:t>http://apl.czso.cz/pll/rocenka/rocenkavyber.spotr_dom?mylang=EN</w:t>
        </w:r>
      </w:hyperlink>
    </w:p>
  </w:footnote>
  <w:footnote w:id="21">
    <w:p w:rsidR="003945DB" w:rsidRDefault="003945DB" w:rsidP="00D3587A">
      <w:pPr>
        <w:pStyle w:val="Textpoznpodarou"/>
        <w:spacing w:before="60"/>
        <w:jc w:val="both"/>
      </w:pPr>
      <w:r w:rsidRPr="00B01C59">
        <w:rPr>
          <w:rStyle w:val="Znakapoznpodarou"/>
          <w:rFonts w:ascii="Arial" w:hAnsi="Arial" w:cs="Arial"/>
          <w:sz w:val="18"/>
          <w:lang w:val="en-GB"/>
        </w:rPr>
        <w:footnoteRef/>
      </w:r>
      <w:r w:rsidRPr="00B01C59">
        <w:rPr>
          <w:lang w:val="en-GB"/>
        </w:rPr>
        <w:t xml:space="preserve"> </w:t>
      </w:r>
      <w:r w:rsidRPr="00B01C59">
        <w:rPr>
          <w:rFonts w:ascii="Arial" w:hAnsi="Arial"/>
          <w:sz w:val="18"/>
          <w:szCs w:val="18"/>
          <w:lang w:val="en-GB"/>
        </w:rPr>
        <w:t xml:space="preserve">Data on household consumption expenditures for telecommunications services </w:t>
      </w:r>
      <w:r>
        <w:rPr>
          <w:rFonts w:ascii="Arial" w:hAnsi="Arial"/>
          <w:sz w:val="18"/>
          <w:szCs w:val="18"/>
          <w:lang w:val="en-GB"/>
        </w:rPr>
        <w:t>–</w:t>
      </w:r>
      <w:r w:rsidRPr="00B01C59">
        <w:rPr>
          <w:rFonts w:ascii="Arial" w:hAnsi="Arial"/>
          <w:sz w:val="18"/>
          <w:szCs w:val="18"/>
          <w:lang w:val="en-GB"/>
        </w:rPr>
        <w:t xml:space="preserve"> </w:t>
      </w:r>
      <w:r w:rsidRPr="00B01C59">
        <w:rPr>
          <w:rFonts w:ascii="Arial" w:hAnsi="Arial"/>
          <w:b/>
          <w:sz w:val="18"/>
          <w:szCs w:val="18"/>
          <w:lang w:val="en-GB"/>
        </w:rPr>
        <w:t>annual averages in CZK per household member</w:t>
      </w:r>
      <w:r w:rsidRPr="00B01C59">
        <w:rPr>
          <w:rFonts w:ascii="Arial" w:hAnsi="Arial"/>
          <w:sz w:val="18"/>
          <w:szCs w:val="18"/>
          <w:lang w:val="en-GB"/>
        </w:rPr>
        <w:t xml:space="preserve"> </w:t>
      </w:r>
      <w:r>
        <w:rPr>
          <w:rFonts w:ascii="Arial" w:hAnsi="Arial"/>
          <w:sz w:val="18"/>
          <w:szCs w:val="18"/>
          <w:lang w:val="en-GB"/>
        </w:rPr>
        <w:t>–</w:t>
      </w:r>
      <w:r w:rsidRPr="00B01C59">
        <w:rPr>
          <w:rFonts w:ascii="Arial" w:hAnsi="Arial"/>
          <w:sz w:val="18"/>
          <w:szCs w:val="18"/>
          <w:lang w:val="en-GB"/>
        </w:rPr>
        <w:t xml:space="preserve"> was obtained from Household Budget Surveys, where data is available in a wide range of classifications by type of household or type of telecommunication service. Further information: </w:t>
      </w:r>
      <w:hyperlink r:id="rId2" w:history="1">
        <w:r w:rsidRPr="00776859">
          <w:rPr>
            <w:rStyle w:val="Hypertextovodkaz"/>
            <w:rFonts w:ascii="Arial" w:hAnsi="Arial" w:cs="Arial"/>
            <w:color w:val="auto"/>
            <w:sz w:val="18"/>
            <w:szCs w:val="18"/>
            <w:u w:val="none"/>
            <w:lang w:val="en-GB"/>
          </w:rPr>
          <w:t>https://www.czso.cz/csu/czso/expenditures-and-consumption-of-households-included-in-the-household-budget-survey-2016</w:t>
        </w:r>
      </w:hyperlink>
    </w:p>
  </w:footnote>
  <w:footnote w:id="22">
    <w:p w:rsidR="003945DB" w:rsidRDefault="003945DB" w:rsidP="00BB78A6">
      <w:pPr>
        <w:pStyle w:val="Zkladntext"/>
        <w:spacing w:before="0"/>
      </w:pPr>
      <w:r w:rsidRPr="00B01C59">
        <w:rPr>
          <w:rStyle w:val="Znakapoznpodarou"/>
          <w:sz w:val="18"/>
          <w:lang w:val="en-GB"/>
        </w:rPr>
        <w:footnoteRef/>
      </w:r>
      <w:r w:rsidRPr="00B01C59">
        <w:rPr>
          <w:sz w:val="18"/>
          <w:lang w:val="en-GB"/>
        </w:rPr>
        <w:t xml:space="preserve"> </w:t>
      </w:r>
      <w:r w:rsidRPr="00B01C59">
        <w:rPr>
          <w:b/>
          <w:sz w:val="18"/>
          <w:szCs w:val="18"/>
          <w:lang w:val="en-GB"/>
        </w:rPr>
        <w:t>Households with computer</w:t>
      </w:r>
      <w:r w:rsidRPr="00B01C59">
        <w:rPr>
          <w:sz w:val="18"/>
          <w:szCs w:val="18"/>
          <w:lang w:val="en-GB"/>
        </w:rPr>
        <w:t xml:space="preserve"> involve all households, which at the time of the survey stated, that at least one of the household members had access to a personal computer at home. The household does not need to be in possession of the computer (it may be employer’s computer, one borrowed from friends, etc.) yet this computer should be functional and located at home. A portable computer may not be permanently located at home; it may be in use at work or at school.</w:t>
      </w:r>
    </w:p>
  </w:footnote>
  <w:footnote w:id="23">
    <w:p w:rsidR="003945DB" w:rsidRDefault="003945DB" w:rsidP="00264520">
      <w:pPr>
        <w:pStyle w:val="Zkladntext"/>
        <w:spacing w:before="0"/>
      </w:pPr>
      <w:r w:rsidRPr="0081677C">
        <w:rPr>
          <w:rStyle w:val="Znakapoznpodarou"/>
          <w:sz w:val="18"/>
          <w:lang w:val="en-GB"/>
        </w:rPr>
        <w:footnoteRef/>
      </w:r>
      <w:r w:rsidRPr="0081677C">
        <w:rPr>
          <w:sz w:val="18"/>
          <w:lang w:val="en-GB"/>
        </w:rPr>
        <w:t xml:space="preserve"> </w:t>
      </w:r>
      <w:r w:rsidRPr="0081677C">
        <w:rPr>
          <w:b/>
          <w:sz w:val="18"/>
          <w:szCs w:val="20"/>
          <w:lang w:val="en-GB"/>
        </w:rPr>
        <w:t>Households with the internet</w:t>
      </w:r>
      <w:r w:rsidRPr="0081677C">
        <w:rPr>
          <w:sz w:val="18"/>
          <w:szCs w:val="20"/>
          <w:lang w:val="en-GB"/>
        </w:rPr>
        <w:t xml:space="preserve"> include all households, which at the time of survey stated that at least one of the household members had an access to the internet at home. It does not matter what type is the device used (desktop computer, portable computer, mobile phone, digital TV, game deck, or other device), or the way of connection.</w:t>
      </w:r>
    </w:p>
  </w:footnote>
  <w:footnote w:id="24">
    <w:p w:rsidR="003945DB" w:rsidRDefault="003945DB" w:rsidP="00BB78A6">
      <w:pPr>
        <w:pStyle w:val="Textpoznpodarou"/>
        <w:jc w:val="both"/>
      </w:pPr>
      <w:r w:rsidRPr="007C5871">
        <w:rPr>
          <w:rStyle w:val="Znakapoznpodarou"/>
          <w:rFonts w:ascii="Arial" w:hAnsi="Arial" w:cs="Arial"/>
          <w:sz w:val="18"/>
        </w:rPr>
        <w:footnoteRef/>
      </w:r>
      <w:r w:rsidRPr="00ED63D6">
        <w:t xml:space="preserve"> </w:t>
      </w:r>
      <w:r w:rsidRPr="00ED63D6">
        <w:rPr>
          <w:rFonts w:ascii="Arial" w:hAnsi="Arial"/>
          <w:sz w:val="18"/>
          <w:lang w:val="en-GB"/>
        </w:rPr>
        <w:t>In the question on the reasons why households do not have an internet connection at home, households may have multiple responses.</w:t>
      </w:r>
    </w:p>
  </w:footnote>
  <w:footnote w:id="25">
    <w:p w:rsidR="003945DB" w:rsidRPr="00EE5163" w:rsidRDefault="003945DB" w:rsidP="003901A1">
      <w:pPr>
        <w:pStyle w:val="Textpoznpodarou"/>
        <w:jc w:val="both"/>
        <w:rPr>
          <w:highlight w:val="cyan"/>
          <w:lang w:val="en-GB"/>
        </w:rPr>
      </w:pPr>
      <w:r w:rsidRPr="00EE5163">
        <w:rPr>
          <w:rStyle w:val="Znakapoznpodarou"/>
          <w:rFonts w:ascii="Arial" w:hAnsi="Arial" w:cs="Arial"/>
          <w:sz w:val="18"/>
          <w:lang w:val="en-GB"/>
        </w:rPr>
        <w:footnoteRef/>
      </w:r>
      <w:r w:rsidRPr="00EE5163">
        <w:rPr>
          <w:rFonts w:ascii="Arial" w:hAnsi="Arial"/>
          <w:sz w:val="18"/>
          <w:lang w:val="en-GB"/>
        </w:rPr>
        <w:t xml:space="preserve"> Types of connection to the internet involve only the types of connection provided by supplier. It does not specify if the connection is shared by multiple devices within one household.</w:t>
      </w:r>
      <w:r w:rsidRPr="00EE5163">
        <w:rPr>
          <w:sz w:val="18"/>
          <w:highlight w:val="cyan"/>
          <w:lang w:val="en-GB"/>
        </w:rPr>
        <w:t xml:space="preserve"> </w:t>
      </w:r>
    </w:p>
  </w:footnote>
  <w:footnote w:id="26">
    <w:p w:rsidR="003945DB" w:rsidRPr="00971D25" w:rsidRDefault="003945DB" w:rsidP="00BB78A6">
      <w:pPr>
        <w:pStyle w:val="Textpoznpodarou"/>
        <w:spacing w:before="60"/>
        <w:jc w:val="both"/>
        <w:rPr>
          <w:rFonts w:ascii="Arial" w:hAnsi="Arial" w:cs="Arial"/>
          <w:sz w:val="18"/>
        </w:rPr>
      </w:pPr>
      <w:r w:rsidRPr="00C579B9">
        <w:rPr>
          <w:rStyle w:val="Znakapoznpodarou"/>
          <w:rFonts w:ascii="Arial" w:hAnsi="Arial" w:cs="Arial"/>
          <w:sz w:val="18"/>
          <w:lang w:val="en-GB"/>
        </w:rPr>
        <w:footnoteRef/>
      </w:r>
      <w:r w:rsidRPr="00C579B9">
        <w:rPr>
          <w:rFonts w:ascii="Arial" w:hAnsi="Arial" w:cs="Arial"/>
          <w:sz w:val="18"/>
          <w:lang w:val="en-GB"/>
        </w:rPr>
        <w:t xml:space="preserve"> </w:t>
      </w:r>
      <w:r w:rsidRPr="00C579B9">
        <w:rPr>
          <w:rFonts w:ascii="Arial" w:hAnsi="Arial"/>
          <w:sz w:val="18"/>
          <w:lang w:val="en-GB"/>
        </w:rPr>
        <w:t>A Wi-Fi router is a device that enables internet distribution within the household, i.e. it enables connection of more devices at the same time and from different places within the reach of Wi-Fi network.</w:t>
      </w:r>
    </w:p>
  </w:footnote>
  <w:footnote w:id="27">
    <w:p w:rsidR="003945DB" w:rsidRPr="001753ED" w:rsidRDefault="003945DB" w:rsidP="008C4CA2">
      <w:pPr>
        <w:pStyle w:val="Textpoznpodarou"/>
        <w:jc w:val="both"/>
        <w:rPr>
          <w:rFonts w:ascii="Arial" w:hAnsi="Arial" w:cs="Arial"/>
          <w:sz w:val="18"/>
          <w:lang w:val="en-GB"/>
        </w:rPr>
      </w:pPr>
      <w:r w:rsidRPr="001753ED">
        <w:rPr>
          <w:rStyle w:val="Znakapoznpodarou"/>
          <w:rFonts w:ascii="Arial" w:hAnsi="Arial" w:cs="Arial"/>
          <w:sz w:val="18"/>
          <w:lang w:val="en-GB"/>
        </w:rPr>
        <w:footnoteRef/>
      </w:r>
      <w:r w:rsidRPr="001753ED">
        <w:rPr>
          <w:rFonts w:ascii="Arial" w:hAnsi="Arial" w:cs="Arial"/>
          <w:lang w:val="en-GB"/>
        </w:rPr>
        <w:t xml:space="preserve"> </w:t>
      </w:r>
      <w:r w:rsidRPr="001753ED">
        <w:rPr>
          <w:rFonts w:ascii="Arial" w:hAnsi="Arial"/>
          <w:sz w:val="18"/>
          <w:szCs w:val="18"/>
          <w:lang w:val="en-GB"/>
        </w:rPr>
        <w:t xml:space="preserve">The detailed information on the expansion and manner of usage of the selected ICT by individuals is monitored within the scope of </w:t>
      </w:r>
      <w:r w:rsidRPr="001753ED">
        <w:rPr>
          <w:rFonts w:ascii="Arial" w:hAnsi="Arial"/>
          <w:b/>
          <w:i/>
          <w:sz w:val="18"/>
          <w:szCs w:val="18"/>
          <w:lang w:val="en-GB"/>
        </w:rPr>
        <w:t>Selective Survey on ICT usage in households</w:t>
      </w:r>
      <w:r w:rsidRPr="001753ED">
        <w:rPr>
          <w:rFonts w:ascii="Arial" w:hAnsi="Arial"/>
          <w:b/>
          <w:i/>
          <w:sz w:val="18"/>
          <w:lang w:val="en-GB"/>
        </w:rPr>
        <w:t xml:space="preserve"> (VŠIT).</w:t>
      </w:r>
      <w:r w:rsidRPr="001753ED">
        <w:rPr>
          <w:rFonts w:ascii="Arial" w:hAnsi="Arial"/>
          <w:sz w:val="18"/>
          <w:lang w:val="en-GB"/>
        </w:rPr>
        <w:t xml:space="preserve"> The survey is carried out by means of personal interviews with a survey sample of approx. 10 thousand individuals.  The ascertained data is available to a wide range of demographic and social characteristics of persons living in the monitored households, such as sex, age, highest attained education, etc. Since 2006, the survey is carried out yearly in the 2nd quarter of the monitored year in all EU countries as a mandatory survey stipulated by the Regulation (EC) No. 808/2004 of the European Parliament and of the Council concerning Community statistics on the information society. </w:t>
      </w:r>
    </w:p>
    <w:p w:rsidR="003945DB" w:rsidRPr="001753ED" w:rsidRDefault="003945DB" w:rsidP="008C4CA2">
      <w:pPr>
        <w:pStyle w:val="Textpoznpodarou"/>
        <w:jc w:val="both"/>
        <w:rPr>
          <w:rFonts w:ascii="Arial" w:hAnsi="Arial" w:cs="Arial"/>
          <w:b/>
          <w:bCs/>
          <w:sz w:val="18"/>
          <w:lang w:val="en-GB"/>
        </w:rPr>
      </w:pPr>
      <w:r w:rsidRPr="001753ED">
        <w:rPr>
          <w:rFonts w:ascii="Arial" w:hAnsi="Arial"/>
          <w:sz w:val="18"/>
          <w:lang w:val="en-GB"/>
        </w:rPr>
        <w:t xml:space="preserve">For more details see: </w:t>
      </w:r>
      <w:hyperlink r:id="rId3" w:history="1">
        <w:r w:rsidRPr="00776859">
          <w:rPr>
            <w:rStyle w:val="Hypertextovodkaz"/>
            <w:rFonts w:ascii="Arial" w:eastAsia="MS Gothic" w:hAnsi="Arial" w:cs="Arial"/>
            <w:color w:val="auto"/>
            <w:sz w:val="18"/>
            <w:szCs w:val="18"/>
            <w:u w:val="none"/>
            <w:lang w:val="en-GB"/>
          </w:rPr>
          <w:t>https://www.czso.cz/csu/czso/domacnosti_a_jednotlivci</w:t>
        </w:r>
      </w:hyperlink>
      <w:r w:rsidRPr="001753ED">
        <w:rPr>
          <w:rFonts w:ascii="Arial" w:hAnsi="Arial" w:cs="Arial"/>
          <w:b/>
          <w:bCs/>
          <w:sz w:val="18"/>
          <w:szCs w:val="18"/>
          <w:lang w:val="en-GB"/>
        </w:rPr>
        <w:t xml:space="preserve"> </w:t>
      </w:r>
    </w:p>
  </w:footnote>
  <w:footnote w:id="28">
    <w:p w:rsidR="003945DB" w:rsidRPr="001753ED" w:rsidRDefault="003945DB" w:rsidP="008C4CA2">
      <w:pPr>
        <w:pStyle w:val="Textpoznpodarou"/>
        <w:spacing w:before="60"/>
        <w:jc w:val="both"/>
        <w:rPr>
          <w:rFonts w:ascii="Arial" w:hAnsi="Arial" w:cs="Arial"/>
          <w:sz w:val="18"/>
          <w:szCs w:val="18"/>
          <w:lang w:val="en-GB"/>
        </w:rPr>
      </w:pPr>
      <w:r w:rsidRPr="001753ED">
        <w:rPr>
          <w:rStyle w:val="Znakapoznpodarou"/>
          <w:rFonts w:ascii="Arial" w:hAnsi="Arial" w:cs="Arial"/>
          <w:sz w:val="18"/>
          <w:lang w:val="en-GB"/>
        </w:rPr>
        <w:footnoteRef/>
      </w:r>
      <w:r w:rsidRPr="001753ED">
        <w:rPr>
          <w:lang w:val="en-GB"/>
        </w:rPr>
        <w:t xml:space="preserve"> </w:t>
      </w:r>
      <w:r w:rsidRPr="001753ED">
        <w:rPr>
          <w:rFonts w:ascii="Arial" w:hAnsi="Arial"/>
          <w:b/>
          <w:sz w:val="18"/>
          <w:lang w:val="en-GB"/>
        </w:rPr>
        <w:t>Individuals using a computer</w:t>
      </w:r>
      <w:r w:rsidRPr="001753ED">
        <w:rPr>
          <w:rFonts w:ascii="Arial" w:hAnsi="Arial"/>
          <w:sz w:val="18"/>
          <w:lang w:val="en-GB"/>
        </w:rPr>
        <w:t xml:space="preserve"> are such individuals who have used a computer (desktop, laptop or tablet) at least once in the last three months anywhere (at home, work, school, etc.) and for any purpose (private or work).</w:t>
      </w:r>
    </w:p>
  </w:footnote>
  <w:footnote w:id="29">
    <w:p w:rsidR="003945DB" w:rsidRPr="001753ED" w:rsidRDefault="003945DB" w:rsidP="008C4CA2">
      <w:pPr>
        <w:pStyle w:val="Textpoznpodarou"/>
        <w:jc w:val="both"/>
        <w:rPr>
          <w:lang w:val="en-GB"/>
        </w:rPr>
      </w:pPr>
      <w:r w:rsidRPr="001753ED">
        <w:rPr>
          <w:rStyle w:val="Znakapoznpodarou"/>
          <w:rFonts w:ascii="Arial" w:hAnsi="Arial" w:cs="Arial"/>
          <w:sz w:val="18"/>
          <w:lang w:val="en-GB"/>
        </w:rPr>
        <w:footnoteRef/>
      </w:r>
      <w:r w:rsidRPr="001753ED">
        <w:rPr>
          <w:rFonts w:ascii="Arial" w:hAnsi="Arial" w:cs="Arial"/>
          <w:sz w:val="18"/>
          <w:lang w:val="en-GB"/>
        </w:rPr>
        <w:t xml:space="preserve"> </w:t>
      </w:r>
      <w:r w:rsidRPr="001753ED">
        <w:rPr>
          <w:rFonts w:ascii="Arial" w:hAnsi="Arial"/>
          <w:b/>
          <w:sz w:val="18"/>
          <w:lang w:val="en-GB"/>
        </w:rPr>
        <w:t>Internet users</w:t>
      </w:r>
      <w:r w:rsidRPr="001753ED">
        <w:rPr>
          <w:rFonts w:ascii="Arial" w:hAnsi="Arial"/>
          <w:sz w:val="18"/>
          <w:lang w:val="en-GB"/>
        </w:rPr>
        <w:t xml:space="preserve"> are such individuals who have used the internet at least once in the last three months anywhere (at home, work, school, etc.) and for any purpose (private or work).</w:t>
      </w:r>
      <w:r>
        <w:rPr>
          <w:rFonts w:ascii="Arial" w:hAnsi="Arial"/>
          <w:sz w:val="18"/>
          <w:lang w:val="en-GB"/>
        </w:rPr>
        <w:t xml:space="preserve"> </w:t>
      </w:r>
      <w:r w:rsidRPr="001753ED">
        <w:rPr>
          <w:rFonts w:ascii="Arial" w:hAnsi="Arial"/>
          <w:sz w:val="18"/>
          <w:lang w:val="en-GB"/>
        </w:rPr>
        <w:t>The internet use shall mean any activity on the internet carried out in an active manner, for instance, browsing of websites, downloading of files, using emails, from any location (household, school, work, etc.) for any purpose (private, work, etc.) both on computers (including portable ones) and mobile phones, smartphones, game decks, etc.</w:t>
      </w:r>
    </w:p>
  </w:footnote>
  <w:footnote w:id="30">
    <w:p w:rsidR="003945DB" w:rsidRPr="00970B85" w:rsidRDefault="003945DB" w:rsidP="008C4CA2">
      <w:pPr>
        <w:pStyle w:val="Textpoznpodarou"/>
        <w:jc w:val="both"/>
        <w:rPr>
          <w:lang w:val="en-GB"/>
        </w:rPr>
      </w:pPr>
      <w:r w:rsidRPr="00970B85">
        <w:rPr>
          <w:rStyle w:val="Znakapoznpodarou"/>
          <w:rFonts w:ascii="Arial" w:hAnsi="Arial" w:cs="Arial"/>
          <w:sz w:val="18"/>
          <w:lang w:val="en-GB"/>
        </w:rPr>
        <w:footnoteRef/>
      </w:r>
      <w:r w:rsidRPr="00970B85">
        <w:rPr>
          <w:lang w:val="en-GB"/>
        </w:rPr>
        <w:t xml:space="preserve"> </w:t>
      </w:r>
      <w:r w:rsidRPr="00970B85">
        <w:rPr>
          <w:rFonts w:ascii="Arial" w:hAnsi="Arial"/>
          <w:b/>
          <w:sz w:val="18"/>
          <w:szCs w:val="18"/>
          <w:lang w:val="en-GB"/>
        </w:rPr>
        <w:t>Social networking</w:t>
      </w:r>
      <w:r w:rsidRPr="00970B85">
        <w:rPr>
          <w:rFonts w:ascii="Arial" w:hAnsi="Arial"/>
          <w:sz w:val="18"/>
          <w:szCs w:val="18"/>
          <w:lang w:val="en-GB"/>
        </w:rPr>
        <w:t xml:space="preserve"> can be distinguished from other communication and content activities by the aspect of creating a profile on certain websites. Being a member of a social network (e.g. Facebook, Twitter or Instagram) with selected other members who share interests and activities is an essential characteristic of a social network. A person is called a user of social networks if he/she has a profile on a social network and had used the network at least once in the last 3 months before the interview.</w:t>
      </w:r>
    </w:p>
  </w:footnote>
  <w:footnote w:id="31">
    <w:p w:rsidR="003945DB" w:rsidRPr="00424DCA" w:rsidRDefault="003945DB" w:rsidP="008C4CA2">
      <w:pPr>
        <w:pStyle w:val="Textpoznpodarou"/>
        <w:jc w:val="both"/>
        <w:rPr>
          <w:rFonts w:ascii="Arial" w:hAnsi="Arial" w:cs="Arial"/>
          <w:sz w:val="18"/>
        </w:rPr>
      </w:pPr>
      <w:r w:rsidRPr="00970B85">
        <w:rPr>
          <w:rStyle w:val="Znakapoznpodarou"/>
          <w:rFonts w:ascii="Arial" w:hAnsi="Arial" w:cs="Arial"/>
          <w:sz w:val="18"/>
          <w:szCs w:val="18"/>
          <w:lang w:val="en-GB"/>
        </w:rPr>
        <w:footnoteRef/>
      </w:r>
      <w:r w:rsidRPr="00970B85">
        <w:rPr>
          <w:rFonts w:ascii="Arial" w:hAnsi="Arial" w:cs="Arial"/>
          <w:sz w:val="18"/>
          <w:szCs w:val="18"/>
          <w:lang w:val="en-GB"/>
        </w:rPr>
        <w:t xml:space="preserve"> </w:t>
      </w:r>
      <w:r w:rsidRPr="00970B85">
        <w:rPr>
          <w:rFonts w:ascii="Arial" w:hAnsi="Arial" w:cs="Arial"/>
          <w:b/>
          <w:sz w:val="18"/>
          <w:szCs w:val="18"/>
          <w:lang w:val="en-GB"/>
        </w:rPr>
        <w:t xml:space="preserve">Watching video on demand (e.g. Netflix) </w:t>
      </w:r>
      <w:r w:rsidRPr="00970B85">
        <w:rPr>
          <w:rFonts w:ascii="Arial" w:hAnsi="Arial" w:cs="Arial"/>
          <w:sz w:val="18"/>
          <w:szCs w:val="18"/>
          <w:lang w:val="en-GB"/>
        </w:rPr>
        <w:t>includes commercial services (charged-for) and, therefore, the videos that one might watch are on the basis of a kind of subscription (also one-time).</w:t>
      </w:r>
    </w:p>
  </w:footnote>
  <w:footnote w:id="32">
    <w:p w:rsidR="003945DB" w:rsidRPr="00970B85" w:rsidRDefault="003945DB" w:rsidP="008C4CA2">
      <w:pPr>
        <w:pStyle w:val="Textpoznpodarou"/>
        <w:spacing w:before="60"/>
        <w:jc w:val="both"/>
        <w:rPr>
          <w:rFonts w:ascii="Arial" w:hAnsi="Arial" w:cs="Arial"/>
          <w:sz w:val="18"/>
          <w:lang w:val="en-GB"/>
        </w:rPr>
      </w:pPr>
      <w:r w:rsidRPr="00970B85">
        <w:rPr>
          <w:rStyle w:val="Znakapoznpodarou"/>
          <w:rFonts w:ascii="Arial" w:hAnsi="Arial" w:cs="Arial"/>
          <w:sz w:val="18"/>
          <w:lang w:val="en-GB"/>
        </w:rPr>
        <w:footnoteRef/>
      </w:r>
      <w:r w:rsidRPr="00970B85">
        <w:rPr>
          <w:rFonts w:ascii="Arial" w:hAnsi="Arial" w:cs="Arial"/>
          <w:sz w:val="18"/>
          <w:lang w:val="en-GB"/>
        </w:rPr>
        <w:t xml:space="preserve"> </w:t>
      </w:r>
      <w:r w:rsidRPr="00970B85">
        <w:rPr>
          <w:rFonts w:ascii="Arial" w:hAnsi="Arial"/>
          <w:sz w:val="18"/>
          <w:lang w:val="en-GB"/>
        </w:rPr>
        <w:t>Looking for</w:t>
      </w:r>
      <w:r w:rsidRPr="00970B85">
        <w:rPr>
          <w:rFonts w:ascii="Arial" w:hAnsi="Arial"/>
          <w:b/>
          <w:sz w:val="18"/>
          <w:lang w:val="en-GB"/>
        </w:rPr>
        <w:t xml:space="preserve"> information related to travel or accommodation </w:t>
      </w:r>
      <w:r w:rsidRPr="00970B85">
        <w:rPr>
          <w:rFonts w:ascii="Arial" w:hAnsi="Arial"/>
          <w:sz w:val="18"/>
          <w:lang w:val="en-GB"/>
        </w:rPr>
        <w:t>includes using the internet for ascertaining information about travel destination, trips, hotels or any other type of accommodation, travel tickets, etc. The reference period for looking for information about travel or accommodation is 3 months prior to interviewing. Only persons who looked for such information for private purposes were included.</w:t>
      </w:r>
    </w:p>
  </w:footnote>
  <w:footnote w:id="33">
    <w:p w:rsidR="003945DB" w:rsidRPr="00970B85" w:rsidRDefault="003945DB" w:rsidP="008C4CA2">
      <w:pPr>
        <w:pStyle w:val="Textpoznpodarou"/>
        <w:jc w:val="both"/>
        <w:rPr>
          <w:lang w:val="en-GB"/>
        </w:rPr>
      </w:pPr>
      <w:r w:rsidRPr="00970B85">
        <w:rPr>
          <w:rStyle w:val="Znakapoznpodarou"/>
          <w:rFonts w:ascii="Arial" w:hAnsi="Arial" w:cs="Arial"/>
          <w:sz w:val="18"/>
          <w:lang w:val="en-GB"/>
        </w:rPr>
        <w:footnoteRef/>
      </w:r>
      <w:r w:rsidRPr="00970B85">
        <w:rPr>
          <w:lang w:val="en-GB"/>
        </w:rPr>
        <w:t xml:space="preserve"> </w:t>
      </w:r>
      <w:r w:rsidRPr="00970B85">
        <w:rPr>
          <w:rFonts w:ascii="Arial" w:hAnsi="Arial" w:cs="Arial"/>
          <w:sz w:val="18"/>
          <w:szCs w:val="18"/>
          <w:lang w:val="en-GB"/>
        </w:rPr>
        <w:t>This includes services that enable uploading, storage, and access to one's own documents and files by means of remote online data storage spaces (e.g. Google Drive, OneDrive, Dropbox, uloz.to). Stored data may be viewed and modified from various places and devices.</w:t>
      </w:r>
    </w:p>
  </w:footnote>
  <w:footnote w:id="34">
    <w:p w:rsidR="003945DB" w:rsidRPr="00970B85" w:rsidRDefault="003945DB" w:rsidP="008C4CA2">
      <w:pPr>
        <w:pStyle w:val="Textpoznpodarou"/>
        <w:jc w:val="both"/>
        <w:rPr>
          <w:lang w:val="en-GB"/>
        </w:rPr>
      </w:pPr>
      <w:r w:rsidRPr="002729A6">
        <w:rPr>
          <w:rStyle w:val="Znakapoznpodarou"/>
          <w:rFonts w:ascii="Arial" w:hAnsi="Arial" w:cs="Arial"/>
          <w:sz w:val="18"/>
          <w:szCs w:val="18"/>
        </w:rPr>
        <w:footnoteRef/>
      </w:r>
      <w:r w:rsidRPr="002729A6">
        <w:rPr>
          <w:rFonts w:ascii="Arial" w:hAnsi="Arial" w:cs="Arial"/>
          <w:sz w:val="18"/>
          <w:szCs w:val="18"/>
        </w:rPr>
        <w:t xml:space="preserve"> </w:t>
      </w:r>
      <w:r w:rsidRPr="00970B85">
        <w:rPr>
          <w:rFonts w:ascii="Arial" w:hAnsi="Arial"/>
          <w:b/>
          <w:sz w:val="18"/>
          <w:lang w:val="en-GB"/>
        </w:rPr>
        <w:t xml:space="preserve">An individual purchasing on the internet </w:t>
      </w:r>
      <w:r w:rsidRPr="00970B85">
        <w:rPr>
          <w:rFonts w:ascii="Arial" w:hAnsi="Arial"/>
          <w:sz w:val="18"/>
          <w:lang w:val="en-GB"/>
        </w:rPr>
        <w:t>is a person who in the last 12 months purchased or ordered goods or a service over the internet for private purposes. This e-commerce activity may be performed on any device including smart phone. Goods or services ordered do not need to be paid over the internet. Goods or services may be delivered on-line (over the internet) or off-line (by mail or in person). Reference period for online purchases is 12 months prior to the interview, only the amount of money spent on online purchases and frequency of purchasing online is measured with the reference period of 3 months.</w:t>
      </w:r>
    </w:p>
  </w:footnote>
  <w:footnote w:id="35">
    <w:p w:rsidR="003945DB" w:rsidRPr="00BC1702" w:rsidRDefault="003945DB" w:rsidP="009B63B1">
      <w:pPr>
        <w:pStyle w:val="Textpoznpodarou"/>
        <w:jc w:val="both"/>
        <w:rPr>
          <w:rFonts w:ascii="Arial" w:hAnsi="Arial" w:cs="Arial"/>
          <w:vanish/>
          <w:sz w:val="18"/>
          <w:szCs w:val="18"/>
          <w:lang w:val="en-GB"/>
          <w:specVanish/>
        </w:rPr>
      </w:pPr>
      <w:r w:rsidRPr="00BC1702">
        <w:rPr>
          <w:rStyle w:val="Znakapoznpodarou"/>
          <w:rFonts w:ascii="Arial" w:hAnsi="Arial" w:cs="Arial"/>
          <w:sz w:val="18"/>
          <w:szCs w:val="18"/>
          <w:lang w:val="en-GB"/>
        </w:rPr>
        <w:footnoteRef/>
      </w:r>
      <w:r w:rsidRPr="00BC1702">
        <w:rPr>
          <w:rFonts w:ascii="Arial" w:hAnsi="Arial" w:cs="Arial"/>
          <w:sz w:val="18"/>
          <w:szCs w:val="18"/>
          <w:lang w:val="en-GB"/>
        </w:rPr>
        <w:t xml:space="preserve"> The detailed information on the expansion and manner of usage of the selected ICT by enterprises is monitored within the scope of Selective Survey on ICT usage in the business sector (ICT 5-01). The survey is carried out by means of a </w:t>
      </w:r>
      <w:r w:rsidRPr="00BC1702">
        <w:rPr>
          <w:rFonts w:ascii="Arial" w:hAnsi="Arial" w:cs="Arial"/>
          <w:b/>
          <w:sz w:val="18"/>
          <w:szCs w:val="18"/>
          <w:lang w:val="en-GB"/>
        </w:rPr>
        <w:t>sample survey of approx. 9 thousand enterprises with 10+ employees of selected industries</w:t>
      </w:r>
      <w:r w:rsidRPr="00BC1702">
        <w:rPr>
          <w:rFonts w:ascii="Arial" w:hAnsi="Arial" w:cs="Arial"/>
          <w:sz w:val="18"/>
          <w:szCs w:val="18"/>
          <w:lang w:val="en-GB"/>
        </w:rPr>
        <w:t xml:space="preserve">. Since 2006, the survey is carried out yearly in all EU countries as a </w:t>
      </w:r>
      <w:r w:rsidRPr="00BC1702">
        <w:rPr>
          <w:rFonts w:ascii="Arial" w:hAnsi="Arial" w:cs="Arial"/>
          <w:b/>
          <w:sz w:val="18"/>
          <w:szCs w:val="18"/>
          <w:lang w:val="en-GB"/>
        </w:rPr>
        <w:t>mandatory survey stipulated by the Regulation (EC) No.</w:t>
      </w:r>
      <w:r>
        <w:rPr>
          <w:rFonts w:ascii="Arial" w:hAnsi="Arial" w:cs="Arial"/>
          <w:b/>
          <w:sz w:val="18"/>
          <w:szCs w:val="18"/>
          <w:lang w:val="en-GB"/>
        </w:rPr>
        <w:t> </w:t>
      </w:r>
      <w:r w:rsidRPr="00BC1702">
        <w:rPr>
          <w:rFonts w:ascii="Arial" w:hAnsi="Arial" w:cs="Arial"/>
          <w:b/>
          <w:sz w:val="18"/>
          <w:szCs w:val="18"/>
          <w:lang w:val="en-GB"/>
        </w:rPr>
        <w:t>808/2004 of the European Parliament and of the Council</w:t>
      </w:r>
      <w:r w:rsidRPr="00BC1702">
        <w:rPr>
          <w:rFonts w:ascii="Arial" w:hAnsi="Arial" w:cs="Arial"/>
          <w:sz w:val="18"/>
          <w:szCs w:val="18"/>
          <w:lang w:val="en-GB"/>
        </w:rPr>
        <w:t xml:space="preserve"> concerning Community statistics on the information society. </w:t>
      </w:r>
    </w:p>
    <w:p w:rsidR="003945DB" w:rsidRPr="00776859" w:rsidRDefault="003945DB" w:rsidP="009B63B1">
      <w:pPr>
        <w:pStyle w:val="Textpoznpodarou"/>
        <w:jc w:val="both"/>
        <w:rPr>
          <w:rFonts w:ascii="Arial" w:hAnsi="Arial" w:cs="Arial"/>
          <w:sz w:val="18"/>
          <w:szCs w:val="16"/>
          <w:u w:val="single"/>
          <w:lang w:val="en-GB"/>
        </w:rPr>
      </w:pPr>
      <w:r w:rsidRPr="00BC1702">
        <w:rPr>
          <w:rFonts w:ascii="Arial" w:hAnsi="Arial" w:cs="Arial"/>
          <w:sz w:val="18"/>
          <w:szCs w:val="18"/>
          <w:lang w:val="en-GB"/>
        </w:rPr>
        <w:t xml:space="preserve"> For more details see:</w:t>
      </w:r>
      <w:r w:rsidRPr="00776859">
        <w:rPr>
          <w:rStyle w:val="Hypertextovodkaz"/>
          <w:rFonts w:ascii="Arial" w:hAnsi="Arial" w:cs="Arial"/>
          <w:color w:val="auto"/>
          <w:sz w:val="18"/>
          <w:szCs w:val="16"/>
          <w:u w:val="none"/>
          <w:lang w:val="en-GB"/>
        </w:rPr>
        <w:t xml:space="preserve"> </w:t>
      </w:r>
      <w:r w:rsidRPr="00776859">
        <w:rPr>
          <w:rStyle w:val="Hypertextovodkaz"/>
          <w:rFonts w:ascii="Arial" w:eastAsia="MS Gothic" w:hAnsi="Arial" w:cs="Arial"/>
          <w:color w:val="auto"/>
          <w:sz w:val="18"/>
          <w:szCs w:val="16"/>
          <w:u w:val="none"/>
          <w:lang w:val="en-GB"/>
        </w:rPr>
        <w:t>https://www.czso.cz/csu/czso/podnikatelsky_sektor</w:t>
      </w:r>
      <w:r w:rsidRPr="00776859">
        <w:rPr>
          <w:rFonts w:ascii="Arial" w:hAnsi="Arial" w:cs="Arial"/>
          <w:b/>
          <w:bCs/>
          <w:sz w:val="18"/>
          <w:szCs w:val="16"/>
          <w:lang w:val="en-GB"/>
        </w:rPr>
        <w:t xml:space="preserve"> </w:t>
      </w:r>
    </w:p>
  </w:footnote>
  <w:footnote w:id="36">
    <w:p w:rsidR="003945DB" w:rsidRPr="00776859" w:rsidRDefault="003945DB" w:rsidP="009B63B1">
      <w:pPr>
        <w:pStyle w:val="Textpoznpodarou"/>
        <w:spacing w:before="60"/>
        <w:jc w:val="both"/>
        <w:rPr>
          <w:rFonts w:ascii="Arial" w:eastAsia="MS Gothic" w:hAnsi="Arial" w:cs="Arial"/>
          <w:color w:val="0000FF"/>
          <w:sz w:val="18"/>
          <w:szCs w:val="16"/>
          <w:lang w:val="en-GB"/>
        </w:rPr>
      </w:pPr>
      <w:r w:rsidRPr="00776859">
        <w:rPr>
          <w:rStyle w:val="Znakapoznpodarou"/>
          <w:rFonts w:ascii="Arial" w:hAnsi="Arial" w:cs="Arial"/>
          <w:sz w:val="18"/>
          <w:szCs w:val="16"/>
          <w:lang w:val="en-GB"/>
        </w:rPr>
        <w:footnoteRef/>
      </w:r>
      <w:r w:rsidRPr="00776859">
        <w:rPr>
          <w:rFonts w:ascii="Arial" w:hAnsi="Arial" w:cs="Arial"/>
          <w:sz w:val="18"/>
          <w:szCs w:val="16"/>
          <w:lang w:val="en-GB"/>
        </w:rPr>
        <w:t xml:space="preserve"> </w:t>
      </w:r>
      <w:r w:rsidRPr="00776859">
        <w:rPr>
          <w:rStyle w:val="Hypertextovodkaz"/>
          <w:rFonts w:ascii="Arial" w:eastAsia="MS Gothic" w:hAnsi="Arial" w:cs="Arial"/>
          <w:color w:val="auto"/>
          <w:sz w:val="18"/>
          <w:szCs w:val="16"/>
          <w:u w:val="none"/>
          <w:lang w:val="en-GB"/>
        </w:rPr>
        <w:t>http://ec.europa.eu/eurostat/web/digital-economy-and-society/data/comprehensive-database</w:t>
      </w:r>
    </w:p>
  </w:footnote>
  <w:footnote w:id="37">
    <w:p w:rsidR="003945DB" w:rsidRPr="00BC1702" w:rsidRDefault="003945DB" w:rsidP="009B63B1">
      <w:pPr>
        <w:pStyle w:val="Textpoznpodarou"/>
        <w:spacing w:before="60"/>
        <w:jc w:val="both"/>
        <w:rPr>
          <w:rFonts w:ascii="Arial" w:hAnsi="Arial" w:cs="Arial"/>
          <w:sz w:val="18"/>
          <w:szCs w:val="18"/>
          <w:lang w:val="en-GB"/>
        </w:rPr>
      </w:pPr>
      <w:r w:rsidRPr="00BC1702">
        <w:rPr>
          <w:rStyle w:val="Znakapoznpodarou"/>
          <w:rFonts w:ascii="Arial" w:hAnsi="Arial" w:cs="Arial"/>
          <w:sz w:val="18"/>
          <w:szCs w:val="18"/>
          <w:lang w:val="en-GB"/>
        </w:rPr>
        <w:footnoteRef/>
      </w:r>
      <w:r w:rsidRPr="00BC1702">
        <w:rPr>
          <w:rFonts w:ascii="Arial" w:hAnsi="Arial" w:cs="Arial"/>
          <w:sz w:val="18"/>
          <w:szCs w:val="18"/>
          <w:lang w:val="en-GB"/>
        </w:rPr>
        <w:t xml:space="preserve"> </w:t>
      </w:r>
      <w:r w:rsidRPr="00BC1702">
        <w:rPr>
          <w:rFonts w:ascii="Arial" w:hAnsi="Arial" w:cs="Arial"/>
          <w:b/>
          <w:sz w:val="18"/>
          <w:szCs w:val="18"/>
          <w:lang w:val="en-GB"/>
        </w:rPr>
        <w:t>Enterprises with an internal computer network</w:t>
      </w:r>
      <w:r w:rsidRPr="00BC1702">
        <w:rPr>
          <w:rFonts w:ascii="Arial" w:hAnsi="Arial" w:cs="Arial"/>
          <w:sz w:val="18"/>
          <w:szCs w:val="18"/>
          <w:lang w:val="en-GB"/>
        </w:rPr>
        <w:t xml:space="preserve"> shall mean enterprises using an internal computer network interconnecting at least two computers for the purpose of sharing of data, as internal email files, and for communication and internet connection within the enterprise.</w:t>
      </w:r>
    </w:p>
  </w:footnote>
  <w:footnote w:id="38">
    <w:p w:rsidR="003945DB" w:rsidRPr="00BC1702" w:rsidRDefault="003945DB" w:rsidP="009B63B1">
      <w:pPr>
        <w:pStyle w:val="Textpoznpodarou"/>
        <w:spacing w:before="60"/>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Extranet</w:t>
      </w:r>
      <w:r w:rsidRPr="00BC1702">
        <w:rPr>
          <w:rFonts w:ascii="Arial" w:hAnsi="Arial" w:cs="Arial"/>
          <w:sz w:val="18"/>
          <w:lang w:val="en-GB"/>
        </w:rPr>
        <w:t xml:space="preserve"> is a closed network that uses internet protocols to securely share enterprise's information with suppliers, vendors, customers or other businesses partners. It can take the fo</w:t>
      </w:r>
      <w:r>
        <w:rPr>
          <w:rFonts w:ascii="Arial" w:hAnsi="Arial" w:cs="Arial"/>
          <w:sz w:val="18"/>
          <w:lang w:val="en-GB"/>
        </w:rPr>
        <w:t>rm of a secure extension of an i</w:t>
      </w:r>
      <w:r w:rsidRPr="00BC1702">
        <w:rPr>
          <w:rFonts w:ascii="Arial" w:hAnsi="Arial" w:cs="Arial"/>
          <w:sz w:val="18"/>
          <w:lang w:val="en-GB"/>
        </w:rPr>
        <w:t xml:space="preserve">ntranet that allows external users to access </w:t>
      </w:r>
      <w:r>
        <w:rPr>
          <w:rFonts w:ascii="Arial" w:hAnsi="Arial" w:cs="Arial"/>
          <w:sz w:val="18"/>
          <w:lang w:val="en-GB"/>
        </w:rPr>
        <w:t>some parts of the enterprise's i</w:t>
      </w:r>
      <w:r w:rsidRPr="00BC1702">
        <w:rPr>
          <w:rFonts w:ascii="Arial" w:hAnsi="Arial" w:cs="Arial"/>
          <w:sz w:val="18"/>
          <w:lang w:val="en-GB"/>
        </w:rPr>
        <w:t>ntranet. It can also be a private part of the enterprise's website, where business partners can navigate after being authenticated in a login page.</w:t>
      </w:r>
    </w:p>
  </w:footnote>
  <w:footnote w:id="39">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Enterprises with websites</w:t>
      </w:r>
      <w:r w:rsidRPr="00BC1702">
        <w:rPr>
          <w:rFonts w:ascii="Arial" w:hAnsi="Arial" w:cs="Arial"/>
          <w:sz w:val="18"/>
          <w:lang w:val="en-GB"/>
        </w:rPr>
        <w:t xml:space="preserve"> shall mean enterprises using the web pages, which content they may affect themselves for the purposes of official presentation and offering of products and/or services. These also include web pages shared with other legal person. These do not include information on the enterprise solely on information servers (in so-called catalogues of companies).</w:t>
      </w:r>
    </w:p>
  </w:footnote>
  <w:footnote w:id="40">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The term </w:t>
      </w:r>
      <w:r w:rsidRPr="00BC1702">
        <w:rPr>
          <w:rFonts w:ascii="Arial" w:hAnsi="Arial" w:cs="Arial"/>
          <w:b/>
          <w:sz w:val="18"/>
          <w:lang w:val="en-GB"/>
        </w:rPr>
        <w:t>‘e-commerce marketplace’</w:t>
      </w:r>
      <w:r w:rsidRPr="00BC1702">
        <w:rPr>
          <w:rFonts w:ascii="Arial" w:hAnsi="Arial" w:cs="Arial"/>
          <w:sz w:val="18"/>
          <w:lang w:val="en-GB"/>
        </w:rPr>
        <w:t xml:space="preserve"> refers to websites or apps used by several enterprises for trading products </w:t>
      </w:r>
      <w:r>
        <w:rPr>
          <w:rFonts w:ascii="Arial" w:hAnsi="Arial" w:cs="Arial"/>
          <w:sz w:val="18"/>
          <w:lang w:val="en-GB"/>
        </w:rPr>
        <w:t>(</w:t>
      </w:r>
      <w:r w:rsidRPr="00BC1702">
        <w:rPr>
          <w:rFonts w:ascii="Arial" w:hAnsi="Arial" w:cs="Arial"/>
          <w:sz w:val="18"/>
          <w:lang w:val="en-GB"/>
        </w:rPr>
        <w:t>e.g.</w:t>
      </w:r>
      <w:r>
        <w:rPr>
          <w:rFonts w:ascii="Arial" w:hAnsi="Arial" w:cs="Arial"/>
          <w:sz w:val="18"/>
          <w:lang w:val="en-GB"/>
        </w:rPr>
        <w:t> </w:t>
      </w:r>
      <w:r w:rsidRPr="00BC1702">
        <w:rPr>
          <w:rFonts w:ascii="Arial" w:hAnsi="Arial" w:cs="Arial"/>
          <w:sz w:val="18"/>
          <w:lang w:val="en-GB"/>
        </w:rPr>
        <w:t>Booking, eBay, Amazon, Amazon Business, Alibaba, Rakuten, etc.). E-commerce marketplaces are trading platforms with the necessary trading functionalities (a marketplace does not sell or buy goods or services for itself) and is open to several buyers and sellers. The following should not be considered as e-commerce marketplaces: a) a website of an enterprise, selling the enterprise's own products; b) a website of one seller acting as distributor, selling other enterprises' specific products; c) a website that provides e-commerce solutions; d) a website that focuses on non-trading activities like collaborative design.</w:t>
      </w:r>
    </w:p>
  </w:footnote>
  <w:footnote w:id="41">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Enterprises using social media</w:t>
      </w:r>
      <w:r w:rsidRPr="00BC1702">
        <w:rPr>
          <w:rFonts w:ascii="Arial" w:hAnsi="Arial" w:cs="Arial"/>
          <w:sz w:val="18"/>
          <w:lang w:val="en-GB"/>
        </w:rPr>
        <w:t xml:space="preserve"> shall mean enterprises that have used their profile, account, or licence of social media. The main social media communication platforms and tools are social networks (e.g. Facebook, LinkedIn), blogs or microblogs (e.g. Twitter), multimedia content sharing websites (e.g. YouTube, Instagram, Flickr), or Wiki-based knowledge sharing tools (e.g. Wikipedia).</w:t>
      </w:r>
    </w:p>
  </w:footnote>
  <w:footnote w:id="42">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Enterprise Resource Planning (ERP)</w:t>
      </w:r>
      <w:r w:rsidRPr="00BC1702">
        <w:rPr>
          <w:rFonts w:ascii="Arial" w:hAnsi="Arial" w:cs="Arial"/>
          <w:sz w:val="18"/>
          <w:lang w:val="en-GB"/>
        </w:rPr>
        <w:t xml:space="preserve"> is business process management software that allows an organization to use a system of integrated applications to manage the business and automate many back office functions related to technology, services and human resources. ERP consists of one or more sets of software applications that integrate information and processes across the several business functions within an enterprise. ERP software can be customised software, custom built for or built within the enterprise, but there is also package software designed to perform this function. However, this ERP package software is usually built </w:t>
      </w:r>
      <w:r>
        <w:rPr>
          <w:rFonts w:ascii="Arial" w:hAnsi="Arial" w:cs="Arial"/>
          <w:sz w:val="18"/>
          <w:lang w:val="en-GB"/>
        </w:rPr>
        <w:t>a</w:t>
      </w:r>
      <w:r w:rsidRPr="00BC1702">
        <w:rPr>
          <w:rFonts w:ascii="Arial" w:hAnsi="Arial" w:cs="Arial"/>
          <w:sz w:val="18"/>
          <w:lang w:val="en-GB"/>
        </w:rPr>
        <w:t>s a modular way allowing enterprises to customise it for their specific economic activity or size, by implementing only some of the modules.</w:t>
      </w:r>
    </w:p>
  </w:footnote>
  <w:footnote w:id="43">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Supply chain management (SCM)</w:t>
      </w:r>
      <w:r w:rsidRPr="00BC1702">
        <w:rPr>
          <w:rFonts w:ascii="Arial" w:hAnsi="Arial" w:cs="Arial"/>
          <w:sz w:val="18"/>
          <w:lang w:val="en-GB"/>
        </w:rPr>
        <w:t xml:space="preserve"> is the software tools or modules used in executing supply chain transactions, managing supplier relationships and controlling associated business processes.</w:t>
      </w:r>
    </w:p>
  </w:footnote>
  <w:footnote w:id="44">
    <w:p w:rsidR="003945DB"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The use of </w:t>
      </w:r>
      <w:r w:rsidRPr="00BC1702">
        <w:rPr>
          <w:rFonts w:ascii="Arial" w:hAnsi="Arial" w:cs="Arial"/>
          <w:b/>
          <w:sz w:val="18"/>
          <w:lang w:val="en-GB"/>
        </w:rPr>
        <w:t>electronic invoicing</w:t>
      </w:r>
      <w:r w:rsidRPr="00BC1702">
        <w:rPr>
          <w:rFonts w:ascii="Arial" w:hAnsi="Arial" w:cs="Arial"/>
          <w:sz w:val="18"/>
          <w:lang w:val="en-GB"/>
        </w:rPr>
        <w:t xml:space="preserve"> shall mean a form of electronic billing. There are two types of </w:t>
      </w:r>
      <w:r>
        <w:rPr>
          <w:rFonts w:ascii="Arial" w:hAnsi="Arial" w:cs="Arial"/>
          <w:sz w:val="18"/>
          <w:lang w:val="en-GB"/>
        </w:rPr>
        <w:t xml:space="preserve">these </w:t>
      </w:r>
      <w:r w:rsidRPr="00BC1702">
        <w:rPr>
          <w:rFonts w:ascii="Arial" w:hAnsi="Arial" w:cs="Arial"/>
          <w:sz w:val="18"/>
          <w:lang w:val="en-GB"/>
        </w:rPr>
        <w:t>invoices:</w:t>
      </w:r>
    </w:p>
    <w:p w:rsidR="003945DB" w:rsidRPr="00BC1702" w:rsidRDefault="003945DB" w:rsidP="009B63B1">
      <w:pPr>
        <w:pStyle w:val="Textpoznpodarou"/>
        <w:ind w:left="142"/>
        <w:jc w:val="both"/>
        <w:rPr>
          <w:rFonts w:ascii="Arial" w:hAnsi="Arial" w:cs="Arial"/>
          <w:sz w:val="18"/>
          <w:lang w:val="en-GB"/>
        </w:rPr>
      </w:pPr>
      <w:r w:rsidRPr="00BC1702">
        <w:rPr>
          <w:rFonts w:ascii="Arial" w:hAnsi="Arial" w:cs="Arial"/>
          <w:sz w:val="18"/>
          <w:lang w:val="en-GB"/>
        </w:rPr>
        <w:t>i) The “true“</w:t>
      </w:r>
      <w:r>
        <w:rPr>
          <w:rFonts w:ascii="Arial" w:hAnsi="Arial" w:cs="Arial"/>
          <w:sz w:val="18"/>
          <w:lang w:val="en-GB"/>
        </w:rPr>
        <w:t xml:space="preserve"> </w:t>
      </w:r>
      <w:r w:rsidRPr="00BC1702">
        <w:rPr>
          <w:rFonts w:ascii="Arial" w:hAnsi="Arial" w:cs="Arial"/>
          <w:sz w:val="18"/>
          <w:lang w:val="en-GB"/>
        </w:rPr>
        <w:t>electronic invoices (e-invoice) processable by automated data processing tools. Issuer of the invoice (seller or service provider) upload the invoice into the recipient (customer) software applications which deal with it. The transmission format may be, for instance, edi, xml, isdoc, idoc, csv, or other formats used by invoicing software producers.</w:t>
      </w:r>
    </w:p>
    <w:p w:rsidR="003945DB" w:rsidRPr="00BC1702" w:rsidRDefault="003945DB" w:rsidP="009B63B1">
      <w:pPr>
        <w:pStyle w:val="Textpoznpodarou"/>
        <w:ind w:left="142"/>
        <w:jc w:val="both"/>
        <w:rPr>
          <w:rFonts w:ascii="Arial" w:hAnsi="Arial" w:cs="Arial"/>
          <w:sz w:val="18"/>
          <w:lang w:val="en-GB"/>
        </w:rPr>
      </w:pPr>
      <w:r w:rsidRPr="00BC1702">
        <w:rPr>
          <w:rFonts w:ascii="Arial" w:hAnsi="Arial" w:cs="Arial"/>
          <w:sz w:val="18"/>
          <w:lang w:val="en-GB"/>
        </w:rPr>
        <w:t>ii) The electronic invoices in a format that does not enable them to be processed automatically (non-structured invoices). These are, for instance, invoices sent in as a text by means of standard email, or invoices sent in as an email attachment in the pdf format, for example.</w:t>
      </w:r>
    </w:p>
  </w:footnote>
  <w:footnote w:id="45">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Electronic commerce (e-commerce)</w:t>
      </w:r>
      <w:r w:rsidRPr="00BC1702">
        <w:rPr>
          <w:rFonts w:ascii="Arial" w:hAnsi="Arial" w:cs="Arial"/>
          <w:sz w:val="18"/>
          <w:lang w:val="en-GB"/>
        </w:rPr>
        <w:t xml:space="preserve"> shall mean purchases or sales (placing or accepting orders) is performed by means of the internet or other computer networks through websites or the electronic data interchange (EDI), regardless the method of payment or delivery. Purchases (sales) implemented on the basis of orders prepared fr</w:t>
      </w:r>
      <w:r>
        <w:rPr>
          <w:rFonts w:ascii="Arial" w:hAnsi="Arial" w:cs="Arial"/>
          <w:sz w:val="18"/>
          <w:lang w:val="en-GB"/>
        </w:rPr>
        <w:t>om information obtained on the i</w:t>
      </w:r>
      <w:r w:rsidRPr="00BC1702">
        <w:rPr>
          <w:rFonts w:ascii="Arial" w:hAnsi="Arial" w:cs="Arial"/>
          <w:sz w:val="18"/>
          <w:lang w:val="en-GB"/>
        </w:rPr>
        <w:t>nternet but placed in a traditional way (in person, by phone, fax, or written order), or by electronic mail are not included.</w:t>
      </w:r>
    </w:p>
  </w:footnote>
  <w:footnote w:id="46">
    <w:p w:rsidR="003945DB" w:rsidRPr="00BC1702" w:rsidRDefault="003945DB" w:rsidP="009B63B1">
      <w:pPr>
        <w:pStyle w:val="Textpoznpodarou"/>
        <w:spacing w:before="60"/>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Electronic Data Interchange (EDI)</w:t>
      </w:r>
      <w:r w:rsidRPr="00BC1702">
        <w:rPr>
          <w:rFonts w:ascii="Arial" w:hAnsi="Arial" w:cs="Arial"/>
          <w:sz w:val="18"/>
          <w:lang w:val="en-GB"/>
        </w:rPr>
        <w:t xml:space="preserve"> refers to the structured transmission of data or documents between organizations or enterprises by electronic means. It also refers specifically to a family of standards (EDI-type) and EDI-type messages suit</w:t>
      </w:r>
      <w:r>
        <w:rPr>
          <w:rFonts w:ascii="Arial" w:hAnsi="Arial" w:cs="Arial"/>
          <w:sz w:val="18"/>
          <w:lang w:val="en-GB"/>
        </w:rPr>
        <w:t xml:space="preserve">able for automated processing. </w:t>
      </w:r>
      <w:r w:rsidRPr="00BC1702">
        <w:rPr>
          <w:rFonts w:ascii="Arial" w:hAnsi="Arial" w:cs="Arial"/>
          <w:sz w:val="18"/>
          <w:lang w:val="en-GB"/>
        </w:rPr>
        <w:t>EDI is an e-business tool for exchanging different kinds of business messages. EDI is here used as a generic term for sending or receiving business information in an agreed format suitable for automated processing (e.g. EDIFACT, XML, etc.) and without the individual message being manually typed.</w:t>
      </w:r>
    </w:p>
  </w:footnote>
  <w:footnote w:id="47">
    <w:p w:rsidR="003945DB" w:rsidRPr="00BC1702" w:rsidRDefault="003945DB" w:rsidP="009B63B1">
      <w:pPr>
        <w:pStyle w:val="Textpoznpodarou"/>
        <w:jc w:val="both"/>
        <w:rPr>
          <w:rFonts w:ascii="Arial" w:hAnsi="Arial" w:cs="Arial"/>
          <w:sz w:val="18"/>
          <w:lang w:val="en-GB"/>
        </w:rPr>
      </w:pPr>
      <w:r w:rsidRPr="00BC1702">
        <w:rPr>
          <w:rStyle w:val="Znakapoznpodarou"/>
          <w:rFonts w:ascii="Arial" w:hAnsi="Arial" w:cs="Arial"/>
          <w:sz w:val="18"/>
          <w:lang w:val="en-GB"/>
        </w:rPr>
        <w:footnoteRef/>
      </w:r>
      <w:r w:rsidRPr="00BC1702">
        <w:rPr>
          <w:rFonts w:ascii="Arial" w:hAnsi="Arial" w:cs="Arial"/>
          <w:sz w:val="18"/>
          <w:lang w:val="en-GB"/>
        </w:rPr>
        <w:t xml:space="preserve"> </w:t>
      </w:r>
      <w:r w:rsidRPr="00BC1702">
        <w:rPr>
          <w:rFonts w:ascii="Arial" w:hAnsi="Arial" w:cs="Arial"/>
          <w:b/>
          <w:sz w:val="18"/>
          <w:lang w:val="en-GB"/>
        </w:rPr>
        <w:t>Web sales</w:t>
      </w:r>
      <w:r w:rsidRPr="00BC1702">
        <w:rPr>
          <w:rFonts w:ascii="Arial" w:hAnsi="Arial" w:cs="Arial"/>
          <w:sz w:val="18"/>
          <w:lang w:val="en-GB"/>
        </w:rPr>
        <w:t xml:space="preserve"> are sales made via an online store (web shop), via web forms on a website or extranet, or apps. Web sales are distinguished from EDI sales. In particular, the type of e-Commerce transaction is defined by the method of making the order. This approach should mitigate the interpretation problems where both types, EDI and Web, are used in the process. An example is a situation where an order is made by the customer through a web application but the information is transmitted to the seller as an EDI-type message. Here the type of selling application is however web; EDI is only a business application to transmit information about the sale. Web sales can be done by mobile phones using an internet browser.</w:t>
      </w:r>
    </w:p>
  </w:footnote>
  <w:footnote w:id="48">
    <w:p w:rsidR="003945DB" w:rsidRPr="00B9593C" w:rsidRDefault="003945DB" w:rsidP="009B63B1">
      <w:pPr>
        <w:pStyle w:val="Textpoznpodarou"/>
        <w:jc w:val="both"/>
        <w:rPr>
          <w:rFonts w:ascii="Arial" w:hAnsi="Arial" w:cs="Arial"/>
          <w:sz w:val="18"/>
          <w:lang w:val="en-GB"/>
        </w:rPr>
      </w:pPr>
      <w:r w:rsidRPr="00B9593C">
        <w:rPr>
          <w:rStyle w:val="Znakapoznpodarou"/>
          <w:rFonts w:ascii="Arial" w:hAnsi="Arial" w:cs="Arial"/>
          <w:sz w:val="18"/>
          <w:lang w:val="en-GB"/>
        </w:rPr>
        <w:footnoteRef/>
      </w:r>
      <w:r w:rsidRPr="00B9593C">
        <w:rPr>
          <w:rFonts w:ascii="Arial" w:hAnsi="Arial" w:cs="Arial"/>
          <w:sz w:val="18"/>
          <w:lang w:val="en-GB"/>
        </w:rPr>
        <w:t xml:space="preserve"> </w:t>
      </w:r>
      <w:r w:rsidRPr="00B9593C">
        <w:rPr>
          <w:rFonts w:ascii="Arial" w:hAnsi="Arial" w:cs="Arial"/>
          <w:b/>
          <w:sz w:val="18"/>
          <w:lang w:val="en-GB"/>
        </w:rPr>
        <w:t>ICT specialists</w:t>
      </w:r>
      <w:r w:rsidRPr="00B9593C">
        <w:rPr>
          <w:rFonts w:ascii="Arial" w:hAnsi="Arial" w:cs="Arial"/>
          <w:sz w:val="18"/>
          <w:lang w:val="en-GB"/>
        </w:rPr>
        <w:t xml:space="preserve"> are employees for whom ICT is the main job. For example, to develop, operate or maintain ICT systems or applications.</w:t>
      </w:r>
    </w:p>
  </w:footnote>
  <w:footnote w:id="49">
    <w:p w:rsidR="003945DB" w:rsidRPr="00421252" w:rsidRDefault="003945DB" w:rsidP="0026358E">
      <w:pPr>
        <w:pStyle w:val="Textpoznpodarou"/>
        <w:rPr>
          <w:rFonts w:ascii="Arial" w:hAnsi="Arial" w:cs="Arial"/>
          <w:sz w:val="18"/>
          <w:szCs w:val="18"/>
          <w:lang w:val="en-GB"/>
        </w:rPr>
      </w:pPr>
      <w:r w:rsidRPr="00421252">
        <w:rPr>
          <w:rStyle w:val="Znakapoznpodarou"/>
          <w:rFonts w:ascii="Arial" w:hAnsi="Arial" w:cs="Arial"/>
          <w:sz w:val="18"/>
          <w:lang w:val="en-GB"/>
        </w:rPr>
        <w:footnoteRef/>
      </w:r>
      <w:r w:rsidRPr="00421252">
        <w:rPr>
          <w:rFonts w:ascii="Arial" w:hAnsi="Arial"/>
          <w:sz w:val="18"/>
          <w:lang w:val="en-GB"/>
        </w:rPr>
        <w:t xml:space="preserve"> In 2007, the ministry was closed.</w:t>
      </w:r>
    </w:p>
  </w:footnote>
  <w:footnote w:id="50">
    <w:p w:rsidR="003945DB" w:rsidRPr="00421252" w:rsidRDefault="003945DB" w:rsidP="0026358E">
      <w:pPr>
        <w:pStyle w:val="Textpoznpodarou"/>
        <w:spacing w:before="60"/>
        <w:jc w:val="both"/>
        <w:rPr>
          <w:rFonts w:ascii="Arial" w:hAnsi="Arial" w:cs="Arial"/>
          <w:sz w:val="18"/>
          <w:szCs w:val="18"/>
          <w:lang w:val="en-GB"/>
        </w:rPr>
      </w:pPr>
      <w:r w:rsidRPr="00421252">
        <w:rPr>
          <w:rStyle w:val="Znakapoznpodarou"/>
          <w:rFonts w:ascii="Arial" w:hAnsi="Arial" w:cs="Arial"/>
          <w:sz w:val="18"/>
          <w:szCs w:val="18"/>
          <w:lang w:val="en-GB"/>
        </w:rPr>
        <w:footnoteRef/>
      </w:r>
      <w:r w:rsidRPr="00421252">
        <w:rPr>
          <w:rFonts w:ascii="Arial" w:hAnsi="Arial" w:cs="Arial"/>
          <w:sz w:val="18"/>
          <w:szCs w:val="18"/>
          <w:lang w:val="en-GB"/>
        </w:rPr>
        <w:t xml:space="preserve"> Electronic submission is parallel to the submission sent by the classic form, but made via the internet. Legal entities or natural persons do not need to go to the offices of the public authorities in person. </w:t>
      </w:r>
    </w:p>
  </w:footnote>
  <w:footnote w:id="51">
    <w:p w:rsidR="003945DB" w:rsidRPr="00421252" w:rsidRDefault="003945DB" w:rsidP="0026358E">
      <w:pPr>
        <w:pStyle w:val="Textpoznpodarou"/>
        <w:spacing w:before="60"/>
        <w:rPr>
          <w:rFonts w:ascii="Arial" w:hAnsi="Arial" w:cs="Arial"/>
          <w:sz w:val="18"/>
          <w:szCs w:val="18"/>
          <w:lang w:val="en-GB"/>
        </w:rPr>
      </w:pPr>
      <w:r w:rsidRPr="00421252">
        <w:rPr>
          <w:rStyle w:val="Znakapoznpodarou"/>
          <w:rFonts w:ascii="Arial" w:hAnsi="Arial" w:cs="Arial"/>
          <w:sz w:val="18"/>
          <w:szCs w:val="18"/>
          <w:lang w:val="en-GB"/>
        </w:rPr>
        <w:footnoteRef/>
      </w:r>
      <w:r w:rsidRPr="00421252">
        <w:rPr>
          <w:rFonts w:ascii="Arial" w:hAnsi="Arial" w:cs="Arial"/>
          <w:sz w:val="18"/>
          <w:szCs w:val="18"/>
          <w:lang w:val="en-GB"/>
        </w:rPr>
        <w:t xml:space="preserve"> Unless a qualified electronic signature or a Data Box is owned.</w:t>
      </w:r>
    </w:p>
  </w:footnote>
  <w:footnote w:id="52">
    <w:p w:rsidR="003945DB" w:rsidRPr="00332D9D" w:rsidRDefault="003945DB" w:rsidP="004C5207">
      <w:pPr>
        <w:pStyle w:val="Textpoznpodarou"/>
        <w:jc w:val="both"/>
        <w:rPr>
          <w:rFonts w:ascii="Arial" w:hAnsi="Arial"/>
          <w:sz w:val="18"/>
          <w:szCs w:val="18"/>
          <w:lang w:val="en-GB"/>
        </w:rPr>
      </w:pPr>
      <w:r w:rsidRPr="00150F8A">
        <w:rPr>
          <w:rStyle w:val="Znakapoznpodarou"/>
          <w:rFonts w:ascii="Arial" w:hAnsi="Arial" w:cs="Arial"/>
          <w:sz w:val="18"/>
          <w:szCs w:val="18"/>
          <w:lang w:val="en-GB"/>
        </w:rPr>
        <w:footnoteRef/>
      </w:r>
      <w:r w:rsidRPr="00150F8A">
        <w:rPr>
          <w:rFonts w:ascii="Arial" w:hAnsi="Arial"/>
          <w:sz w:val="18"/>
          <w:szCs w:val="18"/>
          <w:lang w:val="en-GB"/>
        </w:rPr>
        <w:t xml:space="preserve"> There are currently 3 main interfaces – </w:t>
      </w:r>
      <w:r w:rsidRPr="00150F8A">
        <w:rPr>
          <w:rFonts w:ascii="Arial" w:hAnsi="Arial"/>
          <w:b/>
          <w:sz w:val="18"/>
          <w:szCs w:val="18"/>
          <w:lang w:val="en-GB"/>
        </w:rPr>
        <w:t xml:space="preserve">Czech POINT </w:t>
      </w:r>
      <w:r w:rsidRPr="00150F8A">
        <w:rPr>
          <w:rFonts w:ascii="Arial" w:hAnsi="Arial"/>
          <w:sz w:val="18"/>
          <w:szCs w:val="18"/>
          <w:lang w:val="en-GB"/>
        </w:rPr>
        <w:t>as the</w:t>
      </w:r>
      <w:r w:rsidRPr="00150F8A">
        <w:rPr>
          <w:rFonts w:ascii="Arial" w:hAnsi="Arial"/>
          <w:b/>
          <w:sz w:val="18"/>
          <w:szCs w:val="18"/>
          <w:lang w:val="en-GB"/>
        </w:rPr>
        <w:t xml:space="preserve"> assisted contact point</w:t>
      </w:r>
      <w:r w:rsidRPr="00150F8A">
        <w:rPr>
          <w:rFonts w:ascii="Arial" w:hAnsi="Arial"/>
          <w:sz w:val="18"/>
          <w:szCs w:val="18"/>
          <w:lang w:val="en-GB"/>
        </w:rPr>
        <w:t xml:space="preserve"> of public administration designated for citizens, </w:t>
      </w:r>
      <w:r w:rsidRPr="00150F8A">
        <w:rPr>
          <w:rFonts w:ascii="Arial" w:hAnsi="Arial"/>
          <w:b/>
          <w:sz w:val="18"/>
          <w:szCs w:val="18"/>
          <w:lang w:val="en-GB"/>
        </w:rPr>
        <w:t>CzechPOINT@office</w:t>
      </w:r>
      <w:r w:rsidRPr="00150F8A">
        <w:rPr>
          <w:rFonts w:ascii="Arial" w:hAnsi="Arial"/>
          <w:sz w:val="18"/>
          <w:szCs w:val="18"/>
          <w:lang w:val="en-GB"/>
        </w:rPr>
        <w:t xml:space="preserve"> – a non-public internet application designated for civil servants of public administration who must access the registers by law or perform the conversion of documents by virtue of office, and the newest interface </w:t>
      </w:r>
      <w:r w:rsidRPr="00150F8A">
        <w:rPr>
          <w:rFonts w:ascii="Arial" w:hAnsi="Arial"/>
          <w:b/>
          <w:sz w:val="18"/>
          <w:szCs w:val="18"/>
          <w:lang w:val="en-GB"/>
        </w:rPr>
        <w:t>CzechPOINT@home</w:t>
      </w:r>
      <w:r w:rsidRPr="00150F8A">
        <w:rPr>
          <w:rFonts w:ascii="Arial" w:hAnsi="Arial"/>
          <w:sz w:val="18"/>
          <w:szCs w:val="18"/>
          <w:lang w:val="en-GB"/>
        </w:rPr>
        <w:t xml:space="preserve"> functioning as a contact point with a remote access (not only) from home for the holders of Data Boxes. For more details see: </w:t>
      </w:r>
      <w:hyperlink r:id="rId4" w:history="1">
        <w:r w:rsidRPr="00150F8A">
          <w:rPr>
            <w:rStyle w:val="Hypertextovodkaz"/>
            <w:rFonts w:ascii="Arial" w:hAnsi="Arial"/>
            <w:color w:val="auto"/>
            <w:sz w:val="18"/>
            <w:szCs w:val="18"/>
            <w:u w:val="none"/>
            <w:lang w:val="en-GB"/>
          </w:rPr>
          <w:t>http://www.czechpoint.cz/public</w:t>
        </w:r>
      </w:hyperlink>
    </w:p>
  </w:footnote>
  <w:footnote w:id="53">
    <w:p w:rsidR="003945DB" w:rsidRPr="00B9593C" w:rsidRDefault="003945DB" w:rsidP="0026358E">
      <w:pPr>
        <w:pStyle w:val="Textpoznpodarou"/>
        <w:jc w:val="both"/>
        <w:rPr>
          <w:rFonts w:ascii="Arial" w:hAnsi="Arial" w:cs="Arial"/>
          <w:color w:val="4F6228" w:themeColor="accent3" w:themeShade="80"/>
          <w:sz w:val="18"/>
          <w:szCs w:val="18"/>
          <w:lang w:val="en-GB"/>
        </w:rPr>
      </w:pPr>
      <w:r w:rsidRPr="00B9593C">
        <w:rPr>
          <w:rStyle w:val="Znakapoznpodarou"/>
          <w:rFonts w:ascii="Arial" w:hAnsi="Arial" w:cs="Arial"/>
          <w:sz w:val="18"/>
          <w:szCs w:val="18"/>
          <w:lang w:val="en-GB"/>
        </w:rPr>
        <w:footnoteRef/>
      </w:r>
      <w:r w:rsidRPr="00B9593C">
        <w:rPr>
          <w:rFonts w:ascii="Arial" w:hAnsi="Arial" w:cs="Arial"/>
          <w:sz w:val="18"/>
          <w:szCs w:val="18"/>
          <w:lang w:val="en-GB"/>
        </w:rPr>
        <w:t xml:space="preserve"> </w:t>
      </w:r>
      <w:r w:rsidRPr="00B9593C">
        <w:rPr>
          <w:rFonts w:ascii="Arial" w:hAnsi="Arial" w:cs="Arial"/>
          <w:b/>
          <w:sz w:val="18"/>
          <w:szCs w:val="18"/>
          <w:lang w:val="en-GB"/>
        </w:rPr>
        <w:t>Data Box</w:t>
      </w:r>
      <w:r w:rsidRPr="00B9593C">
        <w:rPr>
          <w:rFonts w:ascii="Arial" w:hAnsi="Arial" w:cs="Arial"/>
          <w:sz w:val="18"/>
          <w:szCs w:val="18"/>
          <w:lang w:val="en-GB"/>
        </w:rPr>
        <w:t xml:space="preserve"> – electronic identity used as an email box from the user’s point of view. Under Czech laws, it is defined as an electronic storage space of a special type serving as a secure and trustworthy delivery method of electronic documents and messages between public authorities on the one side and individuals and legal entities on the other. In the Czech Republic, Data Boxes were implemented by the Act No. 300/2008 Sb., on electronic transactions and authorised conversion of documents, effective as of 1 July 2009. Since 1 January 2010, individuals and legal entities may use Data Boxes between each other as well. Data Boxes are mandatory for public authorities and legal entities recorded in the Commercial Register, they are voluntary for the majority of self-employed individuals and may be established even by individuals – non-entrepreneurs (citizens). For more details see: </w:t>
      </w:r>
      <w:hyperlink r:id="rId5" w:history="1">
        <w:r w:rsidRPr="00776859">
          <w:rPr>
            <w:rStyle w:val="Hypertextovodkaz"/>
            <w:rFonts w:ascii="Arial" w:hAnsi="Arial" w:cs="Arial"/>
            <w:color w:val="auto"/>
            <w:sz w:val="18"/>
            <w:szCs w:val="18"/>
            <w:u w:val="none"/>
            <w:lang w:val="en-GB"/>
          </w:rPr>
          <w:t>http://www.mvcr.cz/clanek/datove-schranky-datove-schranky.aspx</w:t>
        </w:r>
      </w:hyperlink>
    </w:p>
  </w:footnote>
  <w:footnote w:id="54">
    <w:p w:rsidR="003945DB" w:rsidRPr="00856E94" w:rsidRDefault="003945DB" w:rsidP="0026358E">
      <w:pPr>
        <w:pStyle w:val="Textpoznpodarou"/>
        <w:jc w:val="both"/>
        <w:rPr>
          <w:rFonts w:ascii="Arial" w:hAnsi="Arial" w:cs="Arial"/>
          <w:sz w:val="18"/>
          <w:szCs w:val="18"/>
        </w:rPr>
      </w:pPr>
      <w:r w:rsidRPr="00F8362B">
        <w:rPr>
          <w:rStyle w:val="Znakapoznpodarou"/>
          <w:rFonts w:ascii="Arial" w:hAnsi="Arial" w:cs="Arial"/>
          <w:sz w:val="18"/>
          <w:szCs w:val="18"/>
          <w:lang w:val="en-GB"/>
        </w:rPr>
        <w:footnoteRef/>
      </w:r>
      <w:r w:rsidRPr="00F8362B">
        <w:rPr>
          <w:rFonts w:ascii="Arial" w:hAnsi="Arial" w:cs="Arial"/>
          <w:sz w:val="18"/>
          <w:szCs w:val="18"/>
          <w:lang w:val="en-GB"/>
        </w:rPr>
        <w:t xml:space="preserve"> Data concerning the number of </w:t>
      </w:r>
      <w:r w:rsidRPr="00F8362B">
        <w:rPr>
          <w:rFonts w:ascii="Arial" w:hAnsi="Arial" w:cs="Arial"/>
          <w:b/>
          <w:sz w:val="18"/>
          <w:szCs w:val="18"/>
          <w:lang w:val="en-GB"/>
        </w:rPr>
        <w:t>tax returns submitted electronically</w:t>
      </w:r>
      <w:r w:rsidRPr="00F8362B">
        <w:rPr>
          <w:rFonts w:ascii="Arial" w:hAnsi="Arial" w:cs="Arial"/>
          <w:sz w:val="18"/>
          <w:szCs w:val="18"/>
          <w:lang w:val="en-GB"/>
        </w:rPr>
        <w:t xml:space="preserve"> to Czech Financial Administration via the </w:t>
      </w:r>
      <w:r w:rsidRPr="00F8362B">
        <w:rPr>
          <w:rFonts w:ascii="Arial" w:hAnsi="Arial" w:cs="Arial"/>
          <w:b/>
          <w:sz w:val="18"/>
          <w:szCs w:val="18"/>
          <w:lang w:val="en-GB"/>
        </w:rPr>
        <w:t xml:space="preserve">EPO web application </w:t>
      </w:r>
      <w:r w:rsidRPr="00F8362B">
        <w:rPr>
          <w:rFonts w:ascii="Arial" w:hAnsi="Arial" w:cs="Arial"/>
          <w:sz w:val="18"/>
          <w:szCs w:val="18"/>
          <w:lang w:val="en-GB"/>
        </w:rPr>
        <w:t xml:space="preserve">(electronic tax returns) or by means of </w:t>
      </w:r>
      <w:r w:rsidRPr="00F8362B">
        <w:rPr>
          <w:rFonts w:ascii="Arial" w:hAnsi="Arial" w:cs="Arial"/>
          <w:b/>
          <w:sz w:val="18"/>
          <w:szCs w:val="18"/>
          <w:lang w:val="en-GB"/>
        </w:rPr>
        <w:t xml:space="preserve">Data Boxes </w:t>
      </w:r>
      <w:r w:rsidRPr="00F8362B">
        <w:rPr>
          <w:rFonts w:ascii="Arial" w:hAnsi="Arial" w:cs="Arial"/>
          <w:sz w:val="18"/>
          <w:szCs w:val="18"/>
          <w:lang w:val="en-GB"/>
        </w:rPr>
        <w:t>is processed by the CZSO</w:t>
      </w:r>
      <w:r w:rsidRPr="00F8362B">
        <w:rPr>
          <w:rFonts w:ascii="Arial" w:hAnsi="Arial" w:cs="Arial"/>
          <w:b/>
          <w:sz w:val="18"/>
          <w:szCs w:val="18"/>
          <w:lang w:val="en-GB"/>
        </w:rPr>
        <w:t xml:space="preserve"> </w:t>
      </w:r>
      <w:r w:rsidRPr="00F8362B">
        <w:rPr>
          <w:rFonts w:ascii="Arial" w:hAnsi="Arial" w:cs="Arial"/>
          <w:sz w:val="18"/>
          <w:szCs w:val="18"/>
          <w:lang w:val="en-GB"/>
        </w:rPr>
        <w:t>from</w:t>
      </w:r>
      <w:r w:rsidRPr="00F8362B">
        <w:rPr>
          <w:rFonts w:ascii="Arial" w:hAnsi="Arial" w:cs="Arial"/>
          <w:b/>
          <w:sz w:val="18"/>
          <w:szCs w:val="18"/>
          <w:lang w:val="en-GB"/>
        </w:rPr>
        <w:t xml:space="preserve"> </w:t>
      </w:r>
      <w:r w:rsidRPr="00F8362B">
        <w:rPr>
          <w:rFonts w:ascii="Arial" w:hAnsi="Arial" w:cs="Arial"/>
          <w:sz w:val="18"/>
          <w:szCs w:val="18"/>
          <w:lang w:val="en-GB"/>
        </w:rPr>
        <w:t xml:space="preserve">the data publicly available at the </w:t>
      </w:r>
      <w:r w:rsidRPr="00F8362B">
        <w:rPr>
          <w:rFonts w:ascii="Arial" w:hAnsi="Arial" w:cs="Arial"/>
          <w:b/>
          <w:sz w:val="18"/>
          <w:szCs w:val="18"/>
          <w:lang w:val="en-GB"/>
        </w:rPr>
        <w:t>Financial Administration</w:t>
      </w:r>
      <w:r w:rsidRPr="00F8362B">
        <w:rPr>
          <w:rFonts w:ascii="Arial" w:hAnsi="Arial" w:cs="Arial"/>
          <w:sz w:val="18"/>
          <w:szCs w:val="18"/>
          <w:lang w:val="en-GB"/>
        </w:rPr>
        <w:t>.</w:t>
      </w:r>
      <w:r w:rsidRPr="00F8362B">
        <w:rPr>
          <w:rFonts w:ascii="Arial" w:hAnsi="Arial" w:cs="Arial"/>
          <w:b/>
          <w:sz w:val="18"/>
          <w:szCs w:val="18"/>
          <w:lang w:val="en-GB"/>
        </w:rPr>
        <w:t xml:space="preserve"> </w:t>
      </w:r>
      <w:r w:rsidRPr="00F8362B">
        <w:rPr>
          <w:rFonts w:ascii="Arial" w:hAnsi="Arial" w:cs="Arial"/>
          <w:sz w:val="18"/>
          <w:szCs w:val="18"/>
          <w:lang w:val="en-GB"/>
        </w:rPr>
        <w:t>The newest data from these sources relate to the year 2017. In 2015, it was stipulated that for all owners of an active Data Box, the communication with Czech Financial Administration is to be mandatory by means of the Data Box.</w:t>
      </w:r>
    </w:p>
  </w:footnote>
  <w:footnote w:id="55">
    <w:p w:rsidR="003945DB" w:rsidRPr="00F8362B" w:rsidRDefault="003945DB" w:rsidP="0026358E">
      <w:pPr>
        <w:pStyle w:val="Textpoznpodarou"/>
        <w:jc w:val="both"/>
        <w:rPr>
          <w:rFonts w:ascii="Arial" w:hAnsi="Arial" w:cs="Arial"/>
          <w:sz w:val="18"/>
          <w:szCs w:val="18"/>
          <w:lang w:val="en-GB"/>
        </w:rPr>
      </w:pPr>
      <w:r w:rsidRPr="00F8362B">
        <w:rPr>
          <w:rStyle w:val="Znakapoznpodarou"/>
          <w:rFonts w:ascii="Arial" w:hAnsi="Arial" w:cs="Arial"/>
          <w:sz w:val="18"/>
          <w:szCs w:val="18"/>
          <w:lang w:val="en-GB"/>
        </w:rPr>
        <w:footnoteRef/>
      </w:r>
      <w:r w:rsidRPr="00F8362B">
        <w:rPr>
          <w:rFonts w:ascii="Arial" w:hAnsi="Arial" w:cs="Arial"/>
          <w:sz w:val="18"/>
          <w:szCs w:val="18"/>
          <w:lang w:val="en-GB"/>
        </w:rPr>
        <w:t xml:space="preserve"> Data concerning the internet usage with respect to public administration by individuals is obtained from the Selective Survey on ICT usage in households (VŠIT). The survey is carried out by means of personal interviews with a survey sample of approx. 10 thousand individuals. The ascertained data is available to a wide range of demographic and social characteristics of persons living in the monitored households, such as sex, age, highest attained education, etc. Since 2006, the survey is carried out yearly in the 2nd quarter of the monitored year in all EU countries as a mandatory survey stipulated by the Regulation (EC) No. 808/2004 of the European Parliament and of the Council concerning Community statistics on the information society. For more details see Chapter C.</w:t>
      </w:r>
      <w:r w:rsidRPr="00F8362B">
        <w:rPr>
          <w:rFonts w:ascii="Arial" w:hAnsi="Arial"/>
          <w:sz w:val="18"/>
          <w:szCs w:val="18"/>
          <w:lang w:val="en-GB"/>
        </w:rPr>
        <w:t xml:space="preserve"> </w:t>
      </w:r>
    </w:p>
  </w:footnote>
  <w:footnote w:id="56">
    <w:p w:rsidR="003945DB" w:rsidRPr="00F8362B" w:rsidRDefault="003945DB" w:rsidP="0026358E">
      <w:pPr>
        <w:pStyle w:val="Textpoznpodarou"/>
        <w:spacing w:before="60"/>
        <w:jc w:val="both"/>
        <w:rPr>
          <w:rFonts w:ascii="Arial" w:hAnsi="Arial" w:cs="Arial"/>
          <w:sz w:val="18"/>
          <w:szCs w:val="18"/>
          <w:lang w:val="en-GB"/>
        </w:rPr>
      </w:pPr>
      <w:r w:rsidRPr="00F8362B">
        <w:rPr>
          <w:rStyle w:val="Znakapoznpodarou"/>
          <w:rFonts w:ascii="Arial" w:hAnsi="Arial" w:cs="Arial"/>
          <w:sz w:val="18"/>
          <w:szCs w:val="18"/>
          <w:lang w:val="en-GB"/>
        </w:rPr>
        <w:footnoteRef/>
      </w:r>
      <w:r w:rsidRPr="00F8362B">
        <w:rPr>
          <w:rFonts w:ascii="Arial" w:hAnsi="Arial"/>
          <w:sz w:val="18"/>
          <w:szCs w:val="18"/>
          <w:lang w:val="en-GB"/>
        </w:rPr>
        <w:t xml:space="preserve"> This includes individuals who have stated to have used the internet for private purposes at least once in the last 12</w:t>
      </w:r>
      <w:r>
        <w:rPr>
          <w:rFonts w:ascii="Arial" w:hAnsi="Arial"/>
          <w:sz w:val="18"/>
          <w:szCs w:val="18"/>
          <w:lang w:val="en-GB"/>
        </w:rPr>
        <w:t> </w:t>
      </w:r>
      <w:r w:rsidRPr="00F8362B">
        <w:rPr>
          <w:rFonts w:ascii="Arial" w:hAnsi="Arial"/>
          <w:sz w:val="18"/>
          <w:szCs w:val="18"/>
          <w:lang w:val="en-GB"/>
        </w:rPr>
        <w:t>months for at least one of the following activities concerning the interaction with public authorities: information seeking on the public authority’s website; interaction with public authorities via emails; form downloading from the public authority’s website, and/or filling-in and sending a form to public authorities electronically.</w:t>
      </w:r>
    </w:p>
  </w:footnote>
  <w:footnote w:id="57">
    <w:p w:rsidR="003945DB" w:rsidRPr="00F8362B" w:rsidRDefault="003945DB" w:rsidP="0026358E">
      <w:pPr>
        <w:pStyle w:val="Textpoznpodarou"/>
        <w:rPr>
          <w:rFonts w:ascii="Arial" w:hAnsi="Arial" w:cs="Arial"/>
          <w:sz w:val="18"/>
          <w:szCs w:val="18"/>
          <w:lang w:val="en-GB"/>
        </w:rPr>
      </w:pPr>
      <w:r w:rsidRPr="00F8362B">
        <w:rPr>
          <w:rStyle w:val="Znakapoznpodarou"/>
          <w:rFonts w:ascii="Arial" w:hAnsi="Arial" w:cs="Arial"/>
          <w:sz w:val="18"/>
          <w:szCs w:val="18"/>
          <w:lang w:val="en-GB"/>
        </w:rPr>
        <w:footnoteRef/>
      </w:r>
      <w:r w:rsidRPr="00F8362B">
        <w:rPr>
          <w:rFonts w:ascii="Arial" w:hAnsi="Arial" w:cs="Arial"/>
          <w:lang w:val="en-GB"/>
        </w:rPr>
        <w:t xml:space="preserve"> </w:t>
      </w:r>
      <w:r w:rsidRPr="0017212B">
        <w:rPr>
          <w:rFonts w:ascii="Arial" w:hAnsi="Arial" w:cs="Arial"/>
          <w:sz w:val="18"/>
          <w:lang w:val="en-GB"/>
        </w:rPr>
        <w:t xml:space="preserve">Eurostat publishes solely the total data concerning public administration </w:t>
      </w:r>
      <w:r>
        <w:rPr>
          <w:rFonts w:ascii="Arial" w:hAnsi="Arial" w:cs="Arial"/>
          <w:sz w:val="18"/>
          <w:lang w:val="en-GB"/>
        </w:rPr>
        <w:t>–</w:t>
      </w:r>
      <w:r w:rsidRPr="0017212B">
        <w:rPr>
          <w:rFonts w:ascii="Arial" w:hAnsi="Arial" w:cs="Arial"/>
          <w:sz w:val="18"/>
          <w:lang w:val="en-GB"/>
        </w:rPr>
        <w:t xml:space="preserve"> besides public authorities, some other public institutions are included in this indicator.</w:t>
      </w:r>
      <w:r w:rsidRPr="0017212B">
        <w:rPr>
          <w:rFonts w:ascii="Arial" w:hAnsi="Arial" w:cs="Arial"/>
          <w:sz w:val="16"/>
          <w:szCs w:val="18"/>
          <w:lang w:val="en-GB"/>
        </w:rPr>
        <w:t xml:space="preserve"> </w:t>
      </w:r>
      <w:r w:rsidRPr="00F8362B">
        <w:rPr>
          <w:rFonts w:ascii="Arial" w:hAnsi="Arial" w:cs="Arial"/>
          <w:sz w:val="18"/>
          <w:szCs w:val="18"/>
          <w:lang w:val="en-GB"/>
        </w:rPr>
        <w:t>These mainly include public schools, medical facilities, and libraries.</w:t>
      </w:r>
    </w:p>
  </w:footnote>
  <w:footnote w:id="58">
    <w:p w:rsidR="003945DB" w:rsidRPr="00F32F8D" w:rsidRDefault="003945DB" w:rsidP="007B46EA">
      <w:pPr>
        <w:pStyle w:val="Textpoznpodarou"/>
        <w:jc w:val="both"/>
        <w:rPr>
          <w:rFonts w:ascii="Arial" w:hAnsi="Arial" w:cs="Arial"/>
          <w:sz w:val="18"/>
          <w:szCs w:val="18"/>
          <w:lang w:val="en-GB"/>
        </w:rPr>
      </w:pPr>
      <w:r w:rsidRPr="00F32F8D">
        <w:rPr>
          <w:rStyle w:val="Znakapoznpodarou"/>
          <w:rFonts w:ascii="Arial" w:hAnsi="Arial" w:cs="Arial"/>
          <w:sz w:val="18"/>
          <w:szCs w:val="18"/>
          <w:lang w:val="en-GB"/>
        </w:rPr>
        <w:footnoteRef/>
      </w:r>
      <w:r w:rsidRPr="00F32F8D">
        <w:rPr>
          <w:rFonts w:ascii="Arial" w:hAnsi="Arial" w:cs="Arial"/>
          <w:sz w:val="18"/>
          <w:szCs w:val="18"/>
          <w:lang w:val="en-GB"/>
        </w:rPr>
        <w:t xml:space="preserve"> According to the results of the OECD Programme for International Student Assessment (PISA), already in 2012, on average, for OECD countries where data was available, less than 0.5% of 15 year-olds reported neve</w:t>
      </w:r>
      <w:r>
        <w:rPr>
          <w:rFonts w:ascii="Arial" w:hAnsi="Arial" w:cs="Arial"/>
          <w:sz w:val="18"/>
          <w:szCs w:val="18"/>
          <w:lang w:val="en-GB"/>
        </w:rPr>
        <w:t>r having accessed the internet.</w:t>
      </w:r>
    </w:p>
  </w:footnote>
  <w:footnote w:id="59">
    <w:p w:rsidR="003945DB" w:rsidRPr="00847EA4" w:rsidRDefault="003945DB" w:rsidP="007B46EA">
      <w:pPr>
        <w:pStyle w:val="Textpoznpodarou"/>
        <w:jc w:val="both"/>
        <w:rPr>
          <w:rFonts w:ascii="Arial" w:hAnsi="Arial" w:cs="Arial"/>
          <w:sz w:val="18"/>
          <w:szCs w:val="18"/>
          <w:lang w:val="en-GB"/>
        </w:rPr>
      </w:pPr>
      <w:r w:rsidRPr="00847EA4">
        <w:rPr>
          <w:rStyle w:val="Znakapoznpodarou"/>
          <w:rFonts w:ascii="Arial" w:hAnsi="Arial" w:cs="Arial"/>
          <w:sz w:val="18"/>
          <w:szCs w:val="18"/>
          <w:lang w:val="en-GB"/>
        </w:rPr>
        <w:footnoteRef/>
      </w:r>
      <w:r w:rsidRPr="00847EA4">
        <w:rPr>
          <w:rFonts w:ascii="Arial" w:hAnsi="Arial" w:cs="Arial"/>
          <w:sz w:val="18"/>
          <w:szCs w:val="18"/>
          <w:lang w:val="en-GB"/>
        </w:rPr>
        <w:t xml:space="preserve"> </w:t>
      </w:r>
      <w:r w:rsidRPr="00FE5C57">
        <w:rPr>
          <w:rFonts w:ascii="Arial" w:hAnsi="Arial" w:cs="Arial"/>
          <w:sz w:val="18"/>
          <w:szCs w:val="18"/>
          <w:lang w:val="en-GB"/>
        </w:rPr>
        <w:t>In 2015 over half a million students, representing 28 million of 15-year-olds in 72 countries and economies, took the internationally agreed two-hour test. Students were assessed in science, mathematics, reading, collaborative problem solving, and financial literacy.</w:t>
      </w:r>
    </w:p>
  </w:footnote>
  <w:footnote w:id="60">
    <w:p w:rsidR="003945DB" w:rsidRPr="00847EA4" w:rsidRDefault="003945DB" w:rsidP="007B46EA">
      <w:pPr>
        <w:pStyle w:val="Textpoznpodarou"/>
        <w:jc w:val="both"/>
        <w:rPr>
          <w:rFonts w:ascii="Arial" w:hAnsi="Arial" w:cs="Arial"/>
          <w:sz w:val="18"/>
          <w:szCs w:val="18"/>
          <w:lang w:val="en-GB"/>
        </w:rPr>
      </w:pPr>
      <w:r w:rsidRPr="003350DD">
        <w:rPr>
          <w:rStyle w:val="Znakapoznpodarou"/>
          <w:rFonts w:ascii="Arial" w:hAnsi="Arial" w:cs="Arial"/>
          <w:sz w:val="18"/>
          <w:szCs w:val="18"/>
          <w:lang w:val="en-GB"/>
        </w:rPr>
        <w:footnoteRef/>
      </w:r>
      <w:r w:rsidRPr="003350DD">
        <w:rPr>
          <w:rFonts w:ascii="Arial" w:hAnsi="Arial" w:cs="Arial"/>
          <w:sz w:val="18"/>
          <w:szCs w:val="18"/>
          <w:lang w:val="en-GB"/>
        </w:rPr>
        <w:t xml:space="preserve"> The data is based on the Sample Survey on the ICT Use in Households and by Individuals, which has been carried out annually by the Czech Statistical Office since 2002. The survey is carried out using the Computer Assisted Personal Interviewing (CAPI) method on the sample of about 10 000 individuals aged 16+</w:t>
      </w:r>
      <w:r>
        <w:rPr>
          <w:rFonts w:ascii="Arial" w:hAnsi="Arial" w:cs="Arial"/>
          <w:sz w:val="18"/>
          <w:szCs w:val="18"/>
          <w:lang w:val="en-GB"/>
        </w:rPr>
        <w:t>.</w:t>
      </w:r>
    </w:p>
  </w:footnote>
  <w:footnote w:id="61">
    <w:p w:rsidR="003945DB" w:rsidRPr="003350DD" w:rsidRDefault="003945DB" w:rsidP="007B46EA">
      <w:pPr>
        <w:pStyle w:val="Textpoznpodarou"/>
        <w:jc w:val="both"/>
        <w:rPr>
          <w:rFonts w:ascii="Arial" w:hAnsi="Arial" w:cs="Arial"/>
          <w:sz w:val="18"/>
          <w:szCs w:val="18"/>
          <w:lang w:val="en-GB"/>
        </w:rPr>
      </w:pPr>
      <w:r w:rsidRPr="003350DD">
        <w:rPr>
          <w:rStyle w:val="Znakapoznpodarou"/>
          <w:rFonts w:ascii="Arial" w:hAnsi="Arial" w:cs="Arial"/>
          <w:sz w:val="18"/>
          <w:szCs w:val="18"/>
          <w:lang w:val="en-GB"/>
        </w:rPr>
        <w:footnoteRef/>
      </w:r>
      <w:r w:rsidRPr="003350DD">
        <w:rPr>
          <w:rFonts w:ascii="Arial" w:hAnsi="Arial" w:cs="Arial"/>
          <w:sz w:val="18"/>
          <w:szCs w:val="18"/>
          <w:lang w:val="en-GB"/>
        </w:rPr>
        <w:t xml:space="preserve"> The 2006 European</w:t>
      </w:r>
      <w:r>
        <w:rPr>
          <w:rFonts w:ascii="Arial" w:hAnsi="Arial" w:cs="Arial"/>
          <w:sz w:val="18"/>
          <w:szCs w:val="18"/>
          <w:lang w:val="en-GB"/>
        </w:rPr>
        <w:t xml:space="preserve"> Reference Framework of </w:t>
      </w:r>
      <w:r w:rsidRPr="003350DD">
        <w:rPr>
          <w:rFonts w:ascii="Arial" w:hAnsi="Arial" w:cs="Arial"/>
          <w:sz w:val="18"/>
          <w:szCs w:val="18"/>
          <w:lang w:val="en-GB"/>
        </w:rPr>
        <w:t>Key</w:t>
      </w:r>
      <w:r>
        <w:rPr>
          <w:rFonts w:ascii="Arial" w:hAnsi="Arial" w:cs="Arial"/>
          <w:sz w:val="18"/>
          <w:szCs w:val="18"/>
          <w:lang w:val="en-GB"/>
        </w:rPr>
        <w:t xml:space="preserve"> Competences </w:t>
      </w:r>
      <w:r w:rsidRPr="003350DD">
        <w:rPr>
          <w:rFonts w:ascii="Arial" w:hAnsi="Arial" w:cs="Arial"/>
          <w:sz w:val="18"/>
          <w:szCs w:val="18"/>
          <w:lang w:val="en-GB"/>
        </w:rPr>
        <w:t>for lifelong learning defined eight key competences that were in 2018 updated, and includes also digital competenc</w:t>
      </w:r>
      <w:r>
        <w:rPr>
          <w:rFonts w:ascii="Arial" w:hAnsi="Arial" w:cs="Arial"/>
          <w:sz w:val="18"/>
          <w:szCs w:val="18"/>
          <w:lang w:val="en-GB"/>
        </w:rPr>
        <w:t xml:space="preserve">e. Digital competence involves </w:t>
      </w:r>
      <w:r w:rsidRPr="003350DD">
        <w:rPr>
          <w:rFonts w:ascii="Arial" w:hAnsi="Arial" w:cs="Arial"/>
          <w:sz w:val="18"/>
          <w:szCs w:val="18"/>
          <w:lang w:val="en-GB"/>
        </w:rPr>
        <w:t xml:space="preserve">the confident, critical, and </w:t>
      </w:r>
      <w:r>
        <w:rPr>
          <w:rFonts w:ascii="Arial" w:hAnsi="Arial" w:cs="Arial"/>
          <w:sz w:val="18"/>
          <w:szCs w:val="18"/>
          <w:lang w:val="en-GB"/>
        </w:rPr>
        <w:t>responsible use of</w:t>
      </w:r>
      <w:r w:rsidRPr="00DE59BE">
        <w:rPr>
          <w:rFonts w:ascii="Arial" w:hAnsi="Arial" w:cs="Arial"/>
          <w:sz w:val="18"/>
          <w:szCs w:val="18"/>
          <w:lang w:val="en-GB"/>
        </w:rPr>
        <w:t xml:space="preserve"> </w:t>
      </w:r>
      <w:r>
        <w:rPr>
          <w:rFonts w:ascii="Arial" w:hAnsi="Arial" w:cs="Arial"/>
          <w:sz w:val="18"/>
          <w:szCs w:val="18"/>
          <w:lang w:val="en-GB"/>
        </w:rPr>
        <w:t>digital technologies for learning and engagement with them</w:t>
      </w:r>
      <w:r w:rsidRPr="003350DD">
        <w:rPr>
          <w:rFonts w:ascii="Arial" w:hAnsi="Arial" w:cs="Arial"/>
          <w:sz w:val="18"/>
          <w:szCs w:val="18"/>
          <w:lang w:val="en-GB"/>
        </w:rPr>
        <w:t xml:space="preserve"> at work, and for participation in society. It includes information and data literacy, communication and collaboration, digital content creation (including programming), safety (including digital well-being and competences related to cybersecurity), and problem solving. For more information see:</w:t>
      </w:r>
    </w:p>
    <w:p w:rsidR="003945DB" w:rsidRPr="00776859" w:rsidRDefault="004E3FD8" w:rsidP="007B46EA">
      <w:pPr>
        <w:pStyle w:val="Textpoznpodarou"/>
        <w:jc w:val="both"/>
        <w:rPr>
          <w:rFonts w:ascii="Arial" w:hAnsi="Arial" w:cs="Arial"/>
          <w:sz w:val="18"/>
          <w:szCs w:val="18"/>
          <w:lang w:val="en-GB"/>
        </w:rPr>
      </w:pPr>
      <w:hyperlink r:id="rId6" w:history="1">
        <w:r w:rsidR="003945DB" w:rsidRPr="00776859">
          <w:rPr>
            <w:rStyle w:val="Hypertextovodkaz"/>
            <w:rFonts w:ascii="Arial" w:hAnsi="Arial" w:cs="Arial"/>
            <w:color w:val="auto"/>
            <w:sz w:val="18"/>
            <w:szCs w:val="18"/>
            <w:u w:val="none"/>
            <w:lang w:val="en-GB"/>
          </w:rPr>
          <w:t>https://ec.europa.eu/education/sites/education/files/annex-recommendation-key-competences-lifelong-learning.pdf</w:t>
        </w:r>
      </w:hyperlink>
    </w:p>
  </w:footnote>
  <w:footnote w:id="62">
    <w:p w:rsidR="003945DB" w:rsidRDefault="003945DB" w:rsidP="007B46EA">
      <w:pPr>
        <w:pStyle w:val="Textpoznpodarou"/>
        <w:jc w:val="both"/>
        <w:rPr>
          <w:rFonts w:ascii="Arial" w:hAnsi="Arial" w:cs="Arial"/>
          <w:sz w:val="18"/>
          <w:szCs w:val="18"/>
          <w:lang w:val="en-GB"/>
        </w:rPr>
      </w:pPr>
      <w:r w:rsidRPr="00650B7F">
        <w:rPr>
          <w:rStyle w:val="Znakapoznpodarou"/>
          <w:rFonts w:ascii="Arial" w:hAnsi="Arial" w:cs="Arial"/>
          <w:sz w:val="18"/>
          <w:szCs w:val="18"/>
          <w:lang w:val="en-GB"/>
        </w:rPr>
        <w:footnoteRef/>
      </w:r>
      <w:r w:rsidRPr="00650B7F">
        <w:rPr>
          <w:rFonts w:ascii="Arial" w:hAnsi="Arial" w:cs="Arial"/>
          <w:sz w:val="18"/>
          <w:szCs w:val="18"/>
          <w:lang w:val="en-GB"/>
        </w:rPr>
        <w:t xml:space="preserve"> Numbers of ICT students and graduates are based on the International Classification of Education (ISCED-F 2013), broad field code 06 Information and Communication Technologies (ICT) that involves detailed defined fields of education as follows: Computer use (0611); Database and network design and administration (0612); Software and applications development and analysis (0613); ICT not elsewhere classified (0619); and Inter-disciplinary programmes and qualifications involving ICT (0688). Education at universities presented in this chapter for the Czech Republic belongs to the tertiary level of education and includes a bachelor (ISCED level 6), master (ISCED level 7), and doctoral (ISCED level 8) study programmes of all public and private universities.</w:t>
      </w:r>
    </w:p>
    <w:p w:rsidR="003945DB" w:rsidRPr="00847EA4" w:rsidRDefault="003945DB" w:rsidP="007B46EA">
      <w:pPr>
        <w:pStyle w:val="Textpoznpodarou"/>
        <w:jc w:val="both"/>
        <w:rPr>
          <w:rFonts w:ascii="Arial" w:hAnsi="Arial" w:cs="Arial"/>
          <w:sz w:val="18"/>
          <w:szCs w:val="18"/>
          <w:lang w:val="en-GB"/>
        </w:rPr>
      </w:pPr>
      <w:r w:rsidRPr="00847EA4">
        <w:rPr>
          <w:rFonts w:ascii="Arial" w:hAnsi="Arial" w:cs="Arial"/>
          <w:sz w:val="18"/>
          <w:szCs w:val="18"/>
          <w:lang w:val="en-GB"/>
        </w:rPr>
        <w:t xml:space="preserve"> </w:t>
      </w:r>
    </w:p>
  </w:footnote>
  <w:footnote w:id="63">
    <w:p w:rsidR="003945DB" w:rsidRPr="006A0FA2" w:rsidRDefault="003945DB" w:rsidP="0020679C">
      <w:pPr>
        <w:pStyle w:val="Textpoznpodarou"/>
        <w:jc w:val="both"/>
        <w:rPr>
          <w:rFonts w:ascii="Arial" w:hAnsi="Arial" w:cs="Arial"/>
          <w:sz w:val="18"/>
          <w:szCs w:val="18"/>
        </w:rPr>
      </w:pPr>
      <w:r w:rsidRPr="006A0FA2">
        <w:rPr>
          <w:rStyle w:val="Znakapoznpodarou"/>
          <w:rFonts w:ascii="Arial" w:hAnsi="Arial" w:cs="Arial"/>
          <w:sz w:val="18"/>
          <w:szCs w:val="18"/>
        </w:rPr>
        <w:footnoteRef/>
      </w:r>
      <w:r w:rsidRPr="006A0FA2">
        <w:rPr>
          <w:rFonts w:ascii="Arial" w:hAnsi="Arial" w:cs="Arial"/>
          <w:sz w:val="18"/>
          <w:szCs w:val="18"/>
        </w:rPr>
        <w:t xml:space="preserve"> </w:t>
      </w:r>
      <w:r w:rsidRPr="006A0FA2">
        <w:rPr>
          <w:rFonts w:ascii="Arial" w:hAnsi="Arial" w:cs="Arial"/>
          <w:sz w:val="18"/>
          <w:szCs w:val="18"/>
          <w:lang w:val="en-GB"/>
        </w:rPr>
        <w:t>The data on the nu</w:t>
      </w:r>
      <w:r>
        <w:rPr>
          <w:rFonts w:ascii="Arial" w:hAnsi="Arial" w:cs="Arial"/>
          <w:sz w:val="18"/>
          <w:szCs w:val="18"/>
          <w:lang w:val="en-GB"/>
        </w:rPr>
        <w:t>mbers of ICT professionals come</w:t>
      </w:r>
      <w:r w:rsidRPr="006A0FA2">
        <w:rPr>
          <w:rFonts w:ascii="Arial" w:hAnsi="Arial" w:cs="Arial"/>
          <w:sz w:val="18"/>
          <w:szCs w:val="18"/>
          <w:lang w:val="en-GB"/>
        </w:rPr>
        <w:t xml:space="preserve"> from the Labour Force Sample Survey (LFSS) of the CZSO and presents the average annual data for the given year.</w:t>
      </w:r>
    </w:p>
  </w:footnote>
  <w:footnote w:id="64">
    <w:p w:rsidR="003945DB" w:rsidRPr="006A0FA2" w:rsidRDefault="003945DB" w:rsidP="00171A89">
      <w:pPr>
        <w:pStyle w:val="Textpoznpodarou"/>
        <w:spacing w:before="60"/>
        <w:jc w:val="both"/>
        <w:rPr>
          <w:rFonts w:ascii="Arial" w:hAnsi="Arial" w:cs="Arial"/>
          <w:sz w:val="18"/>
          <w:szCs w:val="18"/>
          <w:lang w:val="en-GB"/>
        </w:rPr>
      </w:pPr>
      <w:r w:rsidRPr="006A0FA2">
        <w:rPr>
          <w:rStyle w:val="Znakapoznpodarou"/>
          <w:rFonts w:ascii="Arial" w:hAnsi="Arial" w:cs="Arial"/>
          <w:sz w:val="18"/>
          <w:szCs w:val="18"/>
        </w:rPr>
        <w:footnoteRef/>
      </w:r>
      <w:r w:rsidRPr="006A0FA2">
        <w:rPr>
          <w:rFonts w:ascii="Arial" w:hAnsi="Arial" w:cs="Arial"/>
          <w:sz w:val="18"/>
          <w:szCs w:val="18"/>
        </w:rPr>
        <w:t xml:space="preserve"> </w:t>
      </w:r>
      <w:r w:rsidRPr="006A0FA2">
        <w:rPr>
          <w:rFonts w:ascii="Arial" w:hAnsi="Arial" w:cs="Arial"/>
          <w:sz w:val="18"/>
          <w:szCs w:val="18"/>
          <w:lang w:val="en-GB"/>
        </w:rPr>
        <w:t>Data on wages of the ICT professionals come from the structural employee wage statistics which is generated by merging of databases of the sample survey of the Information System on Average Earnings of the Ministry of Labour and Social Affairs, which covers the wage sphere, and from the database of the administrative data source of the Salary Information System of the Ministry of Finance, which exhaustively covers the salary sphere.</w:t>
      </w:r>
    </w:p>
    <w:p w:rsidR="003945DB" w:rsidRDefault="003945DB">
      <w:pPr>
        <w:pStyle w:val="Textpoznpodarou"/>
      </w:pPr>
    </w:p>
  </w:footnote>
  <w:footnote w:id="65">
    <w:p w:rsidR="003945DB" w:rsidRDefault="003945DB" w:rsidP="004C7BC9">
      <w:pPr>
        <w:pStyle w:val="Textpoznpodarou"/>
        <w:jc w:val="both"/>
        <w:rPr>
          <w:rFonts w:ascii="Arial" w:hAnsi="Arial" w:cs="Arial"/>
          <w:sz w:val="18"/>
          <w:szCs w:val="18"/>
          <w:lang w:val="en-GB"/>
        </w:rPr>
      </w:pPr>
      <w:r>
        <w:rPr>
          <w:rStyle w:val="Znakapoznpodarou"/>
          <w:rFonts w:ascii="Arial" w:hAnsi="Arial" w:cs="Arial"/>
          <w:sz w:val="18"/>
          <w:szCs w:val="18"/>
          <w:lang w:val="en-GB"/>
        </w:rPr>
        <w:footnoteRef/>
      </w:r>
      <w:r>
        <w:rPr>
          <w:rFonts w:ascii="Arial" w:hAnsi="Arial"/>
          <w:sz w:val="18"/>
          <w:szCs w:val="18"/>
          <w:lang w:val="en-GB"/>
        </w:rPr>
        <w:t xml:space="preserve"> Online consultation with a physician via website is one of the alternatives provided in order to seek freely available information on the internet. Individuals may ask questions via the physician’s or the medical facility’s website with respect to their health, followed by the physician’s email response or in certain case by publishing the response on his or her website. Besides the possibility of online consultations, some physicians also provide the possibility to make appointments to examinations or medical procedures through an online form. Certain practices offer to their patients the possibility to ask for a repeated prescription issuance via the internet, in which case the patient receives an electronic prescription by email or by means of an SMS code that will provide the identification to the pharmacist.</w:t>
      </w:r>
    </w:p>
  </w:footnote>
  <w:footnote w:id="66">
    <w:p w:rsidR="003945DB" w:rsidRDefault="003945DB" w:rsidP="004C7BC9">
      <w:pPr>
        <w:pStyle w:val="Textpoznpodarou"/>
        <w:jc w:val="both"/>
        <w:rPr>
          <w:lang w:val="en-GB"/>
        </w:rPr>
      </w:pPr>
      <w:r>
        <w:rPr>
          <w:rStyle w:val="Znakapoznpodarou"/>
          <w:rFonts w:ascii="Arial" w:hAnsi="Arial" w:cs="Arial"/>
          <w:sz w:val="18"/>
          <w:lang w:val="en-GB"/>
        </w:rPr>
        <w:footnoteRef/>
      </w:r>
      <w:r>
        <w:rPr>
          <w:rFonts w:ascii="Arial" w:hAnsi="Arial" w:cs="Arial"/>
          <w:sz w:val="16"/>
          <w:szCs w:val="18"/>
          <w:lang w:val="en-GB"/>
        </w:rPr>
        <w:t xml:space="preserve"> </w:t>
      </w:r>
      <w:r>
        <w:rPr>
          <w:rFonts w:ascii="Arial" w:hAnsi="Arial"/>
          <w:sz w:val="18"/>
          <w:szCs w:val="18"/>
          <w:lang w:val="en-GB"/>
        </w:rPr>
        <w:t>Health records form an important clinical document, they are used as information support created by teams of healthcare professionals, and serve for the transfer of information on patients and their medication between various team members who treat patients at various places or various times. However, health records serve not only as a work tool for treatment, but also as evidence of potential forensic investigation of a physician’s treatment procedure. Health records may be kept in paper or electronic version, or alternatively physicians may combine the two means as required. Electronic health records are obtained, processed, stored, and mediated digitally by means of information technologies.</w:t>
      </w:r>
    </w:p>
  </w:footnote>
  <w:footnote w:id="67">
    <w:p w:rsidR="003945DB" w:rsidRDefault="003945DB" w:rsidP="004C7BC9">
      <w:pPr>
        <w:pStyle w:val="Textpoznpodarou"/>
        <w:jc w:val="both"/>
        <w:rPr>
          <w:rFonts w:ascii="Arial" w:hAnsi="Arial" w:cs="Arial"/>
          <w:sz w:val="18"/>
          <w:szCs w:val="18"/>
          <w:lang w:val="en-GB"/>
        </w:rPr>
      </w:pPr>
      <w:r>
        <w:rPr>
          <w:rStyle w:val="Znakapoznpodarou"/>
          <w:rFonts w:ascii="Arial" w:hAnsi="Arial" w:cs="Arial"/>
          <w:sz w:val="18"/>
          <w:szCs w:val="18"/>
          <w:lang w:val="en-GB"/>
        </w:rPr>
        <w:footnoteRef/>
      </w:r>
      <w:r>
        <w:rPr>
          <w:rFonts w:ascii="Arial" w:hAnsi="Arial"/>
          <w:sz w:val="18"/>
          <w:szCs w:val="18"/>
          <w:lang w:val="en-GB"/>
        </w:rPr>
        <w:t xml:space="preserve"> </w:t>
      </w:r>
      <w:r>
        <w:rPr>
          <w:rFonts w:ascii="Arial" w:hAnsi="Arial" w:cs="Arial"/>
          <w:sz w:val="18"/>
          <w:szCs w:val="18"/>
          <w:lang w:val="en-GB"/>
        </w:rPr>
        <w:t>Data concerning the internet usage with respect to health by individuals is obtained from the Selective Survey on ICT usage in households (VŠIT). The survey is carried out by means of personal interviews with a survey sample of approx. 10 thousand individuals. The ascertained data is available to a wide range of demographic and social characteristics of persons living in the monitored households, such as sex, age, highest attained education, etc. Since 2006, the survey is carried out yearly in the 2nd quarter of the monitored year in all EU countries as a mandatory survey stipulated by the Regulation (EC) No. 808/2004 of the European Parliament and of the Council concerning Community statistics on the information society. For more details see Chapter 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AD306C" w:rsidRDefault="003945DB" w:rsidP="008C4CA2">
    <w:pPr>
      <w:pStyle w:val="Zhlav"/>
      <w:tabs>
        <w:tab w:val="left" w:pos="-6379"/>
        <w:tab w:val="center" w:pos="4820"/>
        <w:tab w:val="right" w:pos="9639"/>
      </w:tabs>
      <w:jc w:val="center"/>
      <w:rPr>
        <w:rFonts w:cs="Arial"/>
        <w:szCs w:val="16"/>
      </w:rPr>
    </w:pPr>
    <w:r>
      <w:rPr>
        <w:szCs w:val="16"/>
      </w:rPr>
      <w:t>Information Society in Figures 2018 - Development Summary</w:t>
    </w:r>
  </w:p>
  <w:p w:rsidR="003945DB" w:rsidRDefault="003945DB">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354A2B" w:rsidRDefault="003945DB" w:rsidP="007B46EA">
    <w:pPr>
      <w:pStyle w:val="Zhlav"/>
      <w:tabs>
        <w:tab w:val="left" w:pos="-6379"/>
        <w:tab w:val="center" w:pos="4820"/>
        <w:tab w:val="right" w:pos="9639"/>
      </w:tabs>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354A2B"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2937D1"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2937D1"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hlav"/>
    </w:pPr>
  </w:p>
  <w:p w:rsidR="003945DB" w:rsidRDefault="003945D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77AF0"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77AF0" w:rsidRDefault="003945DB" w:rsidP="007B46EA">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C0283F" w:rsidRDefault="003945DB" w:rsidP="00C0283F">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rsidP="004C7BC9">
    <w:pPr>
      <w:pStyle w:val="Zhlav"/>
      <w:tabs>
        <w:tab w:val="left" w:pos="-6379"/>
        <w:tab w:val="center" w:pos="4820"/>
        <w:tab w:val="right" w:pos="9639"/>
      </w:tabs>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Default="003945D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331F19" w:rsidRDefault="003945DB" w:rsidP="008C4CA2">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331F19" w:rsidRDefault="003945DB" w:rsidP="008C4CA2">
    <w:pPr>
      <w:pStyle w:val="Zhlav"/>
      <w:tabs>
        <w:tab w:val="left" w:pos="-6379"/>
        <w:tab w:val="center" w:pos="4820"/>
        <w:tab w:val="right" w:pos="9639"/>
      </w:tabs>
      <w:rPr>
        <w:rFonts w:cs="Arial"/>
        <w:szCs w:val="16"/>
      </w:rPr>
    </w:pPr>
    <w:r w:rsidRPr="00354A2B">
      <w:rPr>
        <w:szCs w:val="16"/>
      </w:rPr>
      <w:t xml:space="preserve">Development of </w:t>
    </w:r>
    <w:r>
      <w:rPr>
        <w:szCs w:val="16"/>
      </w:rPr>
      <w:t xml:space="preserve">the </w:t>
    </w:r>
    <w:r w:rsidRPr="00354A2B">
      <w:rPr>
        <w:szCs w:val="16"/>
      </w:rPr>
      <w:t>Information Society in the Czech Republic and Other EU Countries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9309E3" w:rsidRDefault="003945DB" w:rsidP="008C4CA2">
    <w:pPr>
      <w:pStyle w:val="Zhlav"/>
      <w:jc w:val="both"/>
    </w:pPr>
    <w:r w:rsidRPr="009309E3">
      <w:rPr>
        <w:szCs w:val="16"/>
      </w:rPr>
      <w:t xml:space="preserve">Development of </w:t>
    </w:r>
    <w:r>
      <w:rPr>
        <w:szCs w:val="16"/>
      </w:rPr>
      <w:t xml:space="preserve">the </w:t>
    </w:r>
    <w:r w:rsidRPr="009309E3">
      <w:rPr>
        <w:szCs w:val="16"/>
      </w:rPr>
      <w:t>Information Society in the Czech Republic and Other EU Countries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9309E3" w:rsidRDefault="003945DB" w:rsidP="008C4CA2">
    <w:pPr>
      <w:pStyle w:val="Zhlav"/>
      <w:tabs>
        <w:tab w:val="left" w:pos="-6379"/>
        <w:tab w:val="center" w:pos="4820"/>
        <w:tab w:val="right" w:pos="9639"/>
      </w:tabs>
      <w:rPr>
        <w:rFonts w:cs="Arial"/>
        <w:szCs w:val="16"/>
      </w:rPr>
    </w:pPr>
    <w:r w:rsidRPr="009309E3">
      <w:rPr>
        <w:szCs w:val="16"/>
      </w:rPr>
      <w:t xml:space="preserve">Development of </w:t>
    </w:r>
    <w:r>
      <w:rPr>
        <w:szCs w:val="16"/>
      </w:rPr>
      <w:t xml:space="preserve">the </w:t>
    </w:r>
    <w:r w:rsidRPr="009309E3">
      <w:rPr>
        <w:szCs w:val="16"/>
      </w:rPr>
      <w:t>Information Society in the Czech Republic and Other EU Countries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6B1865" w:rsidRDefault="003945DB" w:rsidP="008C4CA2">
    <w:pPr>
      <w:pStyle w:val="Zhlav"/>
      <w:tabs>
        <w:tab w:val="left" w:pos="-6379"/>
        <w:tab w:val="center" w:pos="4820"/>
        <w:tab w:val="right" w:pos="9639"/>
      </w:tabs>
    </w:pPr>
    <w:r w:rsidRPr="009309E3">
      <w:rPr>
        <w:szCs w:val="16"/>
      </w:rPr>
      <w:t xml:space="preserve">Development of </w:t>
    </w:r>
    <w:r>
      <w:rPr>
        <w:szCs w:val="16"/>
      </w:rPr>
      <w:t xml:space="preserve">the </w:t>
    </w:r>
    <w:r w:rsidRPr="009309E3">
      <w:rPr>
        <w:szCs w:val="16"/>
      </w:rPr>
      <w:t>Information Society in the Czech Republic and Other EU Countries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DB" w:rsidRPr="009309E3" w:rsidRDefault="003945DB" w:rsidP="008C4CA2">
    <w:pPr>
      <w:pStyle w:val="Zhlav"/>
      <w:tabs>
        <w:tab w:val="left" w:pos="-6379"/>
        <w:tab w:val="center" w:pos="4820"/>
        <w:tab w:val="right" w:pos="9639"/>
      </w:tabs>
      <w:rPr>
        <w:rFonts w:cs="Arial"/>
        <w:szCs w:val="16"/>
      </w:rPr>
    </w:pPr>
    <w:r w:rsidRPr="009309E3">
      <w:rPr>
        <w:szCs w:val="16"/>
      </w:rPr>
      <w:t xml:space="preserve">Development of </w:t>
    </w:r>
    <w:r>
      <w:rPr>
        <w:szCs w:val="16"/>
      </w:rPr>
      <w:t xml:space="preserve">the </w:t>
    </w:r>
    <w:r w:rsidRPr="009309E3">
      <w:rPr>
        <w:szCs w:val="16"/>
      </w:rPr>
      <w:t>Information Society in the Czech Republic and Other EU Countries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olor w:val="00000A"/>
        <w:sz w:val="16"/>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1" w15:restartNumberingAfterBreak="0">
    <w:nsid w:val="015969AE"/>
    <w:multiLevelType w:val="hybridMultilevel"/>
    <w:tmpl w:val="E95ADC72"/>
    <w:lvl w:ilvl="0" w:tplc="2856CC58">
      <w:start w:val="1"/>
      <w:numFmt w:val="bullet"/>
      <w:lvlText w:val=""/>
      <w:lvlJc w:val="left"/>
      <w:pPr>
        <w:ind w:left="720" w:hanging="360"/>
      </w:pPr>
      <w:rPr>
        <w:rFonts w:ascii="Symbol" w:hAnsi="Symbol" w:hint="default"/>
        <w:color w:val="auto"/>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1CC26AA"/>
    <w:multiLevelType w:val="hybridMultilevel"/>
    <w:tmpl w:val="FE9AEF6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01D452E8"/>
    <w:multiLevelType w:val="hybridMultilevel"/>
    <w:tmpl w:val="CCF66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7C0B74"/>
    <w:multiLevelType w:val="hybridMultilevel"/>
    <w:tmpl w:val="5D9EFA82"/>
    <w:lvl w:ilvl="0" w:tplc="0FBACD0A">
      <w:start w:val="1"/>
      <w:numFmt w:val="bullet"/>
      <w:lvlText w:val=""/>
      <w:lvlJc w:val="left"/>
      <w:pPr>
        <w:ind w:left="720" w:hanging="360"/>
      </w:pPr>
      <w:rPr>
        <w:rFonts w:ascii="Symbol" w:hAnsi="Symbol" w:hint="default"/>
        <w:color w:val="auto"/>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384135D"/>
    <w:multiLevelType w:val="hybridMultilevel"/>
    <w:tmpl w:val="FD5658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9EA0CB7"/>
    <w:multiLevelType w:val="hybridMultilevel"/>
    <w:tmpl w:val="DC36A08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EF0B92"/>
    <w:multiLevelType w:val="hybridMultilevel"/>
    <w:tmpl w:val="BD4245A4"/>
    <w:lvl w:ilvl="0" w:tplc="20B6489E">
      <w:start w:val="1"/>
      <w:numFmt w:val="bullet"/>
      <w:lvlText w:val=""/>
      <w:lvlJc w:val="left"/>
      <w:pPr>
        <w:ind w:left="720" w:hanging="360"/>
      </w:pPr>
      <w:rPr>
        <w:rFonts w:ascii="Symbol" w:hAnsi="Symbo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993651"/>
    <w:multiLevelType w:val="hybridMultilevel"/>
    <w:tmpl w:val="AE92817E"/>
    <w:lvl w:ilvl="0" w:tplc="2856CC58">
      <w:start w:val="1"/>
      <w:numFmt w:val="bullet"/>
      <w:lvlText w:val=""/>
      <w:lvlJc w:val="left"/>
      <w:pPr>
        <w:ind w:left="720" w:hanging="360"/>
      </w:pPr>
      <w:rPr>
        <w:rFonts w:ascii="Symbol" w:hAnsi="Symbol" w:hint="default"/>
        <w:color w:val="auto"/>
        <w:sz w:val="16"/>
        <w:szCs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C7F720E"/>
    <w:multiLevelType w:val="hybridMultilevel"/>
    <w:tmpl w:val="BCE88976"/>
    <w:lvl w:ilvl="0" w:tplc="FD1255CA">
      <w:start w:val="1"/>
      <w:numFmt w:val="bullet"/>
      <w:lvlText w:val=""/>
      <w:lvlJc w:val="left"/>
      <w:pPr>
        <w:tabs>
          <w:tab w:val="num" w:pos="360"/>
        </w:tabs>
        <w:ind w:left="360" w:hanging="360"/>
      </w:pPr>
      <w:rPr>
        <w:rFonts w:ascii="Symbol" w:hAnsi="Symbol" w:hint="default"/>
        <w:sz w:val="16"/>
      </w:rPr>
    </w:lvl>
    <w:lvl w:ilvl="1" w:tplc="B38EC1A8">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F276AF"/>
    <w:multiLevelType w:val="hybridMultilevel"/>
    <w:tmpl w:val="B1DCE34C"/>
    <w:lvl w:ilvl="0" w:tplc="3174A966">
      <w:start w:val="1"/>
      <w:numFmt w:val="bullet"/>
      <w:lvlText w:val=""/>
      <w:lvlJc w:val="left"/>
      <w:pPr>
        <w:tabs>
          <w:tab w:val="num" w:pos="417"/>
        </w:tabs>
        <w:ind w:left="417" w:hanging="360"/>
      </w:pPr>
      <w:rPr>
        <w:rFonts w:ascii="Symbol" w:hAnsi="Symbol" w:hint="default"/>
        <w:color w:val="auto"/>
        <w:sz w:val="16"/>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2" w15:restartNumberingAfterBreak="0">
    <w:nsid w:val="2E96668F"/>
    <w:multiLevelType w:val="hybridMultilevel"/>
    <w:tmpl w:val="8AEE789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365C51"/>
    <w:multiLevelType w:val="hybridMultilevel"/>
    <w:tmpl w:val="1BD89640"/>
    <w:lvl w:ilvl="0" w:tplc="38C4420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12034B"/>
    <w:multiLevelType w:val="hybridMultilevel"/>
    <w:tmpl w:val="08806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733F88"/>
    <w:multiLevelType w:val="hybridMultilevel"/>
    <w:tmpl w:val="0ABABD9E"/>
    <w:lvl w:ilvl="0" w:tplc="DCE25274">
      <w:start w:val="1"/>
      <w:numFmt w:val="bullet"/>
      <w:lvlText w:val=""/>
      <w:lvlJc w:val="left"/>
      <w:pPr>
        <w:ind w:left="774" w:hanging="360"/>
      </w:pPr>
      <w:rPr>
        <w:rFonts w:ascii="Symbol" w:hAnsi="Symbol" w:hint="default"/>
        <w:sz w:val="16"/>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26"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740614"/>
    <w:multiLevelType w:val="hybridMultilevel"/>
    <w:tmpl w:val="83AE24E0"/>
    <w:lvl w:ilvl="0" w:tplc="05B69650">
      <w:start w:val="1"/>
      <w:numFmt w:val="bullet"/>
      <w:lvlText w:val=""/>
      <w:lvlJc w:val="left"/>
      <w:pPr>
        <w:ind w:left="360" w:hanging="360"/>
      </w:pPr>
      <w:rPr>
        <w:rFonts w:ascii="Symbol" w:hAnsi="Symbol" w:hint="default"/>
        <w:sz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574C44D0"/>
    <w:multiLevelType w:val="hybridMultilevel"/>
    <w:tmpl w:val="3AECC0AA"/>
    <w:lvl w:ilvl="0" w:tplc="04050001">
      <w:start w:val="1"/>
      <w:numFmt w:val="bullet"/>
      <w:lvlText w:val=""/>
      <w:lvlJc w:val="left"/>
      <w:pPr>
        <w:ind w:left="282" w:hanging="360"/>
      </w:pPr>
      <w:rPr>
        <w:rFonts w:ascii="Symbol" w:hAnsi="Symbol" w:hint="default"/>
      </w:rPr>
    </w:lvl>
    <w:lvl w:ilvl="1" w:tplc="04050003" w:tentative="1">
      <w:start w:val="1"/>
      <w:numFmt w:val="bullet"/>
      <w:lvlText w:val="o"/>
      <w:lvlJc w:val="left"/>
      <w:pPr>
        <w:ind w:left="1002" w:hanging="360"/>
      </w:pPr>
      <w:rPr>
        <w:rFonts w:ascii="Courier New" w:hAnsi="Courier New" w:cs="Courier New" w:hint="default"/>
      </w:rPr>
    </w:lvl>
    <w:lvl w:ilvl="2" w:tplc="04050005" w:tentative="1">
      <w:start w:val="1"/>
      <w:numFmt w:val="bullet"/>
      <w:lvlText w:val=""/>
      <w:lvlJc w:val="left"/>
      <w:pPr>
        <w:ind w:left="1722" w:hanging="360"/>
      </w:pPr>
      <w:rPr>
        <w:rFonts w:ascii="Wingdings" w:hAnsi="Wingdings" w:hint="default"/>
      </w:rPr>
    </w:lvl>
    <w:lvl w:ilvl="3" w:tplc="04050001" w:tentative="1">
      <w:start w:val="1"/>
      <w:numFmt w:val="bullet"/>
      <w:lvlText w:val=""/>
      <w:lvlJc w:val="left"/>
      <w:pPr>
        <w:ind w:left="2442" w:hanging="360"/>
      </w:pPr>
      <w:rPr>
        <w:rFonts w:ascii="Symbol" w:hAnsi="Symbol" w:hint="default"/>
      </w:rPr>
    </w:lvl>
    <w:lvl w:ilvl="4" w:tplc="04050003" w:tentative="1">
      <w:start w:val="1"/>
      <w:numFmt w:val="bullet"/>
      <w:lvlText w:val="o"/>
      <w:lvlJc w:val="left"/>
      <w:pPr>
        <w:ind w:left="3162" w:hanging="360"/>
      </w:pPr>
      <w:rPr>
        <w:rFonts w:ascii="Courier New" w:hAnsi="Courier New" w:cs="Courier New" w:hint="default"/>
      </w:rPr>
    </w:lvl>
    <w:lvl w:ilvl="5" w:tplc="04050005" w:tentative="1">
      <w:start w:val="1"/>
      <w:numFmt w:val="bullet"/>
      <w:lvlText w:val=""/>
      <w:lvlJc w:val="left"/>
      <w:pPr>
        <w:ind w:left="3882" w:hanging="360"/>
      </w:pPr>
      <w:rPr>
        <w:rFonts w:ascii="Wingdings" w:hAnsi="Wingdings" w:hint="default"/>
      </w:rPr>
    </w:lvl>
    <w:lvl w:ilvl="6" w:tplc="04050001" w:tentative="1">
      <w:start w:val="1"/>
      <w:numFmt w:val="bullet"/>
      <w:lvlText w:val=""/>
      <w:lvlJc w:val="left"/>
      <w:pPr>
        <w:ind w:left="4602" w:hanging="360"/>
      </w:pPr>
      <w:rPr>
        <w:rFonts w:ascii="Symbol" w:hAnsi="Symbol" w:hint="default"/>
      </w:rPr>
    </w:lvl>
    <w:lvl w:ilvl="7" w:tplc="04050003" w:tentative="1">
      <w:start w:val="1"/>
      <w:numFmt w:val="bullet"/>
      <w:lvlText w:val="o"/>
      <w:lvlJc w:val="left"/>
      <w:pPr>
        <w:ind w:left="5322" w:hanging="360"/>
      </w:pPr>
      <w:rPr>
        <w:rFonts w:ascii="Courier New" w:hAnsi="Courier New" w:cs="Courier New" w:hint="default"/>
      </w:rPr>
    </w:lvl>
    <w:lvl w:ilvl="8" w:tplc="04050005" w:tentative="1">
      <w:start w:val="1"/>
      <w:numFmt w:val="bullet"/>
      <w:lvlText w:val=""/>
      <w:lvlJc w:val="left"/>
      <w:pPr>
        <w:ind w:left="6042" w:hanging="360"/>
      </w:pPr>
      <w:rPr>
        <w:rFonts w:ascii="Wingdings" w:hAnsi="Wingdings" w:hint="default"/>
      </w:rPr>
    </w:lvl>
  </w:abstractNum>
  <w:abstractNum w:abstractNumId="30" w15:restartNumberingAfterBreak="0">
    <w:nsid w:val="58E45F58"/>
    <w:multiLevelType w:val="hybridMultilevel"/>
    <w:tmpl w:val="F21E049E"/>
    <w:lvl w:ilvl="0" w:tplc="3174A966">
      <w:start w:val="1"/>
      <w:numFmt w:val="bullet"/>
      <w:lvlText w:val=""/>
      <w:lvlJc w:val="left"/>
      <w:pPr>
        <w:ind w:left="720" w:hanging="360"/>
      </w:pPr>
      <w:rPr>
        <w:rFonts w:ascii="Symbol" w:hAnsi="Symbol" w:hint="default"/>
        <w:color w:val="auto"/>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ECA44C9"/>
    <w:multiLevelType w:val="hybridMultilevel"/>
    <w:tmpl w:val="0F8CB914"/>
    <w:lvl w:ilvl="0" w:tplc="04050015">
      <w:start w:val="1"/>
      <w:numFmt w:val="upperLetter"/>
      <w:lvlText w:val="%1."/>
      <w:lvlJc w:val="left"/>
      <w:pPr>
        <w:tabs>
          <w:tab w:val="num" w:pos="360"/>
        </w:tabs>
        <w:ind w:left="360" w:hanging="360"/>
      </w:p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817271"/>
    <w:multiLevelType w:val="hybridMultilevel"/>
    <w:tmpl w:val="46BA9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ED645C"/>
    <w:multiLevelType w:val="hybridMultilevel"/>
    <w:tmpl w:val="CA0A5CA8"/>
    <w:lvl w:ilvl="0" w:tplc="3174A966">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5879BD"/>
    <w:multiLevelType w:val="hybridMultilevel"/>
    <w:tmpl w:val="D29ADC82"/>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C787561"/>
    <w:multiLevelType w:val="hybridMultilevel"/>
    <w:tmpl w:val="8EC8F57C"/>
    <w:lvl w:ilvl="0" w:tplc="237CBAF0">
      <w:start w:val="1"/>
      <w:numFmt w:val="bullet"/>
      <w:lvlText w:val=""/>
      <w:lvlJc w:val="left"/>
      <w:pPr>
        <w:ind w:left="360" w:hanging="360"/>
      </w:pPr>
      <w:rPr>
        <w:rFonts w:ascii="Symbol" w:hAnsi="Symbol" w:hint="default"/>
        <w:sz w:val="16"/>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6" w15:restartNumberingAfterBreak="0">
    <w:nsid w:val="75A9233E"/>
    <w:multiLevelType w:val="hybridMultilevel"/>
    <w:tmpl w:val="F1829FD4"/>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7997E87"/>
    <w:multiLevelType w:val="hybridMultilevel"/>
    <w:tmpl w:val="178CAF08"/>
    <w:lvl w:ilvl="0" w:tplc="56962E70">
      <w:start w:val="1"/>
      <w:numFmt w:val="bullet"/>
      <w:lvlText w:val=""/>
      <w:lvlJc w:val="left"/>
      <w:pPr>
        <w:ind w:left="360" w:hanging="360"/>
      </w:pPr>
      <w:rPr>
        <w:rFonts w:ascii="Symbol" w:hAnsi="Symbol" w:hint="default"/>
        <w:sz w:val="1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7F3B4673"/>
    <w:multiLevelType w:val="hybridMultilevel"/>
    <w:tmpl w:val="2B0A8A1A"/>
    <w:lvl w:ilvl="0" w:tplc="3174A966">
      <w:start w:val="1"/>
      <w:numFmt w:val="bullet"/>
      <w:lvlText w:val=""/>
      <w:lvlJc w:val="left"/>
      <w:pPr>
        <w:tabs>
          <w:tab w:val="num" w:pos="360"/>
        </w:tabs>
        <w:ind w:left="360" w:hanging="360"/>
      </w:pPr>
      <w:rPr>
        <w:rFonts w:ascii="Symbol" w:hAnsi="Symbol" w:hint="default"/>
        <w:color w:val="auto"/>
        <w:sz w:val="16"/>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27"/>
  </w:num>
  <w:num w:numId="14">
    <w:abstractNumId w:val="24"/>
  </w:num>
  <w:num w:numId="15">
    <w:abstractNumId w:val="38"/>
  </w:num>
  <w:num w:numId="16">
    <w:abstractNumId w:val="37"/>
  </w:num>
  <w:num w:numId="17">
    <w:abstractNumId w:val="21"/>
  </w:num>
  <w:num w:numId="18">
    <w:abstractNumId w:val="28"/>
  </w:num>
  <w:num w:numId="19">
    <w:abstractNumId w:val="14"/>
  </w:num>
  <w:num w:numId="20">
    <w:abstractNumId w:val="23"/>
  </w:num>
  <w:num w:numId="21">
    <w:abstractNumId w:val="31"/>
  </w:num>
  <w:num w:numId="22">
    <w:abstractNumId w:val="34"/>
  </w:num>
  <w:num w:numId="23">
    <w:abstractNumId w:val="16"/>
  </w:num>
  <w:num w:numId="24">
    <w:abstractNumId w:val="19"/>
  </w:num>
  <w:num w:numId="25">
    <w:abstractNumId w:val="36"/>
  </w:num>
  <w:num w:numId="26">
    <w:abstractNumId w:val="32"/>
  </w:num>
  <w:num w:numId="27">
    <w:abstractNumId w:val="33"/>
  </w:num>
  <w:num w:numId="28">
    <w:abstractNumId w:val="17"/>
  </w:num>
  <w:num w:numId="29">
    <w:abstractNumId w:val="12"/>
  </w:num>
  <w:num w:numId="30">
    <w:abstractNumId w:val="22"/>
  </w:num>
  <w:num w:numId="31">
    <w:abstractNumId w:val="25"/>
  </w:num>
  <w:num w:numId="32">
    <w:abstractNumId w:val="29"/>
  </w:num>
  <w:num w:numId="33">
    <w:abstractNumId w:val="15"/>
  </w:num>
  <w:num w:numId="34">
    <w:abstractNumId w:val="35"/>
  </w:num>
  <w:num w:numId="35">
    <w:abstractNumId w:val="30"/>
  </w:num>
  <w:num w:numId="36">
    <w:abstractNumId w:val="10"/>
  </w:num>
  <w:num w:numId="37">
    <w:abstractNumId w:val="13"/>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3F"/>
    <w:rsid w:val="0000209D"/>
    <w:rsid w:val="00004D5A"/>
    <w:rsid w:val="000056D5"/>
    <w:rsid w:val="0000767A"/>
    <w:rsid w:val="00010702"/>
    <w:rsid w:val="000234D6"/>
    <w:rsid w:val="00023D29"/>
    <w:rsid w:val="00026389"/>
    <w:rsid w:val="00031AE0"/>
    <w:rsid w:val="000322EF"/>
    <w:rsid w:val="00033FCD"/>
    <w:rsid w:val="00036BF1"/>
    <w:rsid w:val="00041CEC"/>
    <w:rsid w:val="0004694F"/>
    <w:rsid w:val="000522E4"/>
    <w:rsid w:val="000610E1"/>
    <w:rsid w:val="00062EC5"/>
    <w:rsid w:val="00062F22"/>
    <w:rsid w:val="000712B3"/>
    <w:rsid w:val="00080A01"/>
    <w:rsid w:val="0008263E"/>
    <w:rsid w:val="00082C19"/>
    <w:rsid w:val="00085395"/>
    <w:rsid w:val="00087634"/>
    <w:rsid w:val="00087F2B"/>
    <w:rsid w:val="0009465A"/>
    <w:rsid w:val="000971C4"/>
    <w:rsid w:val="000974D1"/>
    <w:rsid w:val="0009799E"/>
    <w:rsid w:val="000A1183"/>
    <w:rsid w:val="000A256D"/>
    <w:rsid w:val="000A3A2C"/>
    <w:rsid w:val="000A3B3A"/>
    <w:rsid w:val="000A76B6"/>
    <w:rsid w:val="000B58F3"/>
    <w:rsid w:val="000C3165"/>
    <w:rsid w:val="000C3408"/>
    <w:rsid w:val="000C6AFD"/>
    <w:rsid w:val="000D5637"/>
    <w:rsid w:val="000E2751"/>
    <w:rsid w:val="000E6FBD"/>
    <w:rsid w:val="00100F5C"/>
    <w:rsid w:val="00104C4C"/>
    <w:rsid w:val="00114D6F"/>
    <w:rsid w:val="0012030F"/>
    <w:rsid w:val="0012192F"/>
    <w:rsid w:val="00125D69"/>
    <w:rsid w:val="001405FA"/>
    <w:rsid w:val="001425C3"/>
    <w:rsid w:val="00150F8A"/>
    <w:rsid w:val="00150FDD"/>
    <w:rsid w:val="0016256B"/>
    <w:rsid w:val="00163793"/>
    <w:rsid w:val="001706D6"/>
    <w:rsid w:val="001714F2"/>
    <w:rsid w:val="00171A89"/>
    <w:rsid w:val="001756A6"/>
    <w:rsid w:val="00184B08"/>
    <w:rsid w:val="00185010"/>
    <w:rsid w:val="001A552F"/>
    <w:rsid w:val="001B2CA9"/>
    <w:rsid w:val="001B3110"/>
    <w:rsid w:val="001B4729"/>
    <w:rsid w:val="001B6C09"/>
    <w:rsid w:val="001C05CD"/>
    <w:rsid w:val="001C255B"/>
    <w:rsid w:val="001D563B"/>
    <w:rsid w:val="001D68B2"/>
    <w:rsid w:val="001F4597"/>
    <w:rsid w:val="001F551B"/>
    <w:rsid w:val="0020583C"/>
    <w:rsid w:val="0020679C"/>
    <w:rsid w:val="002071ED"/>
    <w:rsid w:val="0020767E"/>
    <w:rsid w:val="002118B9"/>
    <w:rsid w:val="00217C5B"/>
    <w:rsid w:val="0022139E"/>
    <w:rsid w:val="002252E0"/>
    <w:rsid w:val="002255F6"/>
    <w:rsid w:val="00227850"/>
    <w:rsid w:val="00230C6E"/>
    <w:rsid w:val="00232B62"/>
    <w:rsid w:val="00236443"/>
    <w:rsid w:val="002436BA"/>
    <w:rsid w:val="00244A15"/>
    <w:rsid w:val="00247319"/>
    <w:rsid w:val="0024799E"/>
    <w:rsid w:val="00253C0F"/>
    <w:rsid w:val="0026358E"/>
    <w:rsid w:val="00264520"/>
    <w:rsid w:val="00271465"/>
    <w:rsid w:val="00283615"/>
    <w:rsid w:val="00285412"/>
    <w:rsid w:val="0028697E"/>
    <w:rsid w:val="002875D6"/>
    <w:rsid w:val="002974BA"/>
    <w:rsid w:val="002A16D4"/>
    <w:rsid w:val="002A1701"/>
    <w:rsid w:val="002A230C"/>
    <w:rsid w:val="002C01B0"/>
    <w:rsid w:val="002C43BD"/>
    <w:rsid w:val="002C69EC"/>
    <w:rsid w:val="002C79A7"/>
    <w:rsid w:val="002D0E59"/>
    <w:rsid w:val="002E02A1"/>
    <w:rsid w:val="002E4E4C"/>
    <w:rsid w:val="002E73A7"/>
    <w:rsid w:val="002F2092"/>
    <w:rsid w:val="00304771"/>
    <w:rsid w:val="003052D4"/>
    <w:rsid w:val="00306C5B"/>
    <w:rsid w:val="003209D6"/>
    <w:rsid w:val="00322C8B"/>
    <w:rsid w:val="0032656E"/>
    <w:rsid w:val="003278D8"/>
    <w:rsid w:val="003312EF"/>
    <w:rsid w:val="00332190"/>
    <w:rsid w:val="00344668"/>
    <w:rsid w:val="003462D9"/>
    <w:rsid w:val="0034658D"/>
    <w:rsid w:val="00351A75"/>
    <w:rsid w:val="003657F3"/>
    <w:rsid w:val="00374F1D"/>
    <w:rsid w:val="003818DC"/>
    <w:rsid w:val="0038283A"/>
    <w:rsid w:val="00385D98"/>
    <w:rsid w:val="003901A1"/>
    <w:rsid w:val="003945DB"/>
    <w:rsid w:val="003A1883"/>
    <w:rsid w:val="003A2AD1"/>
    <w:rsid w:val="003A2B4D"/>
    <w:rsid w:val="003A478C"/>
    <w:rsid w:val="003A5525"/>
    <w:rsid w:val="003A6B38"/>
    <w:rsid w:val="003B57DF"/>
    <w:rsid w:val="003B5A32"/>
    <w:rsid w:val="003C3490"/>
    <w:rsid w:val="003D6920"/>
    <w:rsid w:val="003E4C91"/>
    <w:rsid w:val="003F18AD"/>
    <w:rsid w:val="003F313C"/>
    <w:rsid w:val="003F505A"/>
    <w:rsid w:val="003F551C"/>
    <w:rsid w:val="00407C13"/>
    <w:rsid w:val="00410638"/>
    <w:rsid w:val="00431CD9"/>
    <w:rsid w:val="00432A58"/>
    <w:rsid w:val="00434617"/>
    <w:rsid w:val="00440900"/>
    <w:rsid w:val="00441BB5"/>
    <w:rsid w:val="004441A0"/>
    <w:rsid w:val="004450B0"/>
    <w:rsid w:val="00476240"/>
    <w:rsid w:val="00476439"/>
    <w:rsid w:val="0047735C"/>
    <w:rsid w:val="004776BC"/>
    <w:rsid w:val="0048139F"/>
    <w:rsid w:val="00481E40"/>
    <w:rsid w:val="00484ECE"/>
    <w:rsid w:val="004915CB"/>
    <w:rsid w:val="004A011F"/>
    <w:rsid w:val="004A3212"/>
    <w:rsid w:val="004A61C5"/>
    <w:rsid w:val="004A77DF"/>
    <w:rsid w:val="004B1417"/>
    <w:rsid w:val="004B2082"/>
    <w:rsid w:val="004B55B7"/>
    <w:rsid w:val="004B6468"/>
    <w:rsid w:val="004C384C"/>
    <w:rsid w:val="004C3867"/>
    <w:rsid w:val="004C4CD0"/>
    <w:rsid w:val="004C5207"/>
    <w:rsid w:val="004C70DC"/>
    <w:rsid w:val="004C7BC9"/>
    <w:rsid w:val="004D0211"/>
    <w:rsid w:val="004D0794"/>
    <w:rsid w:val="004E3FD8"/>
    <w:rsid w:val="004F06F5"/>
    <w:rsid w:val="004F33A0"/>
    <w:rsid w:val="005108C0"/>
    <w:rsid w:val="00511873"/>
    <w:rsid w:val="00512A2F"/>
    <w:rsid w:val="00513B7E"/>
    <w:rsid w:val="00515C74"/>
    <w:rsid w:val="00515EB3"/>
    <w:rsid w:val="0052007E"/>
    <w:rsid w:val="0052337A"/>
    <w:rsid w:val="00525137"/>
    <w:rsid w:val="005251DD"/>
    <w:rsid w:val="00526043"/>
    <w:rsid w:val="005317C0"/>
    <w:rsid w:val="00532CE7"/>
    <w:rsid w:val="0053324C"/>
    <w:rsid w:val="00534715"/>
    <w:rsid w:val="00534A28"/>
    <w:rsid w:val="00535F6C"/>
    <w:rsid w:val="00541508"/>
    <w:rsid w:val="0055599F"/>
    <w:rsid w:val="00556D68"/>
    <w:rsid w:val="005647BF"/>
    <w:rsid w:val="0057364B"/>
    <w:rsid w:val="00574773"/>
    <w:rsid w:val="00583FFD"/>
    <w:rsid w:val="005860C6"/>
    <w:rsid w:val="005911BE"/>
    <w:rsid w:val="00593152"/>
    <w:rsid w:val="005A10F2"/>
    <w:rsid w:val="005A21E0"/>
    <w:rsid w:val="005A28FF"/>
    <w:rsid w:val="005A3DF8"/>
    <w:rsid w:val="005A5549"/>
    <w:rsid w:val="005A607D"/>
    <w:rsid w:val="005B121D"/>
    <w:rsid w:val="005C06ED"/>
    <w:rsid w:val="005D0602"/>
    <w:rsid w:val="005D5802"/>
    <w:rsid w:val="005D7890"/>
    <w:rsid w:val="005E7C78"/>
    <w:rsid w:val="005F3EB1"/>
    <w:rsid w:val="00604307"/>
    <w:rsid w:val="0060487F"/>
    <w:rsid w:val="00604EAD"/>
    <w:rsid w:val="006103A6"/>
    <w:rsid w:val="006104FB"/>
    <w:rsid w:val="00612A2F"/>
    <w:rsid w:val="00616E05"/>
    <w:rsid w:val="00624093"/>
    <w:rsid w:val="006404A7"/>
    <w:rsid w:val="00642197"/>
    <w:rsid w:val="006451E4"/>
    <w:rsid w:val="00645B33"/>
    <w:rsid w:val="006516CB"/>
    <w:rsid w:val="00657E87"/>
    <w:rsid w:val="00664803"/>
    <w:rsid w:val="00664ABE"/>
    <w:rsid w:val="00665BA4"/>
    <w:rsid w:val="00667AF2"/>
    <w:rsid w:val="006710C9"/>
    <w:rsid w:val="00674D89"/>
    <w:rsid w:val="00675E37"/>
    <w:rsid w:val="0068174E"/>
    <w:rsid w:val="00681833"/>
    <w:rsid w:val="00681DCE"/>
    <w:rsid w:val="0068260E"/>
    <w:rsid w:val="00695BEF"/>
    <w:rsid w:val="006977F6"/>
    <w:rsid w:val="00697A13"/>
    <w:rsid w:val="006A0FA2"/>
    <w:rsid w:val="006A109C"/>
    <w:rsid w:val="006B344A"/>
    <w:rsid w:val="006B3DB5"/>
    <w:rsid w:val="006B6740"/>
    <w:rsid w:val="006B78D8"/>
    <w:rsid w:val="006C113F"/>
    <w:rsid w:val="006C56D4"/>
    <w:rsid w:val="006C6924"/>
    <w:rsid w:val="006C7CA6"/>
    <w:rsid w:val="006D3E8A"/>
    <w:rsid w:val="006D61F6"/>
    <w:rsid w:val="006E279A"/>
    <w:rsid w:val="006E313B"/>
    <w:rsid w:val="00706AD4"/>
    <w:rsid w:val="007071F7"/>
    <w:rsid w:val="0070757C"/>
    <w:rsid w:val="007140BE"/>
    <w:rsid w:val="007211F5"/>
    <w:rsid w:val="00725BB5"/>
    <w:rsid w:val="00730AE8"/>
    <w:rsid w:val="00741493"/>
    <w:rsid w:val="00752180"/>
    <w:rsid w:val="00755202"/>
    <w:rsid w:val="00755D3A"/>
    <w:rsid w:val="007578D3"/>
    <w:rsid w:val="007609C6"/>
    <w:rsid w:val="00762D3E"/>
    <w:rsid w:val="0076521E"/>
    <w:rsid w:val="007661E9"/>
    <w:rsid w:val="0076638F"/>
    <w:rsid w:val="00774FE8"/>
    <w:rsid w:val="00776169"/>
    <w:rsid w:val="00776527"/>
    <w:rsid w:val="00780EF1"/>
    <w:rsid w:val="00781D70"/>
    <w:rsid w:val="007904A3"/>
    <w:rsid w:val="00790764"/>
    <w:rsid w:val="0079453C"/>
    <w:rsid w:val="00794677"/>
    <w:rsid w:val="007964F5"/>
    <w:rsid w:val="007A44A7"/>
    <w:rsid w:val="007A5CB8"/>
    <w:rsid w:val="007B46EA"/>
    <w:rsid w:val="007B6689"/>
    <w:rsid w:val="007D40DF"/>
    <w:rsid w:val="007E2BDC"/>
    <w:rsid w:val="007E7E61"/>
    <w:rsid w:val="007F0845"/>
    <w:rsid w:val="007F3A7B"/>
    <w:rsid w:val="00807C82"/>
    <w:rsid w:val="00816905"/>
    <w:rsid w:val="00821FF6"/>
    <w:rsid w:val="00823849"/>
    <w:rsid w:val="00823FD1"/>
    <w:rsid w:val="0083143E"/>
    <w:rsid w:val="00831CDE"/>
    <w:rsid w:val="00834304"/>
    <w:rsid w:val="00834FAA"/>
    <w:rsid w:val="00836086"/>
    <w:rsid w:val="0084708F"/>
    <w:rsid w:val="008477C8"/>
    <w:rsid w:val="0085114D"/>
    <w:rsid w:val="00852217"/>
    <w:rsid w:val="00855408"/>
    <w:rsid w:val="00856D65"/>
    <w:rsid w:val="00861B41"/>
    <w:rsid w:val="00863434"/>
    <w:rsid w:val="00865E4C"/>
    <w:rsid w:val="00867835"/>
    <w:rsid w:val="008701E4"/>
    <w:rsid w:val="00874476"/>
    <w:rsid w:val="00875A32"/>
    <w:rsid w:val="00876086"/>
    <w:rsid w:val="0088154E"/>
    <w:rsid w:val="00885CD7"/>
    <w:rsid w:val="008873D4"/>
    <w:rsid w:val="00893E85"/>
    <w:rsid w:val="00894031"/>
    <w:rsid w:val="00895063"/>
    <w:rsid w:val="008A4C97"/>
    <w:rsid w:val="008A7576"/>
    <w:rsid w:val="008B7C02"/>
    <w:rsid w:val="008B7D2B"/>
    <w:rsid w:val="008C0049"/>
    <w:rsid w:val="008C0E88"/>
    <w:rsid w:val="008C4CA2"/>
    <w:rsid w:val="008D1E6A"/>
    <w:rsid w:val="008D2A16"/>
    <w:rsid w:val="008E2C57"/>
    <w:rsid w:val="008E31FF"/>
    <w:rsid w:val="008E55E4"/>
    <w:rsid w:val="008E680B"/>
    <w:rsid w:val="008E6F06"/>
    <w:rsid w:val="008F029B"/>
    <w:rsid w:val="008F3BC4"/>
    <w:rsid w:val="008F3FC9"/>
    <w:rsid w:val="008F585B"/>
    <w:rsid w:val="009003A8"/>
    <w:rsid w:val="00900D5B"/>
    <w:rsid w:val="00902500"/>
    <w:rsid w:val="00902EFF"/>
    <w:rsid w:val="0091155E"/>
    <w:rsid w:val="00912A92"/>
    <w:rsid w:val="0091728D"/>
    <w:rsid w:val="0092180B"/>
    <w:rsid w:val="00921F14"/>
    <w:rsid w:val="00924AC8"/>
    <w:rsid w:val="0092597A"/>
    <w:rsid w:val="00937AE2"/>
    <w:rsid w:val="0094427A"/>
    <w:rsid w:val="00973CC5"/>
    <w:rsid w:val="00974923"/>
    <w:rsid w:val="00980D3D"/>
    <w:rsid w:val="009812B5"/>
    <w:rsid w:val="00983696"/>
    <w:rsid w:val="00992CF3"/>
    <w:rsid w:val="009968D6"/>
    <w:rsid w:val="009A1CAB"/>
    <w:rsid w:val="009A60D1"/>
    <w:rsid w:val="009A66B7"/>
    <w:rsid w:val="009B32FB"/>
    <w:rsid w:val="009B4877"/>
    <w:rsid w:val="009B63B1"/>
    <w:rsid w:val="009B6FD3"/>
    <w:rsid w:val="009B70FB"/>
    <w:rsid w:val="009C1750"/>
    <w:rsid w:val="009C2E29"/>
    <w:rsid w:val="009C554B"/>
    <w:rsid w:val="009C719E"/>
    <w:rsid w:val="009D3ACD"/>
    <w:rsid w:val="009E3FCE"/>
    <w:rsid w:val="009E5DDB"/>
    <w:rsid w:val="009F1FF5"/>
    <w:rsid w:val="009F4CA7"/>
    <w:rsid w:val="00A10D66"/>
    <w:rsid w:val="00A14114"/>
    <w:rsid w:val="00A23E43"/>
    <w:rsid w:val="00A24E14"/>
    <w:rsid w:val="00A30F65"/>
    <w:rsid w:val="00A418BC"/>
    <w:rsid w:val="00A43B47"/>
    <w:rsid w:val="00A46DE0"/>
    <w:rsid w:val="00A50D73"/>
    <w:rsid w:val="00A52CAD"/>
    <w:rsid w:val="00A53FC7"/>
    <w:rsid w:val="00A62CE1"/>
    <w:rsid w:val="00A650F3"/>
    <w:rsid w:val="00A6741E"/>
    <w:rsid w:val="00A75E40"/>
    <w:rsid w:val="00A77AB7"/>
    <w:rsid w:val="00A77D1D"/>
    <w:rsid w:val="00A857C0"/>
    <w:rsid w:val="00A97559"/>
    <w:rsid w:val="00AA2996"/>
    <w:rsid w:val="00AA3280"/>
    <w:rsid w:val="00AA52BF"/>
    <w:rsid w:val="00AA559A"/>
    <w:rsid w:val="00AA60B7"/>
    <w:rsid w:val="00AA63BD"/>
    <w:rsid w:val="00AB2AF1"/>
    <w:rsid w:val="00AB5498"/>
    <w:rsid w:val="00AC7F0B"/>
    <w:rsid w:val="00AD1A07"/>
    <w:rsid w:val="00AD306C"/>
    <w:rsid w:val="00AD6861"/>
    <w:rsid w:val="00AE09B3"/>
    <w:rsid w:val="00AE1A83"/>
    <w:rsid w:val="00AF6468"/>
    <w:rsid w:val="00AF7BCA"/>
    <w:rsid w:val="00B00913"/>
    <w:rsid w:val="00B0132E"/>
    <w:rsid w:val="00B01593"/>
    <w:rsid w:val="00B10A4D"/>
    <w:rsid w:val="00B17E71"/>
    <w:rsid w:val="00B17FDE"/>
    <w:rsid w:val="00B2379C"/>
    <w:rsid w:val="00B2687D"/>
    <w:rsid w:val="00B32DDB"/>
    <w:rsid w:val="00B34528"/>
    <w:rsid w:val="00B402FC"/>
    <w:rsid w:val="00B46604"/>
    <w:rsid w:val="00B55F5E"/>
    <w:rsid w:val="00B5752E"/>
    <w:rsid w:val="00B60FC2"/>
    <w:rsid w:val="00B63A11"/>
    <w:rsid w:val="00B64C24"/>
    <w:rsid w:val="00B6608F"/>
    <w:rsid w:val="00B66B7A"/>
    <w:rsid w:val="00B679FB"/>
    <w:rsid w:val="00B75431"/>
    <w:rsid w:val="00B76D1E"/>
    <w:rsid w:val="00B80523"/>
    <w:rsid w:val="00B80EC6"/>
    <w:rsid w:val="00B85781"/>
    <w:rsid w:val="00B92D1D"/>
    <w:rsid w:val="00B938C5"/>
    <w:rsid w:val="00B95940"/>
    <w:rsid w:val="00BB46F3"/>
    <w:rsid w:val="00BB4CB1"/>
    <w:rsid w:val="00BB4F98"/>
    <w:rsid w:val="00BB54DF"/>
    <w:rsid w:val="00BB78A6"/>
    <w:rsid w:val="00BC6ABD"/>
    <w:rsid w:val="00BC7154"/>
    <w:rsid w:val="00BD366B"/>
    <w:rsid w:val="00BD6D50"/>
    <w:rsid w:val="00BE18B9"/>
    <w:rsid w:val="00BE2495"/>
    <w:rsid w:val="00BF1578"/>
    <w:rsid w:val="00C0283F"/>
    <w:rsid w:val="00C21F94"/>
    <w:rsid w:val="00C23478"/>
    <w:rsid w:val="00C256E4"/>
    <w:rsid w:val="00C25BCC"/>
    <w:rsid w:val="00C27913"/>
    <w:rsid w:val="00C31520"/>
    <w:rsid w:val="00C33B68"/>
    <w:rsid w:val="00C33F0D"/>
    <w:rsid w:val="00C36A79"/>
    <w:rsid w:val="00C405D4"/>
    <w:rsid w:val="00C4513B"/>
    <w:rsid w:val="00C50C63"/>
    <w:rsid w:val="00C54697"/>
    <w:rsid w:val="00C73885"/>
    <w:rsid w:val="00C747B1"/>
    <w:rsid w:val="00C801C5"/>
    <w:rsid w:val="00C82191"/>
    <w:rsid w:val="00C90CF4"/>
    <w:rsid w:val="00C92EB6"/>
    <w:rsid w:val="00C93389"/>
    <w:rsid w:val="00CA6923"/>
    <w:rsid w:val="00CB4930"/>
    <w:rsid w:val="00CC2E7D"/>
    <w:rsid w:val="00CC76CD"/>
    <w:rsid w:val="00CD10A5"/>
    <w:rsid w:val="00CD2076"/>
    <w:rsid w:val="00CD2299"/>
    <w:rsid w:val="00CE670B"/>
    <w:rsid w:val="00CF51EC"/>
    <w:rsid w:val="00CF73AE"/>
    <w:rsid w:val="00D040DD"/>
    <w:rsid w:val="00D13986"/>
    <w:rsid w:val="00D151BF"/>
    <w:rsid w:val="00D25F28"/>
    <w:rsid w:val="00D27973"/>
    <w:rsid w:val="00D3587A"/>
    <w:rsid w:val="00D44910"/>
    <w:rsid w:val="00D50F46"/>
    <w:rsid w:val="00D62FA6"/>
    <w:rsid w:val="00D656B7"/>
    <w:rsid w:val="00D66223"/>
    <w:rsid w:val="00D74777"/>
    <w:rsid w:val="00D8084C"/>
    <w:rsid w:val="00D9055B"/>
    <w:rsid w:val="00D97127"/>
    <w:rsid w:val="00DA2855"/>
    <w:rsid w:val="00DA3469"/>
    <w:rsid w:val="00DA7C0C"/>
    <w:rsid w:val="00DB1149"/>
    <w:rsid w:val="00DB2EC8"/>
    <w:rsid w:val="00DB4A23"/>
    <w:rsid w:val="00DC5B3B"/>
    <w:rsid w:val="00DD129F"/>
    <w:rsid w:val="00DD685B"/>
    <w:rsid w:val="00DE59BE"/>
    <w:rsid w:val="00DE695F"/>
    <w:rsid w:val="00DF42FF"/>
    <w:rsid w:val="00E01C0E"/>
    <w:rsid w:val="00E03F9A"/>
    <w:rsid w:val="00E04694"/>
    <w:rsid w:val="00E12B1E"/>
    <w:rsid w:val="00E14600"/>
    <w:rsid w:val="00E17262"/>
    <w:rsid w:val="00E22A11"/>
    <w:rsid w:val="00E253A2"/>
    <w:rsid w:val="00E3309D"/>
    <w:rsid w:val="00E50156"/>
    <w:rsid w:val="00E53470"/>
    <w:rsid w:val="00E539F6"/>
    <w:rsid w:val="00E57525"/>
    <w:rsid w:val="00E637D5"/>
    <w:rsid w:val="00E6519D"/>
    <w:rsid w:val="00E655BD"/>
    <w:rsid w:val="00E67696"/>
    <w:rsid w:val="00E71A58"/>
    <w:rsid w:val="00E72A7A"/>
    <w:rsid w:val="00E75C94"/>
    <w:rsid w:val="00E81B77"/>
    <w:rsid w:val="00E93820"/>
    <w:rsid w:val="00EA0C68"/>
    <w:rsid w:val="00EB2C44"/>
    <w:rsid w:val="00EC03D7"/>
    <w:rsid w:val="00ED2C2C"/>
    <w:rsid w:val="00ED62C6"/>
    <w:rsid w:val="00ED64C1"/>
    <w:rsid w:val="00ED78E3"/>
    <w:rsid w:val="00EE0E4F"/>
    <w:rsid w:val="00EE3446"/>
    <w:rsid w:val="00EE3E78"/>
    <w:rsid w:val="00EE4B1B"/>
    <w:rsid w:val="00EE7DB4"/>
    <w:rsid w:val="00EF150D"/>
    <w:rsid w:val="00EF1F5A"/>
    <w:rsid w:val="00F04811"/>
    <w:rsid w:val="00F0488C"/>
    <w:rsid w:val="00F15AAA"/>
    <w:rsid w:val="00F15BEF"/>
    <w:rsid w:val="00F1639F"/>
    <w:rsid w:val="00F24407"/>
    <w:rsid w:val="00F24FAA"/>
    <w:rsid w:val="00F3364D"/>
    <w:rsid w:val="00F437CC"/>
    <w:rsid w:val="00F453D4"/>
    <w:rsid w:val="00F47067"/>
    <w:rsid w:val="00F474C0"/>
    <w:rsid w:val="00F525EB"/>
    <w:rsid w:val="00F63DDE"/>
    <w:rsid w:val="00F63FB7"/>
    <w:rsid w:val="00F649D2"/>
    <w:rsid w:val="00F6602B"/>
    <w:rsid w:val="00F73A0C"/>
    <w:rsid w:val="00F756DB"/>
    <w:rsid w:val="00F82F1A"/>
    <w:rsid w:val="00F85066"/>
    <w:rsid w:val="00FA0C79"/>
    <w:rsid w:val="00FA22FB"/>
    <w:rsid w:val="00FA5D4D"/>
    <w:rsid w:val="00FB1D12"/>
    <w:rsid w:val="00FC0AB6"/>
    <w:rsid w:val="00FC0E5F"/>
    <w:rsid w:val="00FC185E"/>
    <w:rsid w:val="00FC1A95"/>
    <w:rsid w:val="00FC56DE"/>
    <w:rsid w:val="00FC684B"/>
    <w:rsid w:val="00FC7274"/>
    <w:rsid w:val="00FD4377"/>
    <w:rsid w:val="00FE2F78"/>
    <w:rsid w:val="00FE30D1"/>
    <w:rsid w:val="00FF3ECF"/>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5:docId w15:val="{6E013BCA-4E1F-4CDB-B6B2-5F0AC7A0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B58F3"/>
    <w:pPr>
      <w:spacing w:after="240" w:line="288" w:lineRule="auto"/>
    </w:pPr>
    <w:rPr>
      <w:rFonts w:ascii="Arial" w:eastAsia="Times New Roman" w:hAnsi="Arial"/>
      <w:szCs w:val="24"/>
      <w:lang w:val="en-GB" w:eastAsia="cs-CZ"/>
    </w:rPr>
  </w:style>
  <w:style w:type="paragraph" w:styleId="Nadpis1">
    <w:name w:val="heading 1"/>
    <w:next w:val="Normln"/>
    <w:link w:val="Nadpis1Char"/>
    <w:qFormat/>
    <w:rsid w:val="00874476"/>
    <w:pPr>
      <w:keepNext/>
      <w:keepLines/>
      <w:spacing w:after="100" w:line="288" w:lineRule="auto"/>
      <w:contextualSpacing/>
      <w:outlineLvl w:val="0"/>
    </w:pPr>
    <w:rPr>
      <w:rFonts w:ascii="Arial" w:eastAsia="MS Gothic" w:hAnsi="Arial"/>
      <w:b/>
      <w:bCs/>
      <w:color w:val="009BB4"/>
      <w:sz w:val="32"/>
      <w:szCs w:val="28"/>
      <w:lang w:val="en-GB" w:eastAsia="cs-CZ"/>
    </w:rPr>
  </w:style>
  <w:style w:type="paragraph" w:styleId="Nadpis2">
    <w:name w:val="heading 2"/>
    <w:next w:val="Normln"/>
    <w:link w:val="Nadpis2Char"/>
    <w:qFormat/>
    <w:rsid w:val="00BB78A6"/>
    <w:pPr>
      <w:keepNext/>
      <w:keepLines/>
      <w:spacing w:before="240" w:after="120" w:line="288" w:lineRule="auto"/>
      <w:outlineLvl w:val="1"/>
    </w:pPr>
    <w:rPr>
      <w:rFonts w:ascii="Arial" w:eastAsia="MS Gothic" w:hAnsi="Arial"/>
      <w:b/>
      <w:bCs/>
      <w:color w:val="009BB4"/>
      <w:sz w:val="28"/>
      <w:szCs w:val="26"/>
      <w:lang w:val="en-GB" w:eastAsia="cs-CZ"/>
    </w:rPr>
  </w:style>
  <w:style w:type="paragraph" w:styleId="Nadpis3">
    <w:name w:val="heading 3"/>
    <w:next w:val="Normln"/>
    <w:link w:val="Nadpis3Char"/>
    <w:qFormat/>
    <w:rsid w:val="00BB78A6"/>
    <w:pPr>
      <w:keepNext/>
      <w:keepLines/>
      <w:spacing w:before="240" w:after="120" w:line="288" w:lineRule="auto"/>
      <w:outlineLvl w:val="2"/>
    </w:pPr>
    <w:rPr>
      <w:rFonts w:ascii="Arial" w:eastAsia="MS Gothic" w:hAnsi="Arial"/>
      <w:b/>
      <w:bCs/>
      <w:color w:val="009BB4"/>
      <w:sz w:val="24"/>
      <w:szCs w:val="24"/>
      <w:lang w:val="en-GB" w:eastAsia="cs-CZ"/>
    </w:rPr>
  </w:style>
  <w:style w:type="paragraph" w:styleId="Nadpis4">
    <w:name w:val="heading 4"/>
    <w:next w:val="Normln"/>
    <w:link w:val="Nadpis4Char"/>
    <w:uiPriority w:val="9"/>
    <w:qFormat/>
    <w:rsid w:val="00351A75"/>
    <w:pPr>
      <w:keepNext/>
      <w:keepLines/>
      <w:spacing w:line="288" w:lineRule="auto"/>
      <w:outlineLvl w:val="3"/>
    </w:pPr>
    <w:rPr>
      <w:rFonts w:ascii="Arial" w:eastAsia="MS Gothic" w:hAnsi="Arial"/>
      <w:b/>
      <w:bCs/>
      <w:iCs/>
      <w:color w:val="BD1B21"/>
      <w:szCs w:val="24"/>
      <w:lang w:val="en-GB" w:eastAsia="cs-CZ"/>
    </w:rPr>
  </w:style>
  <w:style w:type="paragraph" w:styleId="Nadpis5">
    <w:name w:val="heading 5"/>
    <w:basedOn w:val="Normln"/>
    <w:next w:val="Normln"/>
    <w:link w:val="Nadpis5Char"/>
    <w:qFormat/>
    <w:rsid w:val="009B63B1"/>
    <w:pPr>
      <w:spacing w:before="240" w:after="60" w:line="240" w:lineRule="auto"/>
      <w:outlineLvl w:val="4"/>
    </w:pPr>
    <w:rPr>
      <w:rFonts w:ascii="Times New Roman" w:hAnsi="Times New Roman"/>
      <w:b/>
      <w:bCs/>
      <w:i/>
      <w:iCs/>
      <w:sz w:val="26"/>
      <w:szCs w:val="26"/>
      <w:lang w:val="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74476"/>
    <w:rPr>
      <w:rFonts w:ascii="Arial" w:eastAsia="MS Gothic" w:hAnsi="Arial"/>
      <w:b/>
      <w:bCs/>
      <w:color w:val="009BB4"/>
      <w:sz w:val="32"/>
      <w:szCs w:val="28"/>
      <w:lang w:val="en-GB" w:eastAsia="cs-CZ"/>
    </w:rPr>
  </w:style>
  <w:style w:type="character" w:customStyle="1" w:styleId="Nadpis2Char">
    <w:name w:val="Nadpis 2 Char"/>
    <w:link w:val="Nadpis2"/>
    <w:uiPriority w:val="9"/>
    <w:rsid w:val="00BB78A6"/>
    <w:rPr>
      <w:rFonts w:ascii="Arial" w:eastAsia="MS Gothic" w:hAnsi="Arial"/>
      <w:b/>
      <w:bCs/>
      <w:color w:val="009BB4"/>
      <w:sz w:val="28"/>
      <w:szCs w:val="26"/>
      <w:lang w:val="en-GB" w:eastAsia="cs-CZ"/>
    </w:rPr>
  </w:style>
  <w:style w:type="character" w:customStyle="1" w:styleId="Nadpis3Char">
    <w:name w:val="Nadpis 3 Char"/>
    <w:link w:val="Nadpis3"/>
    <w:uiPriority w:val="9"/>
    <w:rsid w:val="00BB78A6"/>
    <w:rPr>
      <w:rFonts w:ascii="Arial" w:eastAsia="MS Gothic" w:hAnsi="Arial"/>
      <w:b/>
      <w:bCs/>
      <w:color w:val="009BB4"/>
      <w:sz w:val="24"/>
      <w:szCs w:val="24"/>
      <w:lang w:val="en-GB" w:eastAsia="cs-CZ"/>
    </w:rPr>
  </w:style>
  <w:style w:type="character" w:customStyle="1" w:styleId="Nadpis4Char">
    <w:name w:val="Nadpis 4 Char"/>
    <w:link w:val="Nadpis4"/>
    <w:uiPriority w:val="9"/>
    <w:rsid w:val="00351A75"/>
    <w:rPr>
      <w:rFonts w:ascii="Arial" w:eastAsia="MS Gothic" w:hAnsi="Arial"/>
      <w:b/>
      <w:bCs/>
      <w:iCs/>
      <w:color w:val="BD1B21"/>
      <w:szCs w:val="24"/>
      <w:lang w:val="en-GB"/>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nhideWhenUsed/>
    <w:qFormat/>
    <w:rsid w:val="00351A75"/>
    <w:pPr>
      <w:spacing w:line="288" w:lineRule="auto"/>
    </w:pPr>
    <w:rPr>
      <w:rFonts w:ascii="Arial" w:hAnsi="Arial"/>
      <w:sz w:val="16"/>
      <w:szCs w:val="22"/>
      <w:lang w:val="en-GB"/>
    </w:rPr>
  </w:style>
  <w:style w:type="character" w:customStyle="1" w:styleId="ZhlavChar">
    <w:name w:val="Záhlaví Char"/>
    <w:link w:val="Zhlav"/>
    <w:rsid w:val="00351A75"/>
    <w:rPr>
      <w:rFonts w:ascii="Arial" w:hAnsi="Arial"/>
      <w:sz w:val="16"/>
      <w:szCs w:val="22"/>
      <w:lang w:val="en-GB" w:eastAsia="en-US"/>
    </w:rPr>
  </w:style>
  <w:style w:type="paragraph" w:styleId="Zpat">
    <w:name w:val="footer"/>
    <w:link w:val="ZpatChar"/>
    <w:unhideWhenUsed/>
    <w:qFormat/>
    <w:rsid w:val="00FE30D1"/>
    <w:pPr>
      <w:tabs>
        <w:tab w:val="center" w:pos="4820"/>
        <w:tab w:val="right" w:pos="9639"/>
      </w:tabs>
    </w:pPr>
    <w:rPr>
      <w:rFonts w:ascii="Arial" w:hAnsi="Arial" w:cs="Arial"/>
      <w:sz w:val="16"/>
      <w:lang w:val="en-GB"/>
    </w:rPr>
  </w:style>
  <w:style w:type="character" w:customStyle="1" w:styleId="ZpatChar">
    <w:name w:val="Zápatí Char"/>
    <w:link w:val="Zpat"/>
    <w:uiPriority w:val="99"/>
    <w:rsid w:val="00FE30D1"/>
    <w:rPr>
      <w:rFonts w:ascii="Arial" w:hAnsi="Arial" w:cs="Arial"/>
      <w:sz w:val="16"/>
      <w:lang w:val="en-GB"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38283A"/>
    <w:pPr>
      <w:spacing w:before="80"/>
    </w:pPr>
    <w:rPr>
      <w:b/>
      <w:noProof/>
    </w:rPr>
  </w:style>
  <w:style w:type="paragraph" w:customStyle="1" w:styleId="TLIdentifikace-sted">
    <w:name w:val="TL Identifikace - střed"/>
    <w:qFormat/>
    <w:rsid w:val="00351A75"/>
    <w:pPr>
      <w:spacing w:after="200" w:line="288" w:lineRule="auto"/>
    </w:pPr>
    <w:rPr>
      <w:rFonts w:ascii="Arial" w:eastAsia="Times New Roman" w:hAnsi="Arial"/>
      <w:sz w:val="24"/>
      <w:szCs w:val="24"/>
      <w:lang w:val="en-GB" w:eastAsia="cs-CZ"/>
    </w:rPr>
  </w:style>
  <w:style w:type="paragraph" w:customStyle="1" w:styleId="Obsah">
    <w:name w:val="Obsah"/>
    <w:next w:val="Normln"/>
    <w:qFormat/>
    <w:rsid w:val="004C7BC9"/>
    <w:pPr>
      <w:spacing w:after="80" w:line="288" w:lineRule="auto"/>
    </w:pPr>
    <w:rPr>
      <w:rFonts w:ascii="Arial" w:eastAsia="Times New Roman" w:hAnsi="Arial"/>
      <w:b/>
      <w:color w:val="009BB4"/>
      <w:sz w:val="32"/>
      <w:szCs w:val="24"/>
      <w:lang w:val="en-GB" w:eastAsia="cs-CZ"/>
    </w:rPr>
  </w:style>
  <w:style w:type="paragraph" w:customStyle="1" w:styleId="Obsahpoloky">
    <w:name w:val="Obsah položky"/>
    <w:qFormat/>
    <w:rsid w:val="00351A75"/>
    <w:pPr>
      <w:tabs>
        <w:tab w:val="right" w:leader="dot" w:pos="9639"/>
      </w:tabs>
      <w:spacing w:line="288" w:lineRule="auto"/>
    </w:pPr>
    <w:rPr>
      <w:rFonts w:ascii="Arial" w:eastAsia="Times New Roman" w:hAnsi="Arial"/>
      <w:szCs w:val="24"/>
      <w:lang w:val="en-GB" w:eastAsia="cs-CZ"/>
    </w:rPr>
  </w:style>
  <w:style w:type="paragraph" w:customStyle="1" w:styleId="Box1">
    <w:name w:val="Box 1"/>
    <w:next w:val="Normln"/>
    <w:qFormat/>
    <w:rsid w:val="00351A75"/>
    <w:pPr>
      <w:shd w:val="clear" w:color="auto" w:fill="D9EAF5"/>
      <w:spacing w:before="240" w:after="240" w:line="288" w:lineRule="auto"/>
      <w:ind w:left="709"/>
      <w:contextualSpacing/>
    </w:pPr>
    <w:rPr>
      <w:rFonts w:ascii="Arial" w:hAnsi="Arial" w:cs="Arial"/>
      <w:lang w:val="en-GB" w:eastAsia="cs-CZ"/>
    </w:rPr>
  </w:style>
  <w:style w:type="paragraph" w:customStyle="1" w:styleId="Box2">
    <w:name w:val="Box 2"/>
    <w:link w:val="Box2Char"/>
    <w:qFormat/>
    <w:rsid w:val="00351A75"/>
    <w:pPr>
      <w:spacing w:before="240" w:after="240" w:line="288" w:lineRule="auto"/>
      <w:ind w:left="709"/>
      <w:contextualSpacing/>
    </w:pPr>
    <w:rPr>
      <w:rFonts w:ascii="Arial" w:hAnsi="Arial" w:cs="Arial"/>
      <w:color w:val="0071BC"/>
      <w:lang w:val="en-GB" w:eastAsia="cs-CZ"/>
    </w:rPr>
  </w:style>
  <w:style w:type="paragraph" w:styleId="Seznam">
    <w:name w:val="List"/>
    <w:basedOn w:val="Normln"/>
    <w:uiPriority w:val="99"/>
    <w:unhideWhenUsed/>
    <w:qFormat/>
    <w:rsid w:val="00351A75"/>
    <w:pPr>
      <w:contextualSpacing/>
    </w:pPr>
  </w:style>
  <w:style w:type="character" w:styleId="Siln">
    <w:name w:val="Strong"/>
    <w:aliases w:val="Tučné"/>
    <w:uiPriority w:val="22"/>
    <w:qFormat/>
    <w:rsid w:val="00351A75"/>
    <w:rPr>
      <w:rFonts w:ascii="Arial" w:hAnsi="Arial"/>
      <w:b/>
      <w:bCs/>
      <w:sz w:val="20"/>
      <w:lang w:val="en-GB"/>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351A75"/>
    <w:pPr>
      <w:spacing w:after="160" w:line="259" w:lineRule="auto"/>
      <w:contextualSpacing/>
    </w:pPr>
    <w:rPr>
      <w:rFonts w:ascii="Arial" w:eastAsia="Times New Roman" w:hAnsi="Arial"/>
      <w:b/>
      <w:color w:val="0071BC"/>
      <w:lang w:val="en-GB" w:eastAsia="cs-CZ"/>
    </w:rPr>
  </w:style>
  <w:style w:type="paragraph" w:styleId="Nzev">
    <w:name w:val="Title"/>
    <w:link w:val="NzevChar"/>
    <w:qFormat/>
    <w:rsid w:val="00351A75"/>
    <w:pPr>
      <w:spacing w:line="288" w:lineRule="auto"/>
    </w:pPr>
    <w:rPr>
      <w:rFonts w:ascii="Arial" w:eastAsia="Times New Roman" w:hAnsi="Arial"/>
      <w:b/>
      <w:bCs/>
      <w:caps/>
      <w:kern w:val="28"/>
      <w:sz w:val="56"/>
      <w:szCs w:val="32"/>
      <w:lang w:val="en-GB" w:eastAsia="cs-CZ"/>
    </w:rPr>
  </w:style>
  <w:style w:type="character" w:customStyle="1" w:styleId="NzevChar">
    <w:name w:val="Název Char"/>
    <w:link w:val="Nzev"/>
    <w:rsid w:val="00351A75"/>
    <w:rPr>
      <w:rFonts w:ascii="Arial" w:eastAsia="Times New Roman" w:hAnsi="Arial"/>
      <w:b/>
      <w:bCs/>
      <w:caps/>
      <w:kern w:val="28"/>
      <w:sz w:val="56"/>
      <w:szCs w:val="32"/>
      <w:lang w:val="en-GB"/>
    </w:rPr>
  </w:style>
  <w:style w:type="paragraph" w:styleId="Podnadpis">
    <w:name w:val="Subtitle"/>
    <w:link w:val="PodnadpisChar"/>
    <w:uiPriority w:val="11"/>
    <w:qFormat/>
    <w:rsid w:val="00351A75"/>
    <w:pPr>
      <w:spacing w:line="288" w:lineRule="auto"/>
    </w:pPr>
    <w:rPr>
      <w:rFonts w:ascii="Arial" w:eastAsia="Times New Roman" w:hAnsi="Arial" w:cs="Arial"/>
      <w:b/>
      <w:sz w:val="28"/>
      <w:szCs w:val="24"/>
      <w:lang w:val="en-GB" w:eastAsia="cs-CZ"/>
    </w:rPr>
  </w:style>
  <w:style w:type="character" w:customStyle="1" w:styleId="PodnadpisChar">
    <w:name w:val="Podnadpis Char"/>
    <w:link w:val="Podnadpis"/>
    <w:uiPriority w:val="11"/>
    <w:rsid w:val="00351A75"/>
    <w:rPr>
      <w:rFonts w:ascii="Arial" w:eastAsia="Times New Roman" w:hAnsi="Arial" w:cs="Arial"/>
      <w:b/>
      <w:sz w:val="28"/>
      <w:szCs w:val="24"/>
      <w:lang w:val="en-GB"/>
    </w:rPr>
  </w:style>
  <w:style w:type="paragraph" w:styleId="Obsah2">
    <w:name w:val="toc 2"/>
    <w:basedOn w:val="Obsahpoloky"/>
    <w:next w:val="Obsahpoloky"/>
    <w:autoRedefine/>
    <w:uiPriority w:val="39"/>
    <w:unhideWhenUsed/>
    <w:rsid w:val="0038283A"/>
    <w:pPr>
      <w:spacing w:before="40"/>
      <w:ind w:left="200"/>
    </w:pPr>
    <w:rPr>
      <w:b/>
      <w:noProof/>
    </w:r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paragraph" w:styleId="Zkladntext">
    <w:name w:val="Body Text"/>
    <w:basedOn w:val="Normln"/>
    <w:link w:val="ZkladntextChar"/>
    <w:semiHidden/>
    <w:rsid w:val="00874476"/>
    <w:pPr>
      <w:spacing w:before="240" w:after="0" w:line="240" w:lineRule="auto"/>
      <w:jc w:val="both"/>
    </w:pPr>
    <w:rPr>
      <w:sz w:val="15"/>
      <w:lang w:val="cs-CZ"/>
    </w:rPr>
  </w:style>
  <w:style w:type="character" w:customStyle="1" w:styleId="ZkladntextChar">
    <w:name w:val="Základní text Char"/>
    <w:basedOn w:val="Standardnpsmoodstavce"/>
    <w:link w:val="Zkladntext"/>
    <w:semiHidden/>
    <w:rsid w:val="00874476"/>
    <w:rPr>
      <w:rFonts w:ascii="Arial" w:eastAsia="Times New Roman" w:hAnsi="Arial"/>
      <w:sz w:val="15"/>
      <w:szCs w:val="24"/>
      <w:lang w:eastAsia="cs-CZ"/>
    </w:rPr>
  </w:style>
  <w:style w:type="paragraph" w:styleId="Textpoznpodarou">
    <w:name w:val="footnote text"/>
    <w:basedOn w:val="Normln"/>
    <w:link w:val="TextpoznpodarouChar"/>
    <w:uiPriority w:val="99"/>
    <w:unhideWhenUsed/>
    <w:rsid w:val="00874476"/>
    <w:pPr>
      <w:spacing w:after="0" w:line="240" w:lineRule="auto"/>
    </w:pPr>
    <w:rPr>
      <w:rFonts w:ascii="Times New Roman" w:hAnsi="Times New Roman"/>
      <w:szCs w:val="20"/>
      <w:lang w:val="cs-CZ"/>
    </w:rPr>
  </w:style>
  <w:style w:type="character" w:customStyle="1" w:styleId="TextpoznpodarouChar">
    <w:name w:val="Text pozn. pod čarou Char"/>
    <w:basedOn w:val="Standardnpsmoodstavce"/>
    <w:link w:val="Textpoznpodarou"/>
    <w:uiPriority w:val="99"/>
    <w:rsid w:val="00874476"/>
    <w:rPr>
      <w:rFonts w:ascii="Times New Roman" w:eastAsia="Times New Roman" w:hAnsi="Times New Roman"/>
      <w:lang w:eastAsia="cs-CZ"/>
    </w:rPr>
  </w:style>
  <w:style w:type="character" w:styleId="Znakapoznpodarou">
    <w:name w:val="footnote reference"/>
    <w:uiPriority w:val="99"/>
    <w:semiHidden/>
    <w:unhideWhenUsed/>
    <w:rsid w:val="00874476"/>
    <w:rPr>
      <w:vertAlign w:val="superscript"/>
    </w:rPr>
  </w:style>
  <w:style w:type="paragraph" w:styleId="Titulek">
    <w:name w:val="caption"/>
    <w:basedOn w:val="Normln"/>
    <w:next w:val="Normln"/>
    <w:uiPriority w:val="35"/>
    <w:unhideWhenUsed/>
    <w:qFormat/>
    <w:rsid w:val="00874476"/>
    <w:pPr>
      <w:spacing w:after="200" w:line="240" w:lineRule="auto"/>
    </w:pPr>
    <w:rPr>
      <w:b/>
      <w:bCs/>
      <w:color w:val="4F81BD" w:themeColor="accent1"/>
      <w:sz w:val="18"/>
      <w:szCs w:val="18"/>
      <w:lang w:val="cs-CZ"/>
    </w:rPr>
  </w:style>
  <w:style w:type="character" w:customStyle="1" w:styleId="Nadpis5Char">
    <w:name w:val="Nadpis 5 Char"/>
    <w:basedOn w:val="Standardnpsmoodstavce"/>
    <w:link w:val="Nadpis5"/>
    <w:rsid w:val="009B63B1"/>
    <w:rPr>
      <w:rFonts w:ascii="Times New Roman" w:eastAsia="Times New Roman" w:hAnsi="Times New Roman"/>
      <w:b/>
      <w:bCs/>
      <w:i/>
      <w:iCs/>
      <w:sz w:val="26"/>
      <w:szCs w:val="26"/>
      <w:lang w:eastAsia="cs-CZ"/>
    </w:rPr>
  </w:style>
  <w:style w:type="paragraph" w:styleId="Seznamobrzk">
    <w:name w:val="table of figures"/>
    <w:basedOn w:val="Normln"/>
    <w:next w:val="Normln"/>
    <w:uiPriority w:val="99"/>
    <w:unhideWhenUsed/>
    <w:rsid w:val="009B63B1"/>
    <w:pPr>
      <w:spacing w:after="0"/>
    </w:pPr>
    <w:rPr>
      <w:lang w:val="cs-CZ"/>
    </w:rPr>
  </w:style>
  <w:style w:type="paragraph" w:customStyle="1" w:styleId="Styl1">
    <w:name w:val="Styl1"/>
    <w:rsid w:val="009B63B1"/>
    <w:pPr>
      <w:suppressAutoHyphens/>
      <w:autoSpaceDE w:val="0"/>
    </w:pPr>
    <w:rPr>
      <w:rFonts w:ascii="Arial" w:eastAsia="Times New Roman" w:hAnsi="Arial"/>
      <w:sz w:val="24"/>
      <w:szCs w:val="24"/>
      <w:lang w:eastAsia="ar-SA"/>
    </w:rPr>
  </w:style>
  <w:style w:type="paragraph" w:customStyle="1" w:styleId="Bezmezer1">
    <w:name w:val="Bez mezer1"/>
    <w:aliases w:val="Bez zarážky"/>
    <w:link w:val="NoSpacingChar"/>
    <w:uiPriority w:val="1"/>
    <w:qFormat/>
    <w:rsid w:val="009B63B1"/>
    <w:pPr>
      <w:spacing w:line="288" w:lineRule="auto"/>
    </w:pPr>
    <w:rPr>
      <w:rFonts w:ascii="Arial" w:eastAsia="Times New Roman" w:hAnsi="Arial"/>
      <w:szCs w:val="24"/>
      <w:lang w:eastAsia="cs-CZ"/>
    </w:rPr>
  </w:style>
  <w:style w:type="character" w:customStyle="1" w:styleId="NoSpacingChar">
    <w:name w:val="No Spacing Char"/>
    <w:aliases w:val="Bez zarážky Char"/>
    <w:link w:val="Bezmezer1"/>
    <w:uiPriority w:val="1"/>
    <w:rsid w:val="009B63B1"/>
    <w:rPr>
      <w:rFonts w:ascii="Arial" w:eastAsia="Times New Roman" w:hAnsi="Arial"/>
      <w:szCs w:val="24"/>
      <w:lang w:eastAsia="cs-CZ"/>
    </w:rPr>
  </w:style>
  <w:style w:type="character" w:customStyle="1" w:styleId="Box2Char">
    <w:name w:val="Box 2 Char"/>
    <w:link w:val="Box2"/>
    <w:rsid w:val="009B63B1"/>
    <w:rPr>
      <w:rFonts w:ascii="Arial" w:hAnsi="Arial" w:cs="Arial"/>
      <w:color w:val="0071BC"/>
      <w:lang w:val="en-GB" w:eastAsia="cs-CZ"/>
    </w:rPr>
  </w:style>
  <w:style w:type="paragraph" w:customStyle="1" w:styleId="Box">
    <w:name w:val="Box"/>
    <w:next w:val="Normln"/>
    <w:link w:val="BoxChar"/>
    <w:qFormat/>
    <w:rsid w:val="009B63B1"/>
    <w:pPr>
      <w:shd w:val="clear" w:color="auto" w:fill="D9F0F4"/>
      <w:spacing w:line="288" w:lineRule="auto"/>
      <w:ind w:left="1134"/>
    </w:pPr>
    <w:rPr>
      <w:rFonts w:ascii="Arial" w:hAnsi="Arial" w:cs="Arial"/>
      <w:lang w:eastAsia="cs-CZ"/>
    </w:rPr>
  </w:style>
  <w:style w:type="character" w:customStyle="1" w:styleId="BoxChar">
    <w:name w:val="Box Char"/>
    <w:link w:val="Box"/>
    <w:rsid w:val="009B63B1"/>
    <w:rPr>
      <w:rFonts w:ascii="Arial" w:hAnsi="Arial" w:cs="Arial"/>
      <w:shd w:val="clear" w:color="auto" w:fill="D9F0F4"/>
      <w:lang w:eastAsia="cs-CZ"/>
    </w:rPr>
  </w:style>
  <w:style w:type="paragraph" w:customStyle="1" w:styleId="TL-Kontakty">
    <w:name w:val="TL - Kontakty"/>
    <w:next w:val="Normln"/>
    <w:link w:val="TL-KontaktyChar"/>
    <w:qFormat/>
    <w:rsid w:val="009B63B1"/>
    <w:pPr>
      <w:spacing w:after="80"/>
    </w:pPr>
    <w:rPr>
      <w:rFonts w:ascii="Arial" w:eastAsia="Times New Roman" w:hAnsi="Arial"/>
      <w:b/>
      <w:caps/>
      <w:color w:val="BD1B21"/>
      <w:sz w:val="24"/>
      <w:szCs w:val="24"/>
      <w:lang w:eastAsia="cs-CZ"/>
    </w:rPr>
  </w:style>
  <w:style w:type="character" w:customStyle="1" w:styleId="TL-KontaktyChar">
    <w:name w:val="TL - Kontakty Char"/>
    <w:link w:val="TL-Kontakty"/>
    <w:rsid w:val="009B63B1"/>
    <w:rPr>
      <w:rFonts w:ascii="Arial" w:eastAsia="Times New Roman" w:hAnsi="Arial"/>
      <w:b/>
      <w:caps/>
      <w:color w:val="BD1B21"/>
      <w:sz w:val="24"/>
      <w:szCs w:val="24"/>
      <w:lang w:eastAsia="cs-CZ"/>
    </w:rPr>
  </w:style>
  <w:style w:type="paragraph" w:customStyle="1" w:styleId="TL-Identifikace">
    <w:name w:val="TL - Identifikace"/>
    <w:next w:val="Normln"/>
    <w:link w:val="TL-IdentifikaceChar"/>
    <w:qFormat/>
    <w:rsid w:val="009B63B1"/>
    <w:pPr>
      <w:spacing w:after="200" w:line="288" w:lineRule="auto"/>
    </w:pPr>
    <w:rPr>
      <w:rFonts w:ascii="Arial" w:eastAsia="Times New Roman" w:hAnsi="Arial"/>
      <w:sz w:val="24"/>
      <w:szCs w:val="24"/>
      <w:lang w:eastAsia="cs-CZ"/>
    </w:rPr>
  </w:style>
  <w:style w:type="character" w:customStyle="1" w:styleId="TL-IdentifikaceChar">
    <w:name w:val="TL - Identifikace Char"/>
    <w:link w:val="TL-Identifikace"/>
    <w:rsid w:val="009B63B1"/>
    <w:rPr>
      <w:rFonts w:ascii="Arial" w:eastAsia="Times New Roman" w:hAnsi="Arial"/>
      <w:sz w:val="24"/>
      <w:szCs w:val="24"/>
      <w:lang w:eastAsia="cs-CZ"/>
    </w:rPr>
  </w:style>
  <w:style w:type="paragraph" w:customStyle="1" w:styleId="3372873BB58A4DED866D2BE34882C06C">
    <w:name w:val="3372873BB58A4DED866D2BE34882C06C"/>
    <w:rsid w:val="009B63B1"/>
    <w:pPr>
      <w:spacing w:after="200" w:line="276" w:lineRule="auto"/>
    </w:pPr>
    <w:rPr>
      <w:rFonts w:eastAsia="MS Mincho"/>
      <w:sz w:val="22"/>
      <w:szCs w:val="22"/>
      <w:lang w:eastAsia="cs-CZ"/>
    </w:rPr>
  </w:style>
  <w:style w:type="paragraph" w:customStyle="1" w:styleId="233E5CD5853943F4BD7E8C4B124C0E1D">
    <w:name w:val="233E5CD5853943F4BD7E8C4B124C0E1D"/>
    <w:rsid w:val="009B63B1"/>
    <w:pPr>
      <w:spacing w:after="200" w:line="276" w:lineRule="auto"/>
    </w:pPr>
    <w:rPr>
      <w:rFonts w:eastAsia="MS Mincho"/>
      <w:sz w:val="22"/>
      <w:szCs w:val="22"/>
      <w:lang w:eastAsia="cs-CZ"/>
    </w:rPr>
  </w:style>
  <w:style w:type="paragraph" w:customStyle="1" w:styleId="D345FF3D873148C5AE3FBF3267827368">
    <w:name w:val="D345FF3D873148C5AE3FBF3267827368"/>
    <w:rsid w:val="009B63B1"/>
    <w:pPr>
      <w:spacing w:after="200" w:line="276" w:lineRule="auto"/>
    </w:pPr>
    <w:rPr>
      <w:rFonts w:eastAsia="MS Mincho"/>
      <w:sz w:val="22"/>
      <w:szCs w:val="22"/>
      <w:lang w:eastAsia="cs-CZ"/>
    </w:rPr>
  </w:style>
  <w:style w:type="paragraph" w:customStyle="1" w:styleId="TL-identifikace-sted">
    <w:name w:val="TL - identifikace - střed"/>
    <w:basedOn w:val="Normln"/>
    <w:link w:val="TL-identifikace-stedChar"/>
    <w:qFormat/>
    <w:rsid w:val="009B63B1"/>
    <w:pPr>
      <w:spacing w:after="200"/>
    </w:pPr>
    <w:rPr>
      <w:sz w:val="24"/>
      <w:lang w:val="cs-CZ"/>
    </w:rPr>
  </w:style>
  <w:style w:type="character" w:customStyle="1" w:styleId="TL-identifikace-stedChar">
    <w:name w:val="TL - identifikace - střed Char"/>
    <w:link w:val="TL-identifikace-sted"/>
    <w:rsid w:val="009B63B1"/>
    <w:rPr>
      <w:rFonts w:ascii="Arial" w:eastAsia="Times New Roman" w:hAnsi="Arial"/>
      <w:sz w:val="24"/>
      <w:szCs w:val="24"/>
      <w:lang w:eastAsia="cs-CZ"/>
    </w:rPr>
  </w:style>
  <w:style w:type="paragraph" w:customStyle="1" w:styleId="TL-Identifikace-dole">
    <w:name w:val="TL - Identifikace - dole"/>
    <w:basedOn w:val="Normln"/>
    <w:link w:val="TL-Identifikace-doleChar"/>
    <w:qFormat/>
    <w:rsid w:val="009B63B1"/>
    <w:pPr>
      <w:spacing w:after="200"/>
    </w:pPr>
    <w:rPr>
      <w:rFonts w:cs="Arial"/>
      <w:szCs w:val="20"/>
      <w:lang w:val="cs-CZ" w:eastAsia="ar-SA"/>
    </w:rPr>
  </w:style>
  <w:style w:type="character" w:customStyle="1" w:styleId="TL-Identifikace-doleChar">
    <w:name w:val="TL - Identifikace - dole Char"/>
    <w:link w:val="TL-Identifikace-dole"/>
    <w:rsid w:val="009B63B1"/>
    <w:rPr>
      <w:rFonts w:ascii="Arial" w:eastAsia="Times New Roman" w:hAnsi="Arial" w:cs="Arial"/>
      <w:lang w:eastAsia="ar-SA"/>
    </w:rPr>
  </w:style>
  <w:style w:type="paragraph" w:styleId="Rozloendokumentu">
    <w:name w:val="Document Map"/>
    <w:basedOn w:val="Normln"/>
    <w:link w:val="RozloendokumentuChar"/>
    <w:semiHidden/>
    <w:rsid w:val="009B63B1"/>
    <w:pPr>
      <w:shd w:val="clear" w:color="auto" w:fill="000080"/>
      <w:spacing w:after="0" w:line="240" w:lineRule="auto"/>
    </w:pPr>
    <w:rPr>
      <w:rFonts w:ascii="Tahoma" w:hAnsi="Tahoma" w:cs="Tahoma"/>
      <w:sz w:val="24"/>
      <w:lang w:val="cs-CZ"/>
    </w:rPr>
  </w:style>
  <w:style w:type="character" w:customStyle="1" w:styleId="RozloendokumentuChar">
    <w:name w:val="Rozložení dokumentu Char"/>
    <w:basedOn w:val="Standardnpsmoodstavce"/>
    <w:link w:val="Rozloendokumentu"/>
    <w:semiHidden/>
    <w:rsid w:val="009B63B1"/>
    <w:rPr>
      <w:rFonts w:ascii="Tahoma" w:eastAsia="Times New Roman" w:hAnsi="Tahoma" w:cs="Tahoma"/>
      <w:sz w:val="24"/>
      <w:szCs w:val="24"/>
      <w:shd w:val="clear" w:color="auto" w:fill="000080"/>
      <w:lang w:eastAsia="cs-CZ"/>
    </w:rPr>
  </w:style>
  <w:style w:type="paragraph" w:styleId="Zkladntextodsazen">
    <w:name w:val="Body Text Indent"/>
    <w:basedOn w:val="Normln"/>
    <w:link w:val="ZkladntextodsazenChar"/>
    <w:semiHidden/>
    <w:rsid w:val="009B63B1"/>
    <w:pPr>
      <w:spacing w:after="0" w:line="240" w:lineRule="auto"/>
      <w:ind w:left="360" w:hanging="360"/>
      <w:jc w:val="both"/>
    </w:pPr>
    <w:rPr>
      <w:rFonts w:ascii="Times New Roman" w:hAnsi="Times New Roman"/>
      <w:sz w:val="22"/>
      <w:lang w:val="cs-CZ"/>
    </w:rPr>
  </w:style>
  <w:style w:type="character" w:customStyle="1" w:styleId="ZkladntextodsazenChar">
    <w:name w:val="Základní text odsazený Char"/>
    <w:basedOn w:val="Standardnpsmoodstavce"/>
    <w:link w:val="Zkladntextodsazen"/>
    <w:semiHidden/>
    <w:rsid w:val="009B63B1"/>
    <w:rPr>
      <w:rFonts w:ascii="Times New Roman" w:eastAsia="Times New Roman" w:hAnsi="Times New Roman"/>
      <w:sz w:val="22"/>
      <w:szCs w:val="24"/>
      <w:lang w:eastAsia="cs-CZ"/>
    </w:rPr>
  </w:style>
  <w:style w:type="paragraph" w:styleId="Zkladntextodsazen2">
    <w:name w:val="Body Text Indent 2"/>
    <w:basedOn w:val="Normln"/>
    <w:link w:val="Zkladntextodsazen2Char"/>
    <w:semiHidden/>
    <w:rsid w:val="009B63B1"/>
    <w:pPr>
      <w:spacing w:after="0" w:line="240" w:lineRule="auto"/>
      <w:ind w:left="360" w:hanging="360"/>
      <w:jc w:val="both"/>
    </w:pPr>
    <w:rPr>
      <w:rFonts w:ascii="Times New Roman" w:hAnsi="Times New Roman"/>
      <w:sz w:val="24"/>
      <w:lang w:val="cs-CZ"/>
    </w:rPr>
  </w:style>
  <w:style w:type="character" w:customStyle="1" w:styleId="Zkladntextodsazen2Char">
    <w:name w:val="Základní text odsazený 2 Char"/>
    <w:basedOn w:val="Standardnpsmoodstavce"/>
    <w:link w:val="Zkladntextodsazen2"/>
    <w:semiHidden/>
    <w:rsid w:val="009B63B1"/>
    <w:rPr>
      <w:rFonts w:ascii="Times New Roman" w:eastAsia="Times New Roman" w:hAnsi="Times New Roman"/>
      <w:sz w:val="24"/>
      <w:szCs w:val="24"/>
      <w:lang w:eastAsia="cs-CZ"/>
    </w:rPr>
  </w:style>
  <w:style w:type="character" w:styleId="Sledovanodkaz">
    <w:name w:val="FollowedHyperlink"/>
    <w:semiHidden/>
    <w:rsid w:val="009B63B1"/>
    <w:rPr>
      <w:color w:val="800080"/>
      <w:u w:val="single"/>
    </w:rPr>
  </w:style>
  <w:style w:type="paragraph" w:styleId="Zkladntext3">
    <w:name w:val="Body Text 3"/>
    <w:basedOn w:val="Normln"/>
    <w:link w:val="Zkladntext3Char"/>
    <w:semiHidden/>
    <w:rsid w:val="009B63B1"/>
    <w:pPr>
      <w:spacing w:after="0" w:line="240" w:lineRule="auto"/>
      <w:jc w:val="both"/>
    </w:pPr>
    <w:rPr>
      <w:rFonts w:cs="Arial"/>
      <w:b/>
      <w:bCs/>
      <w:lang w:val="cs-CZ"/>
    </w:rPr>
  </w:style>
  <w:style w:type="character" w:customStyle="1" w:styleId="Zkladntext3Char">
    <w:name w:val="Základní text 3 Char"/>
    <w:basedOn w:val="Standardnpsmoodstavce"/>
    <w:link w:val="Zkladntext3"/>
    <w:semiHidden/>
    <w:rsid w:val="009B63B1"/>
    <w:rPr>
      <w:rFonts w:ascii="Arial" w:eastAsia="Times New Roman" w:hAnsi="Arial" w:cs="Arial"/>
      <w:b/>
      <w:bCs/>
      <w:szCs w:val="24"/>
      <w:lang w:eastAsia="cs-CZ"/>
    </w:rPr>
  </w:style>
  <w:style w:type="paragraph" w:styleId="Odstavecseseznamem">
    <w:name w:val="List Paragraph"/>
    <w:basedOn w:val="Normln"/>
    <w:uiPriority w:val="34"/>
    <w:qFormat/>
    <w:rsid w:val="009B63B1"/>
    <w:pPr>
      <w:spacing w:after="0" w:line="240" w:lineRule="auto"/>
      <w:ind w:left="720"/>
      <w:contextualSpacing/>
    </w:pPr>
    <w:rPr>
      <w:rFonts w:ascii="Times New Roman" w:hAnsi="Times New Roman"/>
      <w:sz w:val="24"/>
      <w:lang w:val="cs-CZ"/>
    </w:rPr>
  </w:style>
  <w:style w:type="paragraph" w:styleId="Textkomente">
    <w:name w:val="annotation text"/>
    <w:basedOn w:val="Normln"/>
    <w:link w:val="TextkomenteChar"/>
    <w:uiPriority w:val="99"/>
    <w:semiHidden/>
    <w:unhideWhenUsed/>
    <w:rsid w:val="009B63B1"/>
    <w:pPr>
      <w:spacing w:after="0" w:line="240" w:lineRule="auto"/>
    </w:pPr>
    <w:rPr>
      <w:rFonts w:ascii="Times New Roman" w:hAnsi="Times New Roman"/>
      <w:szCs w:val="20"/>
      <w:lang w:val="cs-CZ"/>
    </w:rPr>
  </w:style>
  <w:style w:type="character" w:customStyle="1" w:styleId="TextkomenteChar">
    <w:name w:val="Text komentáře Char"/>
    <w:basedOn w:val="Standardnpsmoodstavce"/>
    <w:link w:val="Textkomente"/>
    <w:uiPriority w:val="99"/>
    <w:semiHidden/>
    <w:rsid w:val="009B63B1"/>
    <w:rPr>
      <w:rFonts w:ascii="Times New Roman" w:eastAsia="Times New Roman" w:hAnsi="Times New Roman"/>
      <w:lang w:eastAsia="cs-CZ"/>
    </w:rPr>
  </w:style>
  <w:style w:type="paragraph" w:styleId="Pedmtkomente">
    <w:name w:val="annotation subject"/>
    <w:basedOn w:val="Textkomente"/>
    <w:next w:val="Textkomente"/>
    <w:link w:val="PedmtkomenteChar"/>
    <w:uiPriority w:val="99"/>
    <w:semiHidden/>
    <w:unhideWhenUsed/>
    <w:rsid w:val="009B63B1"/>
    <w:rPr>
      <w:b/>
      <w:bCs/>
    </w:rPr>
  </w:style>
  <w:style w:type="character" w:customStyle="1" w:styleId="PedmtkomenteChar">
    <w:name w:val="Předmět komentáře Char"/>
    <w:basedOn w:val="TextkomenteChar"/>
    <w:link w:val="Pedmtkomente"/>
    <w:uiPriority w:val="99"/>
    <w:semiHidden/>
    <w:rsid w:val="009B63B1"/>
    <w:rPr>
      <w:rFonts w:ascii="Times New Roman" w:eastAsia="Times New Roman" w:hAnsi="Times New Roman"/>
      <w:b/>
      <w:bCs/>
      <w:lang w:eastAsia="cs-CZ"/>
    </w:rPr>
  </w:style>
  <w:style w:type="paragraph" w:styleId="Normlnweb">
    <w:name w:val="Normal (Web)"/>
    <w:basedOn w:val="Normln"/>
    <w:uiPriority w:val="99"/>
    <w:semiHidden/>
    <w:unhideWhenUsed/>
    <w:rsid w:val="009B63B1"/>
    <w:pPr>
      <w:spacing w:after="0"/>
    </w:pPr>
    <w:rPr>
      <w:rFonts w:ascii="Times New Roman" w:hAnsi="Times New Roman"/>
      <w:sz w:val="24"/>
      <w:lang w:val="cs-CZ"/>
    </w:rPr>
  </w:style>
  <w:style w:type="character" w:styleId="Odkaznakoment">
    <w:name w:val="annotation reference"/>
    <w:basedOn w:val="Standardnpsmoodstavce"/>
    <w:uiPriority w:val="99"/>
    <w:semiHidden/>
    <w:unhideWhenUsed/>
    <w:rsid w:val="009B63B1"/>
    <w:rPr>
      <w:sz w:val="16"/>
      <w:szCs w:val="16"/>
    </w:rPr>
  </w:style>
  <w:style w:type="paragraph" w:styleId="Bezmezer">
    <w:name w:val="No Spacing"/>
    <w:uiPriority w:val="1"/>
    <w:qFormat/>
    <w:rsid w:val="009B63B1"/>
    <w:pPr>
      <w:spacing w:line="360" w:lineRule="auto"/>
      <w:ind w:firstLine="709"/>
      <w:jc w:val="both"/>
    </w:pPr>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77459454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7.xml"/><Relationship Id="rId21" Type="http://schemas.openxmlformats.org/officeDocument/2006/relationships/chart" Target="charts/chart7.xml"/><Relationship Id="rId42" Type="http://schemas.openxmlformats.org/officeDocument/2006/relationships/chart" Target="charts/chart19.xml"/><Relationship Id="rId63" Type="http://schemas.openxmlformats.org/officeDocument/2006/relationships/chart" Target="charts/chart39.xml"/><Relationship Id="rId84" Type="http://schemas.openxmlformats.org/officeDocument/2006/relationships/chart" Target="charts/chart54.xml"/><Relationship Id="rId138" Type="http://schemas.openxmlformats.org/officeDocument/2006/relationships/header" Target="header12.xml"/><Relationship Id="rId159" Type="http://schemas.openxmlformats.org/officeDocument/2006/relationships/footer" Target="footer17.xml"/><Relationship Id="rId170" Type="http://schemas.openxmlformats.org/officeDocument/2006/relationships/chart" Target="charts/chart128.xml"/><Relationship Id="rId191" Type="http://schemas.openxmlformats.org/officeDocument/2006/relationships/chart" Target="charts/chart145.xml"/><Relationship Id="rId205" Type="http://schemas.openxmlformats.org/officeDocument/2006/relationships/chart" Target="charts/chart159.xml"/><Relationship Id="rId107" Type="http://schemas.openxmlformats.org/officeDocument/2006/relationships/chart" Target="charts/chart77.xml"/><Relationship Id="rId11" Type="http://schemas.openxmlformats.org/officeDocument/2006/relationships/footer" Target="footer2.xml"/><Relationship Id="rId32" Type="http://schemas.openxmlformats.org/officeDocument/2006/relationships/header" Target="header4.xml"/><Relationship Id="rId53" Type="http://schemas.openxmlformats.org/officeDocument/2006/relationships/chart" Target="charts/chart29.xml"/><Relationship Id="rId74" Type="http://schemas.openxmlformats.org/officeDocument/2006/relationships/chart" Target="charts/chart44.xml"/><Relationship Id="rId128" Type="http://schemas.openxmlformats.org/officeDocument/2006/relationships/chart" Target="charts/chart98.xml"/><Relationship Id="rId149" Type="http://schemas.openxmlformats.org/officeDocument/2006/relationships/chart" Target="charts/chart113.xml"/><Relationship Id="rId5" Type="http://schemas.openxmlformats.org/officeDocument/2006/relationships/webSettings" Target="webSettings.xml"/><Relationship Id="rId95" Type="http://schemas.openxmlformats.org/officeDocument/2006/relationships/chart" Target="charts/chart65.xml"/><Relationship Id="rId160" Type="http://schemas.openxmlformats.org/officeDocument/2006/relationships/header" Target="header16.xml"/><Relationship Id="rId181" Type="http://schemas.openxmlformats.org/officeDocument/2006/relationships/header" Target="header17.xml"/><Relationship Id="rId22" Type="http://schemas.openxmlformats.org/officeDocument/2006/relationships/chart" Target="charts/chart8.xml"/><Relationship Id="rId43" Type="http://schemas.openxmlformats.org/officeDocument/2006/relationships/chart" Target="charts/chart20.xml"/><Relationship Id="rId64" Type="http://schemas.openxmlformats.org/officeDocument/2006/relationships/chart" Target="charts/chart40.xml"/><Relationship Id="rId118" Type="http://schemas.openxmlformats.org/officeDocument/2006/relationships/chart" Target="charts/chart88.xml"/><Relationship Id="rId139" Type="http://schemas.openxmlformats.org/officeDocument/2006/relationships/footer" Target="footer13.xml"/><Relationship Id="rId85" Type="http://schemas.openxmlformats.org/officeDocument/2006/relationships/chart" Target="charts/chart55.xml"/><Relationship Id="rId150" Type="http://schemas.openxmlformats.org/officeDocument/2006/relationships/chart" Target="charts/chart114.xml"/><Relationship Id="rId171" Type="http://schemas.openxmlformats.org/officeDocument/2006/relationships/chart" Target="charts/chart129.xml"/><Relationship Id="rId192" Type="http://schemas.openxmlformats.org/officeDocument/2006/relationships/chart" Target="charts/chart146.xml"/><Relationship Id="rId206" Type="http://schemas.openxmlformats.org/officeDocument/2006/relationships/chart" Target="charts/chart160.xml"/><Relationship Id="rId12" Type="http://schemas.openxmlformats.org/officeDocument/2006/relationships/header" Target="header3.xml"/><Relationship Id="rId33" Type="http://schemas.openxmlformats.org/officeDocument/2006/relationships/header" Target="header5.xml"/><Relationship Id="rId108" Type="http://schemas.openxmlformats.org/officeDocument/2006/relationships/chart" Target="charts/chart78.xml"/><Relationship Id="rId129" Type="http://schemas.openxmlformats.org/officeDocument/2006/relationships/chart" Target="charts/chart99.xml"/><Relationship Id="rId54" Type="http://schemas.openxmlformats.org/officeDocument/2006/relationships/chart" Target="charts/chart30.xml"/><Relationship Id="rId75" Type="http://schemas.openxmlformats.org/officeDocument/2006/relationships/chart" Target="charts/chart45.xml"/><Relationship Id="rId96" Type="http://schemas.openxmlformats.org/officeDocument/2006/relationships/chart" Target="charts/chart66.xml"/><Relationship Id="rId140" Type="http://schemas.openxmlformats.org/officeDocument/2006/relationships/footer" Target="footer14.xml"/><Relationship Id="rId161" Type="http://schemas.openxmlformats.org/officeDocument/2006/relationships/footer" Target="footer18.xml"/><Relationship Id="rId182" Type="http://schemas.openxmlformats.org/officeDocument/2006/relationships/header" Target="header18.xml"/><Relationship Id="rId6" Type="http://schemas.openxmlformats.org/officeDocument/2006/relationships/footnotes" Target="footnotes.xml"/><Relationship Id="rId23" Type="http://schemas.openxmlformats.org/officeDocument/2006/relationships/chart" Target="charts/chart9.xml"/><Relationship Id="rId119" Type="http://schemas.openxmlformats.org/officeDocument/2006/relationships/chart" Target="charts/chart89.xml"/><Relationship Id="rId44" Type="http://schemas.openxmlformats.org/officeDocument/2006/relationships/chart" Target="charts/chart21.xml"/><Relationship Id="rId65" Type="http://schemas.openxmlformats.org/officeDocument/2006/relationships/header" Target="header8.xml"/><Relationship Id="rId86" Type="http://schemas.openxmlformats.org/officeDocument/2006/relationships/chart" Target="charts/chart56.xml"/><Relationship Id="rId130" Type="http://schemas.openxmlformats.org/officeDocument/2006/relationships/chart" Target="charts/chart100.xml"/><Relationship Id="rId151" Type="http://schemas.openxmlformats.org/officeDocument/2006/relationships/chart" Target="charts/chart115.xml"/><Relationship Id="rId172" Type="http://schemas.openxmlformats.org/officeDocument/2006/relationships/chart" Target="charts/chart130.xml"/><Relationship Id="rId193" Type="http://schemas.openxmlformats.org/officeDocument/2006/relationships/chart" Target="charts/chart147.xml"/><Relationship Id="rId207" Type="http://schemas.openxmlformats.org/officeDocument/2006/relationships/chart" Target="charts/chart161.xml"/><Relationship Id="rId13" Type="http://schemas.openxmlformats.org/officeDocument/2006/relationships/footer" Target="footer3.xml"/><Relationship Id="rId109" Type="http://schemas.openxmlformats.org/officeDocument/2006/relationships/chart" Target="charts/chart79.xml"/><Relationship Id="rId34" Type="http://schemas.openxmlformats.org/officeDocument/2006/relationships/footer" Target="footer4.xml"/><Relationship Id="rId55" Type="http://schemas.openxmlformats.org/officeDocument/2006/relationships/chart" Target="charts/chart31.xml"/><Relationship Id="rId76" Type="http://schemas.openxmlformats.org/officeDocument/2006/relationships/chart" Target="charts/chart46.xml"/><Relationship Id="rId97" Type="http://schemas.openxmlformats.org/officeDocument/2006/relationships/chart" Target="charts/chart67.xml"/><Relationship Id="rId120" Type="http://schemas.openxmlformats.org/officeDocument/2006/relationships/chart" Target="charts/chart90.xml"/><Relationship Id="rId141" Type="http://schemas.openxmlformats.org/officeDocument/2006/relationships/header" Target="header13.xml"/><Relationship Id="rId7" Type="http://schemas.openxmlformats.org/officeDocument/2006/relationships/endnotes" Target="endnotes.xml"/><Relationship Id="rId162" Type="http://schemas.openxmlformats.org/officeDocument/2006/relationships/chart" Target="charts/chart120.xml"/><Relationship Id="rId183" Type="http://schemas.openxmlformats.org/officeDocument/2006/relationships/footer" Target="footer19.xml"/><Relationship Id="rId24" Type="http://schemas.openxmlformats.org/officeDocument/2006/relationships/chart" Target="charts/chart10.xml"/><Relationship Id="rId45" Type="http://schemas.openxmlformats.org/officeDocument/2006/relationships/chart" Target="charts/chart22.xml"/><Relationship Id="rId66" Type="http://schemas.openxmlformats.org/officeDocument/2006/relationships/header" Target="header9.xml"/><Relationship Id="rId87" Type="http://schemas.openxmlformats.org/officeDocument/2006/relationships/chart" Target="charts/chart57.xml"/><Relationship Id="rId110" Type="http://schemas.openxmlformats.org/officeDocument/2006/relationships/chart" Target="charts/chart80.xml"/><Relationship Id="rId131" Type="http://schemas.openxmlformats.org/officeDocument/2006/relationships/chart" Target="charts/chart101.xml"/><Relationship Id="rId152" Type="http://schemas.openxmlformats.org/officeDocument/2006/relationships/chart" Target="charts/chart116.xml"/><Relationship Id="rId173" Type="http://schemas.openxmlformats.org/officeDocument/2006/relationships/chart" Target="charts/chart131.xml"/><Relationship Id="rId194" Type="http://schemas.openxmlformats.org/officeDocument/2006/relationships/chart" Target="charts/chart148.xml"/><Relationship Id="rId208" Type="http://schemas.openxmlformats.org/officeDocument/2006/relationships/chart" Target="charts/chart162.xml"/><Relationship Id="rId19" Type="http://schemas.openxmlformats.org/officeDocument/2006/relationships/chart" Target="charts/chart5.xml"/><Relationship Id="rId14" Type="http://schemas.openxmlformats.org/officeDocument/2006/relationships/hyperlink" Target="https://www.czso.cz/csu/czso/information_economy_in_figures" TargetMode="External"/><Relationship Id="rId30" Type="http://schemas.openxmlformats.org/officeDocument/2006/relationships/chart" Target="charts/chart16.xml"/><Relationship Id="rId35" Type="http://schemas.openxmlformats.org/officeDocument/2006/relationships/footer" Target="footer5.xml"/><Relationship Id="rId56" Type="http://schemas.openxmlformats.org/officeDocument/2006/relationships/chart" Target="charts/chart32.xml"/><Relationship Id="rId77" Type="http://schemas.openxmlformats.org/officeDocument/2006/relationships/chart" Target="charts/chart47.xml"/><Relationship Id="rId100" Type="http://schemas.openxmlformats.org/officeDocument/2006/relationships/chart" Target="charts/chart70.xml"/><Relationship Id="rId105" Type="http://schemas.openxmlformats.org/officeDocument/2006/relationships/chart" Target="charts/chart75.xml"/><Relationship Id="rId126" Type="http://schemas.openxmlformats.org/officeDocument/2006/relationships/chart" Target="charts/chart96.xml"/><Relationship Id="rId147" Type="http://schemas.openxmlformats.org/officeDocument/2006/relationships/chart" Target="charts/chart111.xml"/><Relationship Id="rId168" Type="http://schemas.openxmlformats.org/officeDocument/2006/relationships/chart" Target="charts/chart126.xml"/><Relationship Id="rId8" Type="http://schemas.openxmlformats.org/officeDocument/2006/relationships/header" Target="header1.xml"/><Relationship Id="rId51" Type="http://schemas.openxmlformats.org/officeDocument/2006/relationships/chart" Target="charts/chart27.xml"/><Relationship Id="rId72" Type="http://schemas.openxmlformats.org/officeDocument/2006/relationships/chart" Target="charts/chart42.xml"/><Relationship Id="rId93" Type="http://schemas.openxmlformats.org/officeDocument/2006/relationships/chart" Target="charts/chart63.xml"/><Relationship Id="rId98" Type="http://schemas.openxmlformats.org/officeDocument/2006/relationships/chart" Target="charts/chart68.xml"/><Relationship Id="rId121" Type="http://schemas.openxmlformats.org/officeDocument/2006/relationships/chart" Target="charts/chart91.xml"/><Relationship Id="rId142" Type="http://schemas.openxmlformats.org/officeDocument/2006/relationships/footer" Target="footer15.xml"/><Relationship Id="rId163" Type="http://schemas.openxmlformats.org/officeDocument/2006/relationships/chart" Target="charts/chart121.xml"/><Relationship Id="rId184" Type="http://schemas.openxmlformats.org/officeDocument/2006/relationships/footer" Target="footer20.xml"/><Relationship Id="rId189" Type="http://schemas.openxmlformats.org/officeDocument/2006/relationships/chart" Target="charts/chart143.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chart" Target="charts/chart11.xml"/><Relationship Id="rId46" Type="http://schemas.openxmlformats.org/officeDocument/2006/relationships/chart" Target="charts/chart23.xml"/><Relationship Id="rId67" Type="http://schemas.openxmlformats.org/officeDocument/2006/relationships/footer" Target="footer10.xml"/><Relationship Id="rId116" Type="http://schemas.openxmlformats.org/officeDocument/2006/relationships/chart" Target="charts/chart86.xml"/><Relationship Id="rId137" Type="http://schemas.openxmlformats.org/officeDocument/2006/relationships/header" Target="header11.xml"/><Relationship Id="rId158" Type="http://schemas.openxmlformats.org/officeDocument/2006/relationships/footer" Target="footer16.xml"/><Relationship Id="rId20" Type="http://schemas.openxmlformats.org/officeDocument/2006/relationships/chart" Target="charts/chart6.xml"/><Relationship Id="rId41" Type="http://schemas.openxmlformats.org/officeDocument/2006/relationships/chart" Target="charts/chart18.xml"/><Relationship Id="rId62" Type="http://schemas.openxmlformats.org/officeDocument/2006/relationships/chart" Target="charts/chart38.xml"/><Relationship Id="rId83" Type="http://schemas.openxmlformats.org/officeDocument/2006/relationships/chart" Target="charts/chart53.xml"/><Relationship Id="rId88" Type="http://schemas.openxmlformats.org/officeDocument/2006/relationships/chart" Target="charts/chart58.xml"/><Relationship Id="rId111" Type="http://schemas.openxmlformats.org/officeDocument/2006/relationships/chart" Target="charts/chart81.xml"/><Relationship Id="rId132" Type="http://schemas.openxmlformats.org/officeDocument/2006/relationships/chart" Target="charts/chart102.xml"/><Relationship Id="rId153" Type="http://schemas.openxmlformats.org/officeDocument/2006/relationships/chart" Target="charts/chart117.xml"/><Relationship Id="rId174" Type="http://schemas.openxmlformats.org/officeDocument/2006/relationships/chart" Target="charts/chart132.xml"/><Relationship Id="rId179" Type="http://schemas.openxmlformats.org/officeDocument/2006/relationships/chart" Target="charts/chart137.xml"/><Relationship Id="rId195" Type="http://schemas.openxmlformats.org/officeDocument/2006/relationships/chart" Target="charts/chart149.xml"/><Relationship Id="rId209" Type="http://schemas.openxmlformats.org/officeDocument/2006/relationships/header" Target="header19.xml"/><Relationship Id="rId190" Type="http://schemas.openxmlformats.org/officeDocument/2006/relationships/chart" Target="charts/chart144.xml"/><Relationship Id="rId204" Type="http://schemas.openxmlformats.org/officeDocument/2006/relationships/chart" Target="charts/chart158.xml"/><Relationship Id="rId15" Type="http://schemas.openxmlformats.org/officeDocument/2006/relationships/chart" Target="charts/chart1.xml"/><Relationship Id="rId36" Type="http://schemas.openxmlformats.org/officeDocument/2006/relationships/header" Target="header6.xml"/><Relationship Id="rId57" Type="http://schemas.openxmlformats.org/officeDocument/2006/relationships/chart" Target="charts/chart33.xml"/><Relationship Id="rId106" Type="http://schemas.openxmlformats.org/officeDocument/2006/relationships/chart" Target="charts/chart76.xml"/><Relationship Id="rId127" Type="http://schemas.openxmlformats.org/officeDocument/2006/relationships/chart" Target="charts/chart97.xml"/><Relationship Id="rId10" Type="http://schemas.openxmlformats.org/officeDocument/2006/relationships/footer" Target="footer1.xml"/><Relationship Id="rId31" Type="http://schemas.openxmlformats.org/officeDocument/2006/relationships/chart" Target="charts/chart17.xml"/><Relationship Id="rId52" Type="http://schemas.openxmlformats.org/officeDocument/2006/relationships/chart" Target="charts/chart28.xml"/><Relationship Id="rId73" Type="http://schemas.openxmlformats.org/officeDocument/2006/relationships/chart" Target="charts/chart43.xml"/><Relationship Id="rId78" Type="http://schemas.openxmlformats.org/officeDocument/2006/relationships/chart" Target="charts/chart48.xml"/><Relationship Id="rId94" Type="http://schemas.openxmlformats.org/officeDocument/2006/relationships/chart" Target="charts/chart64.xml"/><Relationship Id="rId99" Type="http://schemas.openxmlformats.org/officeDocument/2006/relationships/chart" Target="charts/chart69.xml"/><Relationship Id="rId101" Type="http://schemas.openxmlformats.org/officeDocument/2006/relationships/chart" Target="charts/chart71.xml"/><Relationship Id="rId122" Type="http://schemas.openxmlformats.org/officeDocument/2006/relationships/chart" Target="charts/chart92.xml"/><Relationship Id="rId143" Type="http://schemas.openxmlformats.org/officeDocument/2006/relationships/chart" Target="charts/chart107.xml"/><Relationship Id="rId148" Type="http://schemas.openxmlformats.org/officeDocument/2006/relationships/chart" Target="charts/chart112.xml"/><Relationship Id="rId164" Type="http://schemas.openxmlformats.org/officeDocument/2006/relationships/chart" Target="charts/chart122.xml"/><Relationship Id="rId169" Type="http://schemas.openxmlformats.org/officeDocument/2006/relationships/chart" Target="charts/chart127.xml"/><Relationship Id="rId185" Type="http://schemas.openxmlformats.org/officeDocument/2006/relationships/chart" Target="charts/chart13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chart" Target="charts/chart138.xml"/><Relationship Id="rId210" Type="http://schemas.openxmlformats.org/officeDocument/2006/relationships/header" Target="header20.xml"/><Relationship Id="rId26" Type="http://schemas.openxmlformats.org/officeDocument/2006/relationships/chart" Target="charts/chart12.xml"/><Relationship Id="rId47" Type="http://schemas.openxmlformats.org/officeDocument/2006/relationships/footer" Target="footer9.xml"/><Relationship Id="rId68" Type="http://schemas.openxmlformats.org/officeDocument/2006/relationships/footer" Target="footer11.xml"/><Relationship Id="rId89" Type="http://schemas.openxmlformats.org/officeDocument/2006/relationships/chart" Target="charts/chart59.xml"/><Relationship Id="rId112" Type="http://schemas.openxmlformats.org/officeDocument/2006/relationships/chart" Target="charts/chart82.xml"/><Relationship Id="rId133" Type="http://schemas.openxmlformats.org/officeDocument/2006/relationships/chart" Target="charts/chart103.xml"/><Relationship Id="rId154" Type="http://schemas.openxmlformats.org/officeDocument/2006/relationships/chart" Target="charts/chart118.xml"/><Relationship Id="rId175" Type="http://schemas.openxmlformats.org/officeDocument/2006/relationships/chart" Target="charts/chart133.xml"/><Relationship Id="rId196" Type="http://schemas.openxmlformats.org/officeDocument/2006/relationships/chart" Target="charts/chart150.xml"/><Relationship Id="rId200" Type="http://schemas.openxmlformats.org/officeDocument/2006/relationships/chart" Target="charts/chart154.xml"/><Relationship Id="rId16" Type="http://schemas.openxmlformats.org/officeDocument/2006/relationships/chart" Target="charts/chart2.xml"/><Relationship Id="rId37" Type="http://schemas.openxmlformats.org/officeDocument/2006/relationships/header" Target="header7.xml"/><Relationship Id="rId58" Type="http://schemas.openxmlformats.org/officeDocument/2006/relationships/chart" Target="charts/chart34.xml"/><Relationship Id="rId79" Type="http://schemas.openxmlformats.org/officeDocument/2006/relationships/chart" Target="charts/chart49.xml"/><Relationship Id="rId102" Type="http://schemas.openxmlformats.org/officeDocument/2006/relationships/chart" Target="charts/chart72.xml"/><Relationship Id="rId123" Type="http://schemas.openxmlformats.org/officeDocument/2006/relationships/chart" Target="charts/chart93.xml"/><Relationship Id="rId144" Type="http://schemas.openxmlformats.org/officeDocument/2006/relationships/chart" Target="charts/chart108.xml"/><Relationship Id="rId90" Type="http://schemas.openxmlformats.org/officeDocument/2006/relationships/chart" Target="charts/chart60.xml"/><Relationship Id="rId165" Type="http://schemas.openxmlformats.org/officeDocument/2006/relationships/chart" Target="charts/chart123.xml"/><Relationship Id="rId186" Type="http://schemas.openxmlformats.org/officeDocument/2006/relationships/chart" Target="charts/chart140.xml"/><Relationship Id="rId211" Type="http://schemas.openxmlformats.org/officeDocument/2006/relationships/footer" Target="footer21.xml"/><Relationship Id="rId27" Type="http://schemas.openxmlformats.org/officeDocument/2006/relationships/chart" Target="charts/chart13.xml"/><Relationship Id="rId48" Type="http://schemas.openxmlformats.org/officeDocument/2006/relationships/chart" Target="charts/chart24.xml"/><Relationship Id="rId69" Type="http://schemas.openxmlformats.org/officeDocument/2006/relationships/header" Target="header10.xml"/><Relationship Id="rId113" Type="http://schemas.openxmlformats.org/officeDocument/2006/relationships/chart" Target="charts/chart83.xml"/><Relationship Id="rId134" Type="http://schemas.openxmlformats.org/officeDocument/2006/relationships/chart" Target="charts/chart104.xml"/><Relationship Id="rId80" Type="http://schemas.openxmlformats.org/officeDocument/2006/relationships/chart" Target="charts/chart50.xml"/><Relationship Id="rId155" Type="http://schemas.openxmlformats.org/officeDocument/2006/relationships/chart" Target="charts/chart119.xml"/><Relationship Id="rId176" Type="http://schemas.openxmlformats.org/officeDocument/2006/relationships/chart" Target="charts/chart134.xml"/><Relationship Id="rId197" Type="http://schemas.openxmlformats.org/officeDocument/2006/relationships/chart" Target="charts/chart151.xml"/><Relationship Id="rId201" Type="http://schemas.openxmlformats.org/officeDocument/2006/relationships/chart" Target="charts/chart155.xml"/><Relationship Id="rId17" Type="http://schemas.openxmlformats.org/officeDocument/2006/relationships/chart" Target="charts/chart3.xml"/><Relationship Id="rId38" Type="http://schemas.openxmlformats.org/officeDocument/2006/relationships/footer" Target="footer6.xml"/><Relationship Id="rId59" Type="http://schemas.openxmlformats.org/officeDocument/2006/relationships/chart" Target="charts/chart35.xml"/><Relationship Id="rId103" Type="http://schemas.openxmlformats.org/officeDocument/2006/relationships/chart" Target="charts/chart73.xml"/><Relationship Id="rId124" Type="http://schemas.openxmlformats.org/officeDocument/2006/relationships/chart" Target="charts/chart94.xml"/><Relationship Id="rId70" Type="http://schemas.openxmlformats.org/officeDocument/2006/relationships/footer" Target="footer12.xml"/><Relationship Id="rId91" Type="http://schemas.openxmlformats.org/officeDocument/2006/relationships/chart" Target="charts/chart61.xml"/><Relationship Id="rId145" Type="http://schemas.openxmlformats.org/officeDocument/2006/relationships/chart" Target="charts/chart109.xml"/><Relationship Id="rId166" Type="http://schemas.openxmlformats.org/officeDocument/2006/relationships/chart" Target="charts/chart124.xml"/><Relationship Id="rId187" Type="http://schemas.openxmlformats.org/officeDocument/2006/relationships/chart" Target="charts/chart141.xml"/><Relationship Id="rId1" Type="http://schemas.openxmlformats.org/officeDocument/2006/relationships/customXml" Target="../customXml/item1.xml"/><Relationship Id="rId212" Type="http://schemas.openxmlformats.org/officeDocument/2006/relationships/footer" Target="footer22.xml"/><Relationship Id="rId28" Type="http://schemas.openxmlformats.org/officeDocument/2006/relationships/chart" Target="charts/chart14.xml"/><Relationship Id="rId49" Type="http://schemas.openxmlformats.org/officeDocument/2006/relationships/chart" Target="charts/chart25.xml"/><Relationship Id="rId114" Type="http://schemas.openxmlformats.org/officeDocument/2006/relationships/chart" Target="charts/chart84.xml"/><Relationship Id="rId60" Type="http://schemas.openxmlformats.org/officeDocument/2006/relationships/chart" Target="charts/chart36.xml"/><Relationship Id="rId81" Type="http://schemas.openxmlformats.org/officeDocument/2006/relationships/chart" Target="charts/chart51.xml"/><Relationship Id="rId135" Type="http://schemas.openxmlformats.org/officeDocument/2006/relationships/chart" Target="charts/chart105.xml"/><Relationship Id="rId156" Type="http://schemas.openxmlformats.org/officeDocument/2006/relationships/header" Target="header14.xml"/><Relationship Id="rId177" Type="http://schemas.openxmlformats.org/officeDocument/2006/relationships/chart" Target="charts/chart135.xml"/><Relationship Id="rId198" Type="http://schemas.openxmlformats.org/officeDocument/2006/relationships/chart" Target="charts/chart152.xml"/><Relationship Id="rId202" Type="http://schemas.openxmlformats.org/officeDocument/2006/relationships/chart" Target="charts/chart156.xml"/><Relationship Id="rId18" Type="http://schemas.openxmlformats.org/officeDocument/2006/relationships/chart" Target="charts/chart4.xml"/><Relationship Id="rId39" Type="http://schemas.openxmlformats.org/officeDocument/2006/relationships/footer" Target="footer7.xml"/><Relationship Id="rId50" Type="http://schemas.openxmlformats.org/officeDocument/2006/relationships/chart" Target="charts/chart26.xml"/><Relationship Id="rId104" Type="http://schemas.openxmlformats.org/officeDocument/2006/relationships/chart" Target="charts/chart74.xml"/><Relationship Id="rId125" Type="http://schemas.openxmlformats.org/officeDocument/2006/relationships/chart" Target="charts/chart95.xml"/><Relationship Id="rId146" Type="http://schemas.openxmlformats.org/officeDocument/2006/relationships/chart" Target="charts/chart110.xml"/><Relationship Id="rId167" Type="http://schemas.openxmlformats.org/officeDocument/2006/relationships/chart" Target="charts/chart125.xml"/><Relationship Id="rId188" Type="http://schemas.openxmlformats.org/officeDocument/2006/relationships/chart" Target="charts/chart142.xml"/><Relationship Id="rId71" Type="http://schemas.openxmlformats.org/officeDocument/2006/relationships/chart" Target="charts/chart41.xml"/><Relationship Id="rId92" Type="http://schemas.openxmlformats.org/officeDocument/2006/relationships/chart" Target="charts/chart62.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5.xml"/><Relationship Id="rId40" Type="http://schemas.openxmlformats.org/officeDocument/2006/relationships/footer" Target="footer8.xml"/><Relationship Id="rId115" Type="http://schemas.openxmlformats.org/officeDocument/2006/relationships/chart" Target="charts/chart85.xml"/><Relationship Id="rId136" Type="http://schemas.openxmlformats.org/officeDocument/2006/relationships/chart" Target="charts/chart106.xml"/><Relationship Id="rId157" Type="http://schemas.openxmlformats.org/officeDocument/2006/relationships/header" Target="header15.xml"/><Relationship Id="rId178" Type="http://schemas.openxmlformats.org/officeDocument/2006/relationships/chart" Target="charts/chart136.xml"/><Relationship Id="rId61" Type="http://schemas.openxmlformats.org/officeDocument/2006/relationships/chart" Target="charts/chart37.xml"/><Relationship Id="rId82" Type="http://schemas.openxmlformats.org/officeDocument/2006/relationships/chart" Target="charts/chart52.xml"/><Relationship Id="rId199" Type="http://schemas.openxmlformats.org/officeDocument/2006/relationships/chart" Target="charts/chart153.xml"/><Relationship Id="rId203" Type="http://schemas.openxmlformats.org/officeDocument/2006/relationships/chart" Target="charts/chart157.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domacnosti_a_jednotlivci%20%20" TargetMode="External"/><Relationship Id="rId2" Type="http://schemas.openxmlformats.org/officeDocument/2006/relationships/hyperlink" Target="https://www.czso.cz/csu/czso/expenditures-and-consumption-of-households-included-in-the-household-budget-survey-2016" TargetMode="External"/><Relationship Id="rId1" Type="http://schemas.openxmlformats.org/officeDocument/2006/relationships/hyperlink" Target="http://apl.czso.cz/pll/rocenka/rocenkavyber.spotr_dom?mylang=EN" TargetMode="External"/><Relationship Id="rId6" Type="http://schemas.openxmlformats.org/officeDocument/2006/relationships/hyperlink" Target="https://ec.europa.eu/education/sites/education/files/annex-recommendation-key-competences-lifelong-learning.pdf" TargetMode="External"/><Relationship Id="rId5" Type="http://schemas.openxmlformats.org/officeDocument/2006/relationships/hyperlink" Target="http://www.mvcr.cz/clanek/datove-schranky-datove-schranky.aspx" TargetMode="External"/><Relationship Id="rId4" Type="http://schemas.openxmlformats.org/officeDocument/2006/relationships/hyperlink" Target="http://www.czechpoint.cz/publi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TRBA~1\AppData\Local\Temp\Publikace%20bar%20EN_2017-08-14-3.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10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10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10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10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104.xml"/><Relationship Id="rId1" Type="http://schemas.openxmlformats.org/officeDocument/2006/relationships/oleObject" Target="file:///\\ABFS2\DATA\DATA\ZPRAC\TECHNOL\oddeleni_6302\2_Informa&#269;n&#237;%20spole&#269;nost\IS%20v%20&#269;&#237;slech\IS_2018\Rozvoj%20IS%20v%20&#268;R%20a%20zem&#237;ch%20EU\grafy\IS2018_Grafy_Shrnut&#237;_D.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10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6.xml.rels><?xml version="1.0" encoding="UTF-8" standalone="yes"?>
<Relationships xmlns="http://schemas.openxmlformats.org/package/2006/relationships"><Relationship Id="rId2" Type="http://schemas.openxmlformats.org/officeDocument/2006/relationships/chartUserShapes" Target="../drawings/drawing10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107.xml"/><Relationship Id="rId1" Type="http://schemas.openxmlformats.org/officeDocument/2006/relationships/oleObject" Target="file:///\\ABFS2\DATA\DATA\ZPRAC\TECHNOL\oddeleni_6302\2_Informa&#269;n&#237;%20spole&#269;nost\IS%20v%20&#269;&#237;slech\IS_2018\Rozvoj%20IS%20v%20&#268;R%20a%20zem&#237;ch%20EU\grafy\IS2018_Grafy_Shrnut&#237;_D.xlsx" TargetMode="External"/></Relationships>
</file>

<file path=word/charts/_rels/chart108.xml.rels><?xml version="1.0" encoding="UTF-8" standalone="yes"?>
<Relationships xmlns="http://schemas.openxmlformats.org/package/2006/relationships"><Relationship Id="rId2" Type="http://schemas.openxmlformats.org/officeDocument/2006/relationships/chartUserShapes" Target="../drawings/drawing10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109.xml"/><Relationship Id="rId1" Type="http://schemas.openxmlformats.org/officeDocument/2006/relationships/oleObject" Target="file:///\\ABFS2\DATA\DATA\ZPRAC\TECHNOL\oddeleni_6302\2_Informa&#269;n&#237;%20spole&#269;nost\IS%20v%20&#269;&#237;slech\IS_2018\Rozvoj%20IS%20v%20&#268;R%20a%20zem&#237;ch%20EU\grafy\IS2018_Grafy_Shrnut&#237;_D.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11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11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2.xml.rels><?xml version="1.0" encoding="UTF-8" standalone="yes"?>
<Relationships xmlns="http://schemas.openxmlformats.org/package/2006/relationships"><Relationship Id="rId2" Type="http://schemas.openxmlformats.org/officeDocument/2006/relationships/chartUserShapes" Target="../drawings/drawing11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11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4.xml.rels><?xml version="1.0" encoding="UTF-8" standalone="yes"?>
<Relationships xmlns="http://schemas.openxmlformats.org/package/2006/relationships"><Relationship Id="rId2" Type="http://schemas.openxmlformats.org/officeDocument/2006/relationships/chartUserShapes" Target="../drawings/drawing11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5.xml.rels><?xml version="1.0" encoding="UTF-8" standalone="yes"?>
<Relationships xmlns="http://schemas.openxmlformats.org/package/2006/relationships"><Relationship Id="rId2" Type="http://schemas.openxmlformats.org/officeDocument/2006/relationships/chartUserShapes" Target="../drawings/drawing11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6.xml.rels><?xml version="1.0" encoding="UTF-8" standalone="yes"?>
<Relationships xmlns="http://schemas.openxmlformats.org/package/2006/relationships"><Relationship Id="rId2" Type="http://schemas.openxmlformats.org/officeDocument/2006/relationships/chartUserShapes" Target="../drawings/drawing11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7.xml.rels><?xml version="1.0" encoding="UTF-8" standalone="yes"?>
<Relationships xmlns="http://schemas.openxmlformats.org/package/2006/relationships"><Relationship Id="rId2" Type="http://schemas.openxmlformats.org/officeDocument/2006/relationships/chartUserShapes" Target="../drawings/drawing11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118.xml.rels><?xml version="1.0" encoding="UTF-8" standalone="yes"?>
<Relationships xmlns="http://schemas.openxmlformats.org/package/2006/relationships"><Relationship Id="rId2" Type="http://schemas.openxmlformats.org/officeDocument/2006/relationships/chartUserShapes" Target="../drawings/drawing118.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19.xml.rels><?xml version="1.0" encoding="UTF-8" standalone="yes"?>
<Relationships xmlns="http://schemas.openxmlformats.org/package/2006/relationships"><Relationship Id="rId2" Type="http://schemas.openxmlformats.org/officeDocument/2006/relationships/chartUserShapes" Target="../drawings/drawing119.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20.xml.rels><?xml version="1.0" encoding="UTF-8" standalone="yes"?>
<Relationships xmlns="http://schemas.openxmlformats.org/package/2006/relationships"><Relationship Id="rId2" Type="http://schemas.openxmlformats.org/officeDocument/2006/relationships/chartUserShapes" Target="../drawings/drawing120.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1.xml.rels><?xml version="1.0" encoding="UTF-8" standalone="yes"?>
<Relationships xmlns="http://schemas.openxmlformats.org/package/2006/relationships"><Relationship Id="rId2" Type="http://schemas.openxmlformats.org/officeDocument/2006/relationships/chartUserShapes" Target="../drawings/drawing121.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2.xml.rels><?xml version="1.0" encoding="UTF-8" standalone="yes"?>
<Relationships xmlns="http://schemas.openxmlformats.org/package/2006/relationships"><Relationship Id="rId2" Type="http://schemas.openxmlformats.org/officeDocument/2006/relationships/chartUserShapes" Target="../drawings/drawing122.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123.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4.xml.rels><?xml version="1.0" encoding="UTF-8" standalone="yes"?>
<Relationships xmlns="http://schemas.openxmlformats.org/package/2006/relationships"><Relationship Id="rId3" Type="http://schemas.openxmlformats.org/officeDocument/2006/relationships/chartUserShapes" Target="../drawings/drawing124.xml"/><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125.xml.rels><?xml version="1.0" encoding="UTF-8" standalone="yes"?>
<Relationships xmlns="http://schemas.openxmlformats.org/package/2006/relationships"><Relationship Id="rId2" Type="http://schemas.openxmlformats.org/officeDocument/2006/relationships/chartUserShapes" Target="../drawings/drawing125.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6.xml.rels><?xml version="1.0" encoding="UTF-8" standalone="yes"?>
<Relationships xmlns="http://schemas.openxmlformats.org/package/2006/relationships"><Relationship Id="rId2" Type="http://schemas.openxmlformats.org/officeDocument/2006/relationships/chartUserShapes" Target="../drawings/drawing126.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7.xml.rels><?xml version="1.0" encoding="UTF-8" standalone="yes"?>
<Relationships xmlns="http://schemas.openxmlformats.org/package/2006/relationships"><Relationship Id="rId2" Type="http://schemas.openxmlformats.org/officeDocument/2006/relationships/chartUserShapes" Target="../drawings/drawing127.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8.xml.rels><?xml version="1.0" encoding="UTF-8" standalone="yes"?>
<Relationships xmlns="http://schemas.openxmlformats.org/package/2006/relationships"><Relationship Id="rId2" Type="http://schemas.openxmlformats.org/officeDocument/2006/relationships/chartUserShapes" Target="../drawings/drawing128.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29.xml.rels><?xml version="1.0" encoding="UTF-8" standalone="yes"?>
<Relationships xmlns="http://schemas.openxmlformats.org/package/2006/relationships"><Relationship Id="rId2" Type="http://schemas.openxmlformats.org/officeDocument/2006/relationships/chartUserShapes" Target="../drawings/drawing129.xml"/><Relationship Id="rId1" Type="http://schemas.openxmlformats.org/officeDocument/2006/relationships/oleObject" Target="file:///\\ABFS2\DATA\DATA\ZPRAC\TECHNOL\oddeleni_6302\2_Informa&#269;n&#237;%20spole&#269;nost\IS%20v%20&#269;&#237;slech\IS_2018\Rozvoj%20IS%20v%20&#268;R%20a%20zem&#237;ch%20EU\grafy\IS2018_grafy_Shrnut&#237;_E.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30.xml.rels><?xml version="1.0" encoding="UTF-8" standalone="yes"?>
<Relationships xmlns="http://schemas.openxmlformats.org/package/2006/relationships"><Relationship Id="rId2" Type="http://schemas.openxmlformats.org/officeDocument/2006/relationships/chartUserShapes" Target="../drawings/drawing130.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31.xml.rels><?xml version="1.0" encoding="UTF-8" standalone="yes"?>
<Relationships xmlns="http://schemas.openxmlformats.org/package/2006/relationships"><Relationship Id="rId2" Type="http://schemas.openxmlformats.org/officeDocument/2006/relationships/chartUserShapes" Target="../drawings/drawing131.xml"/><Relationship Id="rId1" Type="http://schemas.openxmlformats.org/officeDocument/2006/relationships/oleObject" Target="file:///\\ABFS2\DATA\DATA\ZPRAC\TECHNOL\oddeleni_6302\2_Informa&#269;n&#237;%20spole&#269;nost\IS%20v%20&#269;&#237;slech\IS_2018\grafy\IS2018_grafy_Shrnut&#237;_E.xlsx" TargetMode="External"/></Relationships>
</file>

<file path=word/charts/_rels/chart132.xml.rels><?xml version="1.0" encoding="UTF-8" standalone="yes"?>
<Relationships xmlns="http://schemas.openxmlformats.org/package/2006/relationships"><Relationship Id="rId2" Type="http://schemas.openxmlformats.org/officeDocument/2006/relationships/chartUserShapes" Target="../drawings/drawing132.xml"/><Relationship Id="rId1" Type="http://schemas.openxmlformats.org/officeDocument/2006/relationships/package" Target="../embeddings/List_aplikace_Microsoft_Excel1.xlsx"/></Relationships>
</file>

<file path=word/charts/_rels/chart133.xml.rels><?xml version="1.0" encoding="UTF-8" standalone="yes"?>
<Relationships xmlns="http://schemas.openxmlformats.org/package/2006/relationships"><Relationship Id="rId2" Type="http://schemas.openxmlformats.org/officeDocument/2006/relationships/chartUserShapes" Target="../drawings/drawing133.xml"/><Relationship Id="rId1" Type="http://schemas.openxmlformats.org/officeDocument/2006/relationships/package" Target="../embeddings/List_aplikace_Microsoft_Excel2.xlsx"/></Relationships>
</file>

<file path=word/charts/_rels/chart134.xml.rels><?xml version="1.0" encoding="UTF-8" standalone="yes"?>
<Relationships xmlns="http://schemas.openxmlformats.org/package/2006/relationships"><Relationship Id="rId2" Type="http://schemas.openxmlformats.org/officeDocument/2006/relationships/chartUserShapes" Target="../drawings/drawing134.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5.xml.rels><?xml version="1.0" encoding="UTF-8" standalone="yes"?>
<Relationships xmlns="http://schemas.openxmlformats.org/package/2006/relationships"><Relationship Id="rId2" Type="http://schemas.openxmlformats.org/officeDocument/2006/relationships/chartUserShapes" Target="../drawings/drawing135.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6.xml.rels><?xml version="1.0" encoding="UTF-8" standalone="yes"?>
<Relationships xmlns="http://schemas.openxmlformats.org/package/2006/relationships"><Relationship Id="rId2" Type="http://schemas.openxmlformats.org/officeDocument/2006/relationships/chartUserShapes" Target="../drawings/drawing136.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7.xml.rels><?xml version="1.0" encoding="UTF-8" standalone="yes"?>
<Relationships xmlns="http://schemas.openxmlformats.org/package/2006/relationships"><Relationship Id="rId2" Type="http://schemas.openxmlformats.org/officeDocument/2006/relationships/chartUserShapes" Target="../drawings/drawing137.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8.xml.rels><?xml version="1.0" encoding="UTF-8" standalone="yes"?>
<Relationships xmlns="http://schemas.openxmlformats.org/package/2006/relationships"><Relationship Id="rId2" Type="http://schemas.openxmlformats.org/officeDocument/2006/relationships/chartUserShapes" Target="../drawings/drawing138.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139.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40.xml.rels><?xml version="1.0" encoding="UTF-8" standalone="yes"?>
<Relationships xmlns="http://schemas.openxmlformats.org/package/2006/relationships"><Relationship Id="rId2" Type="http://schemas.openxmlformats.org/officeDocument/2006/relationships/chartUserShapes" Target="../drawings/drawing140.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1.xml.rels><?xml version="1.0" encoding="UTF-8" standalone="yes"?>
<Relationships xmlns="http://schemas.openxmlformats.org/package/2006/relationships"><Relationship Id="rId2" Type="http://schemas.openxmlformats.org/officeDocument/2006/relationships/chartUserShapes" Target="../drawings/drawing141.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2.xml.rels><?xml version="1.0" encoding="UTF-8" standalone="yes"?>
<Relationships xmlns="http://schemas.openxmlformats.org/package/2006/relationships"><Relationship Id="rId2" Type="http://schemas.openxmlformats.org/officeDocument/2006/relationships/chartUserShapes" Target="../drawings/drawing142.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3.xml.rels><?xml version="1.0" encoding="UTF-8" standalone="yes"?>
<Relationships xmlns="http://schemas.openxmlformats.org/package/2006/relationships"><Relationship Id="rId2" Type="http://schemas.openxmlformats.org/officeDocument/2006/relationships/chartUserShapes" Target="../drawings/drawing143.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4.xml.rels><?xml version="1.0" encoding="UTF-8" standalone="yes"?>
<Relationships xmlns="http://schemas.openxmlformats.org/package/2006/relationships"><Relationship Id="rId2" Type="http://schemas.openxmlformats.org/officeDocument/2006/relationships/chartUserShapes" Target="../drawings/drawing144.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5.xml.rels><?xml version="1.0" encoding="UTF-8" standalone="yes"?>
<Relationships xmlns="http://schemas.openxmlformats.org/package/2006/relationships"><Relationship Id="rId2" Type="http://schemas.openxmlformats.org/officeDocument/2006/relationships/chartUserShapes" Target="../drawings/drawing145.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6.xml.rels><?xml version="1.0" encoding="UTF-8" standalone="yes"?>
<Relationships xmlns="http://schemas.openxmlformats.org/package/2006/relationships"><Relationship Id="rId2" Type="http://schemas.openxmlformats.org/officeDocument/2006/relationships/chartUserShapes" Target="../drawings/drawing146.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7.xml.rels><?xml version="1.0" encoding="UTF-8" standalone="yes"?>
<Relationships xmlns="http://schemas.openxmlformats.org/package/2006/relationships"><Relationship Id="rId2" Type="http://schemas.openxmlformats.org/officeDocument/2006/relationships/chartUserShapes" Target="../drawings/drawing147.xml"/><Relationship Id="rId1" Type="http://schemas.openxmlformats.org/officeDocument/2006/relationships/oleObject" Target="file:///\\ABFS2\DATA\DATA\ZPRAC\TECHNOL\oddeleni_6302\2_Informa&#269;n&#237;%20spole&#269;nost\IS%20v%20&#269;&#237;slech\IS_2018\Rozvoj%20IS%20v%20&#268;R%20a%20zem&#237;ch%20EU\grafy\IS2018_Grafy_Shrnut&#237;_F.xlsx" TargetMode="External"/></Relationships>
</file>

<file path=word/charts/_rels/chart148.xml.rels><?xml version="1.0" encoding="UTF-8" standalone="yes"?>
<Relationships xmlns="http://schemas.openxmlformats.org/package/2006/relationships"><Relationship Id="rId2" Type="http://schemas.openxmlformats.org/officeDocument/2006/relationships/chartUserShapes" Target="../drawings/drawing148.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49.xml.rels><?xml version="1.0" encoding="UTF-8" standalone="yes"?>
<Relationships xmlns="http://schemas.openxmlformats.org/package/2006/relationships"><Relationship Id="rId2" Type="http://schemas.openxmlformats.org/officeDocument/2006/relationships/chartUserShapes" Target="../drawings/drawing149.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50.xml.rels><?xml version="1.0" encoding="UTF-8" standalone="yes"?>
<Relationships xmlns="http://schemas.openxmlformats.org/package/2006/relationships"><Relationship Id="rId2" Type="http://schemas.openxmlformats.org/officeDocument/2006/relationships/chartUserShapes" Target="../drawings/drawing150.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1.xml.rels><?xml version="1.0" encoding="UTF-8" standalone="yes"?>
<Relationships xmlns="http://schemas.openxmlformats.org/package/2006/relationships"><Relationship Id="rId2" Type="http://schemas.openxmlformats.org/officeDocument/2006/relationships/chartUserShapes" Target="../drawings/drawing151.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2.xml.rels><?xml version="1.0" encoding="UTF-8" standalone="yes"?>
<Relationships xmlns="http://schemas.openxmlformats.org/package/2006/relationships"><Relationship Id="rId2" Type="http://schemas.openxmlformats.org/officeDocument/2006/relationships/chartUserShapes" Target="../drawings/drawing152.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3.xml.rels><?xml version="1.0" encoding="UTF-8" standalone="yes"?>
<Relationships xmlns="http://schemas.openxmlformats.org/package/2006/relationships"><Relationship Id="rId2" Type="http://schemas.openxmlformats.org/officeDocument/2006/relationships/chartUserShapes" Target="../drawings/drawing153.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4.xml.rels><?xml version="1.0" encoding="UTF-8" standalone="yes"?>
<Relationships xmlns="http://schemas.openxmlformats.org/package/2006/relationships"><Relationship Id="rId2" Type="http://schemas.openxmlformats.org/officeDocument/2006/relationships/chartUserShapes" Target="../drawings/drawing154.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5.xml.rels><?xml version="1.0" encoding="UTF-8" standalone="yes"?>
<Relationships xmlns="http://schemas.openxmlformats.org/package/2006/relationships"><Relationship Id="rId2" Type="http://schemas.openxmlformats.org/officeDocument/2006/relationships/chartUserShapes" Target="../drawings/drawing155.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6.xml.rels><?xml version="1.0" encoding="UTF-8" standalone="yes"?>
<Relationships xmlns="http://schemas.openxmlformats.org/package/2006/relationships"><Relationship Id="rId2" Type="http://schemas.openxmlformats.org/officeDocument/2006/relationships/chartUserShapes" Target="../drawings/drawing156.xml"/><Relationship Id="rId1" Type="http://schemas.openxmlformats.org/officeDocument/2006/relationships/oleObject" Target="file:///\\ABFS2\DATA\DATA\ZPRAC\TECHNOL\oddeleni_6302\2_Informa&#269;n&#237;%20spole&#269;nost\IS%20v%20&#269;&#237;slech\IS_2018\Rozvoj%20IS%20v%20&#268;R%20a%20zem&#237;ch%20EU\grafy\IS2018_Grafy_Shrnut&#237;_G.xlsx" TargetMode="External"/></Relationships>
</file>

<file path=word/charts/_rels/chart157.xml.rels><?xml version="1.0" encoding="UTF-8" standalone="yes"?>
<Relationships xmlns="http://schemas.openxmlformats.org/package/2006/relationships"><Relationship Id="rId2" Type="http://schemas.openxmlformats.org/officeDocument/2006/relationships/chartUserShapes" Target="../drawings/drawing157.xml"/><Relationship Id="rId1" Type="http://schemas.openxmlformats.org/officeDocument/2006/relationships/oleObject" Target="file:///\\ABFS2\DATA\DATA\ZPRAC\TECHNOL\oddeleni_6302\2_Informa&#269;n&#237;%20spole&#269;nost\IS%20v%20&#269;&#237;slech\IS_2018\Rozvoj%20IS%20v%20&#268;R%20a%20zem&#237;ch%20EU\grafy\IS2018_Grafy_Shrnut&#237;_G.xlsx" TargetMode="External"/></Relationships>
</file>

<file path=word/charts/_rels/chart158.xml.rels><?xml version="1.0" encoding="UTF-8" standalone="yes"?>
<Relationships xmlns="http://schemas.openxmlformats.org/package/2006/relationships"><Relationship Id="rId2" Type="http://schemas.openxmlformats.org/officeDocument/2006/relationships/chartUserShapes" Target="../drawings/drawing158.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59.xml.rels><?xml version="1.0" encoding="UTF-8" standalone="yes"?>
<Relationships xmlns="http://schemas.openxmlformats.org/package/2006/relationships"><Relationship Id="rId2" Type="http://schemas.openxmlformats.org/officeDocument/2006/relationships/chartUserShapes" Target="../drawings/drawing159.xml"/><Relationship Id="rId1" Type="http://schemas.openxmlformats.org/officeDocument/2006/relationships/oleObject" Target="file:///\\ABFS2\DATA\DATA\ZPRAC\TECHNOL\oddeleni_6302\2_Informa&#269;n&#237;%20spole&#269;nost\IS%20v%20&#269;&#237;slech\IS_2018\Rozvoj%20IS%20v%20&#268;R%20a%20zem&#237;ch%20EU\grafy\IS2018_Grafy_Shrnut&#237;_G.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60.xml.rels><?xml version="1.0" encoding="UTF-8" standalone="yes"?>
<Relationships xmlns="http://schemas.openxmlformats.org/package/2006/relationships"><Relationship Id="rId2" Type="http://schemas.openxmlformats.org/officeDocument/2006/relationships/chartUserShapes" Target="../drawings/drawing160.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61.xml.rels><?xml version="1.0" encoding="UTF-8" standalone="yes"?>
<Relationships xmlns="http://schemas.openxmlformats.org/package/2006/relationships"><Relationship Id="rId2" Type="http://schemas.openxmlformats.org/officeDocument/2006/relationships/chartUserShapes" Target="../drawings/drawing161.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62.xml.rels><?xml version="1.0" encoding="UTF-8" standalone="yes"?>
<Relationships xmlns="http://schemas.openxmlformats.org/package/2006/relationships"><Relationship Id="rId2" Type="http://schemas.openxmlformats.org/officeDocument/2006/relationships/chartUserShapes" Target="../drawings/drawing162.xml"/><Relationship Id="rId1" Type="http://schemas.openxmlformats.org/officeDocument/2006/relationships/oleObject" Target="file:///\\ABFS2\DATA\DATA\ZPRAC\TECHNOL\oddeleni_6302\2_Informa&#269;n&#237;%20spole&#269;nost\IS%20v%20&#269;&#237;slech\IS_2018\grafy\IS2018_Grafy_Shrnut&#237;_G.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ABFS2\DATA\DATA\ZPRAC\TECHNOL\oddeleni_6302\2_Informa&#269;n&#237;%20spole&#269;nost\IS%20v%20&#269;&#237;slech\IS_2018\Rozvoj%20IS%20v%20&#268;R%20a%20zem&#237;ch%20EU\grafy\IS2018_Grafy_Shrnut&#237;_B.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ABFS2\DATA\DATA\ZPRAC\TECHNOL\oddeleni_6302\2_Informa&#269;n&#237;%20spole&#269;nost\IS%20v%20&#269;&#237;slech\IS_2018\Rozvoj%20IS%20v%20&#268;R%20a%20zem&#237;ch%20EU\grafy\IS2018_Grafy_Shrnut&#237;_B.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ABFS2\DATA\DATA\ZPRAC\TECHNOL\oddeleni_6302\2_Informa&#269;n&#237;%20spole&#269;nost\IS%20v%20&#269;&#237;slech\IS_2018\grafy\IS2018_Grafy_Shrnut&#237;_B.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67.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68.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69.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70.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72.xml.rels><?xml version="1.0" encoding="UTF-8" standalone="yes"?>
<Relationships xmlns="http://schemas.openxmlformats.org/package/2006/relationships"><Relationship Id="rId2" Type="http://schemas.openxmlformats.org/officeDocument/2006/relationships/chartUserShapes" Target="../drawings/drawing72.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3.xml.rels><?xml version="1.0" encoding="UTF-8" standalone="yes"?>
<Relationships xmlns="http://schemas.openxmlformats.org/package/2006/relationships"><Relationship Id="rId2" Type="http://schemas.openxmlformats.org/officeDocument/2006/relationships/chartUserShapes" Target="../drawings/drawing73.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74.xml"/><Relationship Id="rId1" Type="http://schemas.openxmlformats.org/officeDocument/2006/relationships/oleObject" Target="file:///\\Abfs2\data\DATA\ZPRAC\TECHNOL\oddeleni_6302\2_Informa&#269;n&#237;%20spole&#269;nost\IS%20v%20&#269;&#237;slech\IS_2018\grafy\IS2018_Grafy_Shrnut&#237;_C.xlsx" TargetMode="External"/></Relationships>
</file>

<file path=word/charts/_rels/chart75.xml.rels><?xml version="1.0" encoding="UTF-8" standalone="yes"?>
<Relationships xmlns="http://schemas.openxmlformats.org/package/2006/relationships"><Relationship Id="rId2" Type="http://schemas.openxmlformats.org/officeDocument/2006/relationships/chartUserShapes" Target="../drawings/drawing75.xml"/><Relationship Id="rId1" Type="http://schemas.openxmlformats.org/officeDocument/2006/relationships/oleObject" Target="file:///\\ABFS2\DATA\DATA\ZPRAC\TECHNOL\oddeleni_6302\2_Informa&#269;n&#237;%20spole&#269;nost\IS%20v%20&#269;&#237;slech\IS_2018\Rozvoj%20IS%20v%20&#268;R%20a%20zem&#237;ch%20EU\grafy\IS2018_Grafy_Shrnut&#237;_C.xlsx" TargetMode="Externa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7.xml.rels><?xml version="1.0" encoding="UTF-8" standalone="yes"?>
<Relationships xmlns="http://schemas.openxmlformats.org/package/2006/relationships"><Relationship Id="rId2" Type="http://schemas.openxmlformats.org/officeDocument/2006/relationships/chartUserShapes" Target="../drawings/drawing7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8.xml.rels><?xml version="1.0" encoding="UTF-8" standalone="yes"?>
<Relationships xmlns="http://schemas.openxmlformats.org/package/2006/relationships"><Relationship Id="rId2" Type="http://schemas.openxmlformats.org/officeDocument/2006/relationships/chartUserShapes" Target="../drawings/drawing7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80.xml.rels><?xml version="1.0" encoding="UTF-8" standalone="yes"?>
<Relationships xmlns="http://schemas.openxmlformats.org/package/2006/relationships"><Relationship Id="rId2" Type="http://schemas.openxmlformats.org/officeDocument/2006/relationships/chartUserShapes" Target="../drawings/drawing8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ABFS2\DATA\DATA\ZPRAC\TECHNOL\oddeleni_6302\2_Informa&#269;n&#237;%20spole&#269;nost\IS%20v%20&#269;&#237;slech\IS_2018\Rozvoj%20IS%20v%20&#268;R%20a%20zem&#237;ch%20EU\grafy\IS2018_Grafy_Shrnut&#237;_A.xlsx"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90.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91.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92.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94.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95.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98.xml"/><Relationship Id="rId1" Type="http://schemas.openxmlformats.org/officeDocument/2006/relationships/oleObject" Target="file:///\\ABFS2\DATA\DATA\ZPRAC\TECHNOL\oddeleni_6302\2_Informa&#269;n&#237;%20spole&#269;nost\IS%20v%20&#269;&#237;slech\IS_2018\Rozvoj%20IS%20v%20&#268;R%20a%20zem&#237;ch%20EU\grafy\IS2018_Grafy_Shrnut&#237;_D.xlsx" TargetMode="Externa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99.xml"/><Relationship Id="rId1" Type="http://schemas.openxmlformats.org/officeDocument/2006/relationships/oleObject" Target="file:///\\Abfs2\data\DATA\ZPRAC\TECHNOL\oddeleni_6302\2_Informa&#269;n&#237;%20spole&#269;nost\IS%20v%20&#269;&#237;slech\IS_2018\grafy\IS2018_Grafy_Shrnut&#237;_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en-US" sz="800" b="1"/>
              <a:t> </a:t>
            </a:r>
            <a:r>
              <a:rPr lang="cs-CZ" sz="800" b="1"/>
              <a:t>A1</a:t>
            </a:r>
            <a:r>
              <a:rPr lang="en-US" sz="800" b="1"/>
              <a:t> </a:t>
            </a:r>
            <a:r>
              <a:rPr lang="cs-CZ" sz="800" b="1"/>
              <a:t>Fixed-telephone</a:t>
            </a:r>
            <a:r>
              <a:rPr lang="cs-CZ" sz="800" b="1" baseline="0"/>
              <a:t> voice subscriptions in the Czech Republic (only PSTN)</a:t>
            </a:r>
            <a:endParaRPr lang="en-US" sz="800" b="1"/>
          </a:p>
        </c:rich>
      </c:tx>
      <c:layout/>
      <c:overlay val="1"/>
    </c:title>
    <c:autoTitleDeleted val="0"/>
    <c:plotArea>
      <c:layout>
        <c:manualLayout>
          <c:layoutTarget val="inner"/>
          <c:xMode val="edge"/>
          <c:yMode val="edge"/>
          <c:x val="3.10394912985274E-2"/>
          <c:y val="0.14789325396825401"/>
          <c:w val="0.95492225540772901"/>
          <c:h val="0.65238174603174603"/>
        </c:manualLayout>
      </c:layout>
      <c:barChart>
        <c:barDir val="col"/>
        <c:grouping val="clustered"/>
        <c:varyColors val="0"/>
        <c:ser>
          <c:idx val="2"/>
          <c:order val="0"/>
          <c:tx>
            <c:strRef>
              <c:f>A_EN!$A$3</c:f>
              <c:strCache>
                <c:ptCount val="1"/>
                <c:pt idx="0">
                  <c:v> thousands</c:v>
                </c:pt>
              </c:strCache>
            </c:strRef>
          </c:tx>
          <c:spPr>
            <a:solidFill>
              <a:srgbClr val="009BB4"/>
            </a:solidFill>
            <a:ln w="25400">
              <a:noFill/>
            </a:ln>
          </c:spPr>
          <c:invertIfNegative val="0"/>
          <c:dLbls>
            <c:dLbl>
              <c:idx val="8"/>
              <c:layout>
                <c:manualLayout>
                  <c:x val="0"/>
                  <c:y val="0.10468055555555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270-4DC5-869B-4FDFE565F9C0}"/>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A_EN!$B$2:$J$2</c:f>
              <c:numCache>
                <c:formatCode>General</c:formatCode>
                <c:ptCount val="9"/>
                <c:pt idx="0">
                  <c:v>1984</c:v>
                </c:pt>
                <c:pt idx="1">
                  <c:v>1988</c:v>
                </c:pt>
                <c:pt idx="2">
                  <c:v>1992</c:v>
                </c:pt>
                <c:pt idx="3">
                  <c:v>1996</c:v>
                </c:pt>
                <c:pt idx="4">
                  <c:v>2000</c:v>
                </c:pt>
                <c:pt idx="5">
                  <c:v>2004</c:v>
                </c:pt>
                <c:pt idx="6">
                  <c:v>2008</c:v>
                </c:pt>
                <c:pt idx="7">
                  <c:v>2012</c:v>
                </c:pt>
                <c:pt idx="8">
                  <c:v>2016</c:v>
                </c:pt>
              </c:numCache>
            </c:numRef>
          </c:cat>
          <c:val>
            <c:numRef>
              <c:f>A_EN!$B$3:$J$3</c:f>
              <c:numCache>
                <c:formatCode>#,##0.0</c:formatCode>
                <c:ptCount val="9"/>
                <c:pt idx="0">
                  <c:v>1269.1690000000001</c:v>
                </c:pt>
                <c:pt idx="1">
                  <c:v>1495.4739999999999</c:v>
                </c:pt>
                <c:pt idx="2">
                  <c:v>1814.3489999999999</c:v>
                </c:pt>
                <c:pt idx="3">
                  <c:v>2753.9160000000002</c:v>
                </c:pt>
                <c:pt idx="4">
                  <c:v>3676.4259999999999</c:v>
                </c:pt>
                <c:pt idx="5">
                  <c:v>3423.7809999999999</c:v>
                </c:pt>
                <c:pt idx="6">
                  <c:v>2264.3510000000001</c:v>
                </c:pt>
                <c:pt idx="7">
                  <c:v>1514</c:v>
                </c:pt>
                <c:pt idx="8">
                  <c:v>832.20600000000002</c:v>
                </c:pt>
              </c:numCache>
            </c:numRef>
          </c:val>
          <c:extLst>
            <c:ext xmlns:c16="http://schemas.microsoft.com/office/drawing/2014/chart" uri="{C3380CC4-5D6E-409C-BE32-E72D297353CC}">
              <c16:uniqueId val="{00000001-8270-4DC5-869B-4FDFE565F9C0}"/>
            </c:ext>
          </c:extLst>
        </c:ser>
        <c:dLbls>
          <c:showLegendKey val="0"/>
          <c:showVal val="0"/>
          <c:showCatName val="0"/>
          <c:showSerName val="0"/>
          <c:showPercent val="0"/>
          <c:showBubbleSize val="0"/>
        </c:dLbls>
        <c:gapWidth val="40"/>
        <c:axId val="143077376"/>
        <c:axId val="132683968"/>
      </c:barChart>
      <c:lineChart>
        <c:grouping val="standard"/>
        <c:varyColors val="0"/>
        <c:ser>
          <c:idx val="0"/>
          <c:order val="1"/>
          <c:tx>
            <c:strRef>
              <c:f>A_EN!$A$4</c:f>
              <c:strCache>
                <c:ptCount val="1"/>
                <c:pt idx="0">
                  <c:v> per 100 inhabitants</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A_EN!$B$2:$J$2</c:f>
              <c:numCache>
                <c:formatCode>General</c:formatCode>
                <c:ptCount val="9"/>
                <c:pt idx="0">
                  <c:v>1984</c:v>
                </c:pt>
                <c:pt idx="1">
                  <c:v>1988</c:v>
                </c:pt>
                <c:pt idx="2">
                  <c:v>1992</c:v>
                </c:pt>
                <c:pt idx="3">
                  <c:v>1996</c:v>
                </c:pt>
                <c:pt idx="4">
                  <c:v>2000</c:v>
                </c:pt>
                <c:pt idx="5">
                  <c:v>2004</c:v>
                </c:pt>
                <c:pt idx="6">
                  <c:v>2008</c:v>
                </c:pt>
                <c:pt idx="7">
                  <c:v>2012</c:v>
                </c:pt>
                <c:pt idx="8">
                  <c:v>2016</c:v>
                </c:pt>
              </c:numCache>
            </c:numRef>
          </c:cat>
          <c:val>
            <c:numRef>
              <c:f>A_EN!$B$4:$J$4</c:f>
              <c:numCache>
                <c:formatCode>0.0</c:formatCode>
                <c:ptCount val="9"/>
                <c:pt idx="0">
                  <c:v>12.2549730074054</c:v>
                </c:pt>
                <c:pt idx="1">
                  <c:v>14.44015218089678</c:v>
                </c:pt>
                <c:pt idx="2" formatCode="#,##0.0">
                  <c:v>17.57120124675361</c:v>
                </c:pt>
                <c:pt idx="3" formatCode="#,##0.0">
                  <c:v>26.71335146676196</c:v>
                </c:pt>
                <c:pt idx="4" formatCode="#,##0.0">
                  <c:v>37.689460884070812</c:v>
                </c:pt>
                <c:pt idx="5" formatCode="#,##0.0">
                  <c:v>33.58177582019578</c:v>
                </c:pt>
                <c:pt idx="6" formatCode="#,##0.0">
                  <c:v>21.71109175611322</c:v>
                </c:pt>
                <c:pt idx="7" formatCode="#,##0">
                  <c:v>14.1</c:v>
                </c:pt>
                <c:pt idx="8" formatCode="#,##0">
                  <c:v>7.8667185943233742</c:v>
                </c:pt>
              </c:numCache>
            </c:numRef>
          </c:val>
          <c:smooth val="0"/>
          <c:extLst>
            <c:ext xmlns:c16="http://schemas.microsoft.com/office/drawing/2014/chart" uri="{C3380CC4-5D6E-409C-BE32-E72D297353CC}">
              <c16:uniqueId val="{00000002-8270-4DC5-869B-4FDFE565F9C0}"/>
            </c:ext>
          </c:extLst>
        </c:ser>
        <c:dLbls>
          <c:showLegendKey val="0"/>
          <c:showVal val="0"/>
          <c:showCatName val="0"/>
          <c:showSerName val="0"/>
          <c:showPercent val="0"/>
          <c:showBubbleSize val="0"/>
        </c:dLbls>
        <c:marker val="1"/>
        <c:smooth val="0"/>
        <c:axId val="143078400"/>
        <c:axId val="132683392"/>
      </c:lineChart>
      <c:catAx>
        <c:axId val="143077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32683968"/>
        <c:crosses val="autoZero"/>
        <c:auto val="1"/>
        <c:lblAlgn val="ctr"/>
        <c:lblOffset val="140"/>
        <c:tickLblSkip val="1"/>
        <c:tickMarkSkip val="1"/>
        <c:noMultiLvlLbl val="0"/>
      </c:catAx>
      <c:valAx>
        <c:axId val="132683968"/>
        <c:scaling>
          <c:orientation val="minMax"/>
          <c:max val="5500"/>
          <c:min val="0"/>
        </c:scaling>
        <c:delete val="0"/>
        <c:axPos val="l"/>
        <c:numFmt formatCode="#,##0.0" sourceLinked="1"/>
        <c:majorTickMark val="none"/>
        <c:minorTickMark val="none"/>
        <c:tickLblPos val="none"/>
        <c:spPr>
          <a:ln w="9525">
            <a:noFill/>
          </a:ln>
        </c:spPr>
        <c:crossAx val="143077376"/>
        <c:crosses val="autoZero"/>
        <c:crossBetween val="between"/>
        <c:majorUnit val="1"/>
        <c:minorUnit val="0.1"/>
      </c:valAx>
      <c:catAx>
        <c:axId val="143078400"/>
        <c:scaling>
          <c:orientation val="minMax"/>
        </c:scaling>
        <c:delete val="1"/>
        <c:axPos val="b"/>
        <c:numFmt formatCode="General" sourceLinked="1"/>
        <c:majorTickMark val="out"/>
        <c:minorTickMark val="none"/>
        <c:tickLblPos val="none"/>
        <c:crossAx val="132683392"/>
        <c:crosses val="autoZero"/>
        <c:auto val="1"/>
        <c:lblAlgn val="ctr"/>
        <c:lblOffset val="100"/>
        <c:noMultiLvlLbl val="0"/>
      </c:catAx>
      <c:valAx>
        <c:axId val="132683392"/>
        <c:scaling>
          <c:orientation val="minMax"/>
          <c:max val="45"/>
          <c:min val="0"/>
        </c:scaling>
        <c:delete val="0"/>
        <c:axPos val="r"/>
        <c:numFmt formatCode="0.0" sourceLinked="1"/>
        <c:majorTickMark val="none"/>
        <c:minorTickMark val="none"/>
        <c:tickLblPos val="none"/>
        <c:crossAx val="143078400"/>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4.0574404761904798E-2"/>
          <c:y val="0.18042380952380899"/>
          <c:w val="0.300566798941799"/>
          <c:h val="0.182429365079365"/>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en-US" sz="800" b="1"/>
              <a:t> A</a:t>
            </a:r>
            <a:r>
              <a:rPr lang="cs-CZ" sz="800" b="1">
                <a:solidFill>
                  <a:sysClr val="windowText" lastClr="000000"/>
                </a:solidFill>
              </a:rPr>
              <a:t>10</a:t>
            </a:r>
            <a:r>
              <a:rPr lang="cs-CZ" sz="800" b="1" baseline="0">
                <a:solidFill>
                  <a:sysClr val="windowText" lastClr="000000"/>
                </a:solidFill>
              </a:rPr>
              <a:t> </a:t>
            </a:r>
            <a:r>
              <a:rPr lang="cs-CZ" sz="800" b="1">
                <a:solidFill>
                  <a:sysClr val="windowText" lastClr="000000"/>
                </a:solidFill>
              </a:rPr>
              <a:t>Telephone traffic from mobile network in </a:t>
            </a:r>
            <a:r>
              <a:rPr lang="cs-CZ" sz="800" b="1" baseline="0">
                <a:solidFill>
                  <a:sysClr val="windowText" lastClr="000000"/>
                </a:solidFill>
              </a:rPr>
              <a:t>the Czech Republic (billion called minutes)</a:t>
            </a:r>
            <a:endParaRPr lang="en-US" sz="800" b="1">
              <a:solidFill>
                <a:sysClr val="windowText" lastClr="000000"/>
              </a:solidFill>
            </a:endParaRPr>
          </a:p>
        </c:rich>
      </c:tx>
      <c:layout>
        <c:manualLayout>
          <c:xMode val="edge"/>
          <c:yMode val="edge"/>
          <c:x val="0.1208516186880008"/>
          <c:y val="1.7640573318632856E-2"/>
        </c:manualLayout>
      </c:layout>
      <c:overlay val="1"/>
    </c:title>
    <c:autoTitleDeleted val="0"/>
    <c:plotArea>
      <c:layout>
        <c:manualLayout>
          <c:layoutTarget val="inner"/>
          <c:xMode val="edge"/>
          <c:yMode val="edge"/>
          <c:x val="7.3443318563046298E-2"/>
          <c:y val="0.34466923076923101"/>
          <c:w val="0.88085251322751301"/>
          <c:h val="0.46086709401709403"/>
        </c:manualLayout>
      </c:layout>
      <c:lineChart>
        <c:grouping val="standard"/>
        <c:varyColors val="0"/>
        <c:ser>
          <c:idx val="4"/>
          <c:order val="0"/>
          <c:tx>
            <c:strRef>
              <c:f>A_EN!$A$130</c:f>
              <c:strCache>
                <c:ptCount val="1"/>
                <c:pt idx="0">
                  <c:v> to the same mobile carrier</c:v>
                </c:pt>
              </c:strCache>
            </c:strRef>
          </c:tx>
          <c:spPr>
            <a:ln w="19050">
              <a:solidFill>
                <a:srgbClr val="47E5FF"/>
              </a:solidFill>
            </a:ln>
          </c:spPr>
          <c:marker>
            <c:symbol val="diamond"/>
            <c:size val="4"/>
            <c:spPr>
              <a:solidFill>
                <a:srgbClr val="009BB4"/>
              </a:solidFill>
              <a:ln w="12700">
                <a:solidFill>
                  <a:srgbClr val="47E5FF"/>
                </a:solidFill>
              </a:ln>
            </c:spPr>
          </c:marker>
          <c:cat>
            <c:numRef>
              <c:f>A_EN!$B$129:$I$129</c:f>
              <c:numCache>
                <c:formatCode>General</c:formatCode>
                <c:ptCount val="8"/>
                <c:pt idx="0">
                  <c:v>2009</c:v>
                </c:pt>
                <c:pt idx="1">
                  <c:v>2010</c:v>
                </c:pt>
                <c:pt idx="2">
                  <c:v>2011</c:v>
                </c:pt>
                <c:pt idx="3">
                  <c:v>2012</c:v>
                </c:pt>
                <c:pt idx="4">
                  <c:v>2013</c:v>
                </c:pt>
                <c:pt idx="5">
                  <c:v>2014</c:v>
                </c:pt>
                <c:pt idx="6">
                  <c:v>2015</c:v>
                </c:pt>
                <c:pt idx="7">
                  <c:v>2016</c:v>
                </c:pt>
              </c:numCache>
            </c:numRef>
          </c:cat>
          <c:val>
            <c:numRef>
              <c:f>A_EN!$B$130:$I$130</c:f>
              <c:numCache>
                <c:formatCode>#,##0</c:formatCode>
                <c:ptCount val="8"/>
                <c:pt idx="0" formatCode="#,##0.0_ ;\-#,##0.0\ ">
                  <c:v>8.509639</c:v>
                </c:pt>
                <c:pt idx="1">
                  <c:v>9.3890100000000007</c:v>
                </c:pt>
                <c:pt idx="2">
                  <c:v>9.9192310000000035</c:v>
                </c:pt>
                <c:pt idx="3">
                  <c:v>10.391928999999999</c:v>
                </c:pt>
                <c:pt idx="4">
                  <c:v>11.254811999999999</c:v>
                </c:pt>
                <c:pt idx="5">
                  <c:v>12.082265</c:v>
                </c:pt>
                <c:pt idx="6">
                  <c:v>11.659977</c:v>
                </c:pt>
                <c:pt idx="7">
                  <c:v>11.543514999999999</c:v>
                </c:pt>
              </c:numCache>
            </c:numRef>
          </c:val>
          <c:smooth val="0"/>
          <c:extLst>
            <c:ext xmlns:c16="http://schemas.microsoft.com/office/drawing/2014/chart" uri="{C3380CC4-5D6E-409C-BE32-E72D297353CC}">
              <c16:uniqueId val="{00000000-C547-4DF5-B0D4-1FA2F1302A05}"/>
            </c:ext>
          </c:extLst>
        </c:ser>
        <c:ser>
          <c:idx val="1"/>
          <c:order val="1"/>
          <c:tx>
            <c:strRef>
              <c:f>A_EN!$A$131</c:f>
              <c:strCache>
                <c:ptCount val="1"/>
                <c:pt idx="0">
                  <c:v> to the different mobile carrier</c:v>
                </c:pt>
              </c:strCache>
            </c:strRef>
          </c:tx>
          <c:spPr>
            <a:ln w="19050">
              <a:solidFill>
                <a:srgbClr val="007D92"/>
              </a:solidFill>
            </a:ln>
          </c:spPr>
          <c:marker>
            <c:symbol val="circle"/>
            <c:size val="4"/>
            <c:spPr>
              <a:solidFill>
                <a:srgbClr val="47E5FF"/>
              </a:solidFill>
              <a:ln w="12700">
                <a:solidFill>
                  <a:srgbClr val="007D92"/>
                </a:solidFill>
              </a:ln>
            </c:spPr>
          </c:marker>
          <c:cat>
            <c:numRef>
              <c:f>A_EN!$B$129:$I$129</c:f>
              <c:numCache>
                <c:formatCode>General</c:formatCode>
                <c:ptCount val="8"/>
                <c:pt idx="0">
                  <c:v>2009</c:v>
                </c:pt>
                <c:pt idx="1">
                  <c:v>2010</c:v>
                </c:pt>
                <c:pt idx="2">
                  <c:v>2011</c:v>
                </c:pt>
                <c:pt idx="3">
                  <c:v>2012</c:v>
                </c:pt>
                <c:pt idx="4">
                  <c:v>2013</c:v>
                </c:pt>
                <c:pt idx="5">
                  <c:v>2014</c:v>
                </c:pt>
                <c:pt idx="6">
                  <c:v>2015</c:v>
                </c:pt>
                <c:pt idx="7">
                  <c:v>2016</c:v>
                </c:pt>
              </c:numCache>
            </c:numRef>
          </c:cat>
          <c:val>
            <c:numRef>
              <c:f>A_EN!$B$131:$I$131</c:f>
              <c:numCache>
                <c:formatCode>#,##0</c:formatCode>
                <c:ptCount val="8"/>
                <c:pt idx="0" formatCode="#,##0.0_ ;\-#,##0.0\ ">
                  <c:v>4.274076</c:v>
                </c:pt>
                <c:pt idx="1">
                  <c:v>4.5011429999999999</c:v>
                </c:pt>
                <c:pt idx="2">
                  <c:v>4.5116570000000014</c:v>
                </c:pt>
                <c:pt idx="3">
                  <c:v>4.7753690000000004</c:v>
                </c:pt>
                <c:pt idx="4">
                  <c:v>5.704599</c:v>
                </c:pt>
                <c:pt idx="5">
                  <c:v>7.2725990000000014</c:v>
                </c:pt>
                <c:pt idx="6">
                  <c:v>7.6939419999999936</c:v>
                </c:pt>
                <c:pt idx="7">
                  <c:v>8.1414260000000009</c:v>
                </c:pt>
              </c:numCache>
            </c:numRef>
          </c:val>
          <c:smooth val="0"/>
          <c:extLst>
            <c:ext xmlns:c16="http://schemas.microsoft.com/office/drawing/2014/chart" uri="{C3380CC4-5D6E-409C-BE32-E72D297353CC}">
              <c16:uniqueId val="{00000001-C547-4DF5-B0D4-1FA2F1302A05}"/>
            </c:ext>
          </c:extLst>
        </c:ser>
        <c:ser>
          <c:idx val="0"/>
          <c:order val="2"/>
          <c:tx>
            <c:strRef>
              <c:f>A_EN!$A$132</c:f>
              <c:strCache>
                <c:ptCount val="1"/>
                <c:pt idx="0">
                  <c:v> to fixed-telephoned network</c:v>
                </c:pt>
              </c:strCache>
            </c:strRef>
          </c:tx>
          <c:spPr>
            <a:ln w="19050">
              <a:solidFill>
                <a:srgbClr val="00C5E9"/>
              </a:solidFill>
            </a:ln>
          </c:spPr>
          <c:marker>
            <c:symbol val="triangle"/>
            <c:size val="4"/>
            <c:spPr>
              <a:solidFill>
                <a:srgbClr val="007D91"/>
              </a:solidFill>
              <a:ln w="12700">
                <a:solidFill>
                  <a:srgbClr val="00C5E9"/>
                </a:solidFill>
              </a:ln>
            </c:spPr>
          </c:marker>
          <c:cat>
            <c:numRef>
              <c:f>A_EN!$B$129:$I$129</c:f>
              <c:numCache>
                <c:formatCode>General</c:formatCode>
                <c:ptCount val="8"/>
                <c:pt idx="0">
                  <c:v>2009</c:v>
                </c:pt>
                <c:pt idx="1">
                  <c:v>2010</c:v>
                </c:pt>
                <c:pt idx="2">
                  <c:v>2011</c:v>
                </c:pt>
                <c:pt idx="3">
                  <c:v>2012</c:v>
                </c:pt>
                <c:pt idx="4">
                  <c:v>2013</c:v>
                </c:pt>
                <c:pt idx="5">
                  <c:v>2014</c:v>
                </c:pt>
                <c:pt idx="6">
                  <c:v>2015</c:v>
                </c:pt>
                <c:pt idx="7">
                  <c:v>2016</c:v>
                </c:pt>
              </c:numCache>
            </c:numRef>
          </c:cat>
          <c:val>
            <c:numRef>
              <c:f>A_EN!$B$132:$I$132</c:f>
              <c:numCache>
                <c:formatCode>#,##0</c:formatCode>
                <c:ptCount val="8"/>
                <c:pt idx="0" formatCode="#,##0.0_ ;\-#,##0.0\ ">
                  <c:v>0.75226599999999999</c:v>
                </c:pt>
                <c:pt idx="1">
                  <c:v>0.77874200000000005</c:v>
                </c:pt>
                <c:pt idx="2">
                  <c:v>0.77846599999999999</c:v>
                </c:pt>
                <c:pt idx="3">
                  <c:v>0.70779599999999998</c:v>
                </c:pt>
                <c:pt idx="4">
                  <c:v>0.75649900000000003</c:v>
                </c:pt>
                <c:pt idx="5">
                  <c:v>0.84187400000000001</c:v>
                </c:pt>
                <c:pt idx="6">
                  <c:v>0.82203700000000002</c:v>
                </c:pt>
                <c:pt idx="7">
                  <c:v>0.82619500000000001</c:v>
                </c:pt>
              </c:numCache>
            </c:numRef>
          </c:val>
          <c:smooth val="0"/>
          <c:extLst>
            <c:ext xmlns:c16="http://schemas.microsoft.com/office/drawing/2014/chart" uri="{C3380CC4-5D6E-409C-BE32-E72D297353CC}">
              <c16:uniqueId val="{00000002-C547-4DF5-B0D4-1FA2F1302A05}"/>
            </c:ext>
          </c:extLst>
        </c:ser>
        <c:dLbls>
          <c:showLegendKey val="0"/>
          <c:showVal val="0"/>
          <c:showCatName val="0"/>
          <c:showSerName val="0"/>
          <c:showPercent val="0"/>
          <c:showBubbleSize val="0"/>
        </c:dLbls>
        <c:marker val="1"/>
        <c:smooth val="0"/>
        <c:axId val="154162688"/>
        <c:axId val="151105472"/>
      </c:lineChart>
      <c:catAx>
        <c:axId val="154162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1105472"/>
        <c:crosses val="autoZero"/>
        <c:auto val="1"/>
        <c:lblAlgn val="ctr"/>
        <c:lblOffset val="100"/>
        <c:tickMarkSkip val="1"/>
        <c:noMultiLvlLbl val="0"/>
      </c:catAx>
      <c:valAx>
        <c:axId val="151105472"/>
        <c:scaling>
          <c:orientation val="minMax"/>
          <c:max val="12.5"/>
          <c:min val="0"/>
        </c:scaling>
        <c:delete val="0"/>
        <c:axPos val="l"/>
        <c:majorGridlines>
          <c:spPr>
            <a:ln w="12700">
              <a:solidFill>
                <a:srgbClr val="A6A6A6">
                  <a:alpha val="39000"/>
                </a:srgbClr>
              </a:solidFill>
              <a:prstDash val="solid"/>
            </a:ln>
          </c:spPr>
        </c:majorGridlines>
        <c:numFmt formatCode="#,##0.0" sourceLinked="0"/>
        <c:majorTickMark val="out"/>
        <c:minorTickMark val="none"/>
        <c:tickLblPos val="nextTo"/>
        <c:spPr>
          <a:ln w="3175">
            <a:solidFill>
              <a:srgbClr val="C0C0C0"/>
            </a:solidFill>
            <a:prstDash val="solid"/>
          </a:ln>
        </c:spPr>
        <c:txPr>
          <a:bodyPr rot="0" vert="horz"/>
          <a:lstStyle/>
          <a:p>
            <a:pPr>
              <a:defRPr/>
            </a:pPr>
            <a:endParaRPr lang="cs-CZ"/>
          </a:p>
        </c:txPr>
        <c:crossAx val="154162688"/>
        <c:crosses val="autoZero"/>
        <c:crossBetween val="between"/>
        <c:majorUnit val="2.5"/>
        <c:minorUnit val="0.01"/>
      </c:valAx>
      <c:spPr>
        <a:noFill/>
        <a:ln w="12700">
          <a:solidFill>
            <a:srgbClr val="A6A6A6"/>
          </a:solidFill>
          <a:prstDash val="solid"/>
        </a:ln>
      </c:spPr>
    </c:plotArea>
    <c:legend>
      <c:legendPos val="t"/>
      <c:layout>
        <c:manualLayout>
          <c:xMode val="edge"/>
          <c:yMode val="edge"/>
          <c:x val="8.8647083709564367E-2"/>
          <c:y val="0.13975257327131921"/>
          <c:w val="0.88646230158730099"/>
          <c:h val="0.17930213675213699"/>
        </c:manualLayout>
      </c:layout>
      <c:overlay val="0"/>
      <c:spPr>
        <a:solidFill>
          <a:srgbClr val="FFFFFF"/>
        </a:solidFill>
        <a:ln w="12700">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54952166693449001"/>
        </c:manualLayout>
      </c:layout>
      <c:barChart>
        <c:barDir val="col"/>
        <c:grouping val="clustered"/>
        <c:varyColors val="0"/>
        <c:ser>
          <c:idx val="0"/>
          <c:order val="0"/>
          <c:tx>
            <c:strRef>
              <c:f>D_ENG!$H$401</c:f>
              <c:strCache>
                <c:ptCount val="1"/>
                <c:pt idx="0">
                  <c:v> 2010</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D_ENG!$G$402:$G$405</c:f>
              <c:strCache>
                <c:ptCount val="4"/>
                <c:pt idx="0">
                  <c:v>Total</c:v>
                </c:pt>
                <c:pt idx="1">
                  <c:v>Small</c:v>
                </c:pt>
                <c:pt idx="2">
                  <c:v>Medium</c:v>
                </c:pt>
                <c:pt idx="3">
                  <c:v>Large</c:v>
                </c:pt>
              </c:strCache>
            </c:strRef>
          </c:cat>
          <c:val>
            <c:numRef>
              <c:f>D_ENG!$H$402:$H$405</c:f>
              <c:numCache>
                <c:formatCode>0%</c:formatCode>
                <c:ptCount val="4"/>
                <c:pt idx="0">
                  <c:v>0.15</c:v>
                </c:pt>
                <c:pt idx="1">
                  <c:v>0.11</c:v>
                </c:pt>
                <c:pt idx="2">
                  <c:v>0.28999999999999998</c:v>
                </c:pt>
                <c:pt idx="3">
                  <c:v>0.49</c:v>
                </c:pt>
              </c:numCache>
            </c:numRef>
          </c:val>
          <c:extLst>
            <c:ext xmlns:c16="http://schemas.microsoft.com/office/drawing/2014/chart" uri="{C3380CC4-5D6E-409C-BE32-E72D297353CC}">
              <c16:uniqueId val="{00000000-908D-4470-BF48-C4716BC880D0}"/>
            </c:ext>
          </c:extLst>
        </c:ser>
        <c:ser>
          <c:idx val="1"/>
          <c:order val="1"/>
          <c:tx>
            <c:strRef>
              <c:f>D_ENG!$I$401</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D_ENG!$G$402:$G$405</c:f>
              <c:strCache>
                <c:ptCount val="4"/>
                <c:pt idx="0">
                  <c:v>Total</c:v>
                </c:pt>
                <c:pt idx="1">
                  <c:v>Small</c:v>
                </c:pt>
                <c:pt idx="2">
                  <c:v>Medium</c:v>
                </c:pt>
                <c:pt idx="3">
                  <c:v>Large</c:v>
                </c:pt>
              </c:strCache>
            </c:strRef>
          </c:cat>
          <c:val>
            <c:numRef>
              <c:f>D_ENG!$I$402:$I$405</c:f>
              <c:numCache>
                <c:formatCode>0%</c:formatCode>
                <c:ptCount val="4"/>
                <c:pt idx="0">
                  <c:v>0.23</c:v>
                </c:pt>
                <c:pt idx="1">
                  <c:v>0.17</c:v>
                </c:pt>
                <c:pt idx="2">
                  <c:v>0.4</c:v>
                </c:pt>
                <c:pt idx="3">
                  <c:v>0.47</c:v>
                </c:pt>
              </c:numCache>
            </c:numRef>
          </c:val>
          <c:extLst>
            <c:ext xmlns:c16="http://schemas.microsoft.com/office/drawing/2014/chart" uri="{C3380CC4-5D6E-409C-BE32-E72D297353CC}">
              <c16:uniqueId val="{00000001-908D-4470-BF48-C4716BC880D0}"/>
            </c:ext>
          </c:extLst>
        </c:ser>
        <c:ser>
          <c:idx val="2"/>
          <c:order val="2"/>
          <c:tx>
            <c:strRef>
              <c:f>D_ENG!$J$401</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D_ENG!$G$402:$G$405</c:f>
              <c:strCache>
                <c:ptCount val="4"/>
                <c:pt idx="0">
                  <c:v>Total</c:v>
                </c:pt>
                <c:pt idx="1">
                  <c:v>Small</c:v>
                </c:pt>
                <c:pt idx="2">
                  <c:v>Medium</c:v>
                </c:pt>
                <c:pt idx="3">
                  <c:v>Large</c:v>
                </c:pt>
              </c:strCache>
            </c:strRef>
          </c:cat>
          <c:val>
            <c:numRef>
              <c:f>D_ENG!$J$402:$J$405</c:f>
              <c:numCache>
                <c:formatCode>0%</c:formatCode>
                <c:ptCount val="4"/>
                <c:pt idx="0">
                  <c:v>0.21</c:v>
                </c:pt>
                <c:pt idx="1">
                  <c:v>0.17</c:v>
                </c:pt>
                <c:pt idx="2">
                  <c:v>0.34</c:v>
                </c:pt>
                <c:pt idx="3">
                  <c:v>0.46</c:v>
                </c:pt>
              </c:numCache>
            </c:numRef>
          </c:val>
          <c:extLst>
            <c:ext xmlns:c16="http://schemas.microsoft.com/office/drawing/2014/chart" uri="{C3380CC4-5D6E-409C-BE32-E72D297353CC}">
              <c16:uniqueId val="{00000002-908D-4470-BF48-C4716BC880D0}"/>
            </c:ext>
          </c:extLst>
        </c:ser>
        <c:dLbls>
          <c:showLegendKey val="0"/>
          <c:showVal val="1"/>
          <c:showCatName val="0"/>
          <c:showSerName val="0"/>
          <c:showPercent val="0"/>
          <c:showBubbleSize val="0"/>
        </c:dLbls>
        <c:gapWidth val="50"/>
        <c:overlap val="1"/>
        <c:axId val="185048576"/>
        <c:axId val="177335104"/>
      </c:barChart>
      <c:catAx>
        <c:axId val="185048576"/>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77335104"/>
        <c:crosses val="autoZero"/>
        <c:auto val="1"/>
        <c:lblAlgn val="ctr"/>
        <c:lblOffset val="100"/>
        <c:noMultiLvlLbl val="0"/>
      </c:catAx>
      <c:valAx>
        <c:axId val="177335104"/>
        <c:scaling>
          <c:orientation val="minMax"/>
          <c:max val="1"/>
          <c:min val="0"/>
        </c:scaling>
        <c:delete val="0"/>
        <c:axPos val="l"/>
        <c:numFmt formatCode="0%" sourceLinked="1"/>
        <c:majorTickMark val="none"/>
        <c:minorTickMark val="none"/>
        <c:tickLblPos val="none"/>
        <c:crossAx val="185048576"/>
        <c:crosses val="autoZero"/>
        <c:crossBetween val="between"/>
      </c:valAx>
      <c:spPr>
        <a:ln w="12700">
          <a:solidFill>
            <a:srgbClr val="A6A6A6"/>
          </a:solidFill>
        </a:ln>
      </c:spPr>
    </c:plotArea>
    <c:legend>
      <c:legendPos val="t"/>
      <c:layout>
        <c:manualLayout>
          <c:xMode val="edge"/>
          <c:yMode val="edge"/>
          <c:x val="0.134556430446194"/>
          <c:y val="0.22664684771546401"/>
          <c:w val="0.48017567804024502"/>
          <c:h val="0.10099041191279701"/>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D2</a:t>
            </a:r>
            <a:r>
              <a:rPr lang="cs-CZ" sz="800"/>
              <a:t>6</a:t>
            </a:r>
            <a:r>
              <a:rPr lang="en-US" sz="800"/>
              <a:t> Enterprises in EU countries using</a:t>
            </a:r>
            <a:r>
              <a:rPr lang="cs-CZ" sz="800" baseline="0"/>
              <a:t> </a:t>
            </a:r>
            <a:r>
              <a:rPr lang="en-US" sz="800"/>
              <a:t>ERP and CRM software application</a:t>
            </a:r>
            <a:r>
              <a:rPr lang="cs-CZ" sz="800"/>
              <a:t>;</a:t>
            </a:r>
            <a:r>
              <a:rPr lang="cs-CZ" sz="800" baseline="0"/>
              <a:t> </a:t>
            </a:r>
            <a:r>
              <a:rPr lang="en-US" sz="800"/>
              <a:t>2017</a:t>
            </a:r>
            <a:r>
              <a:rPr lang="cs-CZ" sz="800"/>
              <a:t>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D_ENG!$N$403</c:f>
              <c:strCache>
                <c:ptCount val="1"/>
                <c:pt idx="0">
                  <c:v> CRM</c:v>
                </c:pt>
              </c:strCache>
            </c:strRef>
          </c:tx>
          <c:spPr>
            <a:solidFill>
              <a:srgbClr val="009BB4"/>
            </a:solidFill>
          </c:spPr>
          <c:invertIfNegative val="0"/>
          <c:dPt>
            <c:idx val="4"/>
            <c:invertIfNegative val="0"/>
            <c:bubble3D val="0"/>
            <c:spPr>
              <a:solidFill>
                <a:srgbClr val="009BB4"/>
              </a:solidFill>
              <a:ln w="19050">
                <a:noFill/>
              </a:ln>
            </c:spPr>
            <c:extLst>
              <c:ext xmlns:c16="http://schemas.microsoft.com/office/drawing/2014/chart" uri="{C3380CC4-5D6E-409C-BE32-E72D297353CC}">
                <c16:uniqueId val="{00000001-D190-45C0-BC92-7EE2AFA52552}"/>
              </c:ext>
            </c:extLst>
          </c:dPt>
          <c:dPt>
            <c:idx val="6"/>
            <c:invertIfNegative val="0"/>
            <c:bubble3D val="0"/>
            <c:spPr>
              <a:solidFill>
                <a:srgbClr val="009BB4"/>
              </a:solidFill>
              <a:ln w="19050">
                <a:noFill/>
              </a:ln>
            </c:spPr>
            <c:extLst>
              <c:ext xmlns:c16="http://schemas.microsoft.com/office/drawing/2014/chart" uri="{C3380CC4-5D6E-409C-BE32-E72D297353CC}">
                <c16:uniqueId val="{00000003-D190-45C0-BC92-7EE2AFA52552}"/>
              </c:ext>
            </c:extLst>
          </c:dPt>
          <c:dPt>
            <c:idx val="8"/>
            <c:invertIfNegative val="0"/>
            <c:bubble3D val="0"/>
            <c:spPr>
              <a:solidFill>
                <a:srgbClr val="009BB4"/>
              </a:solidFill>
              <a:ln w="19050">
                <a:noFill/>
              </a:ln>
            </c:spPr>
            <c:extLst>
              <c:ext xmlns:c16="http://schemas.microsoft.com/office/drawing/2014/chart" uri="{C3380CC4-5D6E-409C-BE32-E72D297353CC}">
                <c16:uniqueId val="{00000005-D190-45C0-BC92-7EE2AFA52552}"/>
              </c:ext>
            </c:extLst>
          </c:dPt>
          <c:dPt>
            <c:idx val="11"/>
            <c:invertIfNegative val="0"/>
            <c:bubble3D val="0"/>
            <c:spPr>
              <a:solidFill>
                <a:srgbClr val="009BB4"/>
              </a:solidFill>
              <a:ln w="19050">
                <a:noFill/>
              </a:ln>
            </c:spPr>
            <c:extLst>
              <c:ext xmlns:c16="http://schemas.microsoft.com/office/drawing/2014/chart" uri="{C3380CC4-5D6E-409C-BE32-E72D297353CC}">
                <c16:uniqueId val="{00000007-D190-45C0-BC92-7EE2AFA52552}"/>
              </c:ext>
            </c:extLst>
          </c:dPt>
          <c:dPt>
            <c:idx val="13"/>
            <c:invertIfNegative val="0"/>
            <c:bubble3D val="0"/>
            <c:spPr>
              <a:solidFill>
                <a:srgbClr val="009BB4"/>
              </a:solidFill>
              <a:ln w="19050">
                <a:noFill/>
              </a:ln>
            </c:spPr>
            <c:extLst>
              <c:ext xmlns:c16="http://schemas.microsoft.com/office/drawing/2014/chart" uri="{C3380CC4-5D6E-409C-BE32-E72D297353CC}">
                <c16:uniqueId val="{00000009-D190-45C0-BC92-7EE2AFA52552}"/>
              </c:ext>
            </c:extLst>
          </c:dPt>
          <c:dPt>
            <c:idx val="14"/>
            <c:invertIfNegative val="0"/>
            <c:bubble3D val="0"/>
            <c:spPr>
              <a:solidFill>
                <a:srgbClr val="009BB4"/>
              </a:solidFill>
              <a:ln w="9525">
                <a:solidFill>
                  <a:srgbClr val="FF0000"/>
                </a:solidFill>
              </a:ln>
            </c:spPr>
            <c:extLst>
              <c:ext xmlns:c16="http://schemas.microsoft.com/office/drawing/2014/chart" uri="{C3380CC4-5D6E-409C-BE32-E72D297353CC}">
                <c16:uniqueId val="{0000000B-D190-45C0-BC92-7EE2AFA52552}"/>
              </c:ext>
            </c:extLst>
          </c:dPt>
          <c:dPt>
            <c:idx val="15"/>
            <c:invertIfNegative val="0"/>
            <c:bubble3D val="0"/>
            <c:spPr>
              <a:solidFill>
                <a:srgbClr val="009BB4"/>
              </a:solidFill>
              <a:ln w="19050">
                <a:noFill/>
              </a:ln>
            </c:spPr>
            <c:extLst>
              <c:ext xmlns:c16="http://schemas.microsoft.com/office/drawing/2014/chart" uri="{C3380CC4-5D6E-409C-BE32-E72D297353CC}">
                <c16:uniqueId val="{0000000D-D190-45C0-BC92-7EE2AFA52552}"/>
              </c:ext>
            </c:extLst>
          </c:dPt>
          <c:dPt>
            <c:idx val="16"/>
            <c:invertIfNegative val="0"/>
            <c:bubble3D val="0"/>
            <c:spPr>
              <a:solidFill>
                <a:srgbClr val="009BB4"/>
              </a:solidFill>
              <a:ln w="19050">
                <a:noFill/>
              </a:ln>
            </c:spPr>
            <c:extLst>
              <c:ext xmlns:c16="http://schemas.microsoft.com/office/drawing/2014/chart" uri="{C3380CC4-5D6E-409C-BE32-E72D297353CC}">
                <c16:uniqueId val="{0000000F-D190-45C0-BC92-7EE2AFA52552}"/>
              </c:ext>
            </c:extLst>
          </c:dPt>
          <c:dPt>
            <c:idx val="20"/>
            <c:invertIfNegative val="0"/>
            <c:bubble3D val="0"/>
            <c:spPr>
              <a:solidFill>
                <a:srgbClr val="009BB4"/>
              </a:solidFill>
              <a:ln>
                <a:solidFill>
                  <a:srgbClr val="FF0000"/>
                </a:solidFill>
              </a:ln>
            </c:spPr>
            <c:extLst>
              <c:ext xmlns:c16="http://schemas.microsoft.com/office/drawing/2014/chart" uri="{C3380CC4-5D6E-409C-BE32-E72D297353CC}">
                <c16:uniqueId val="{00000011-D190-45C0-BC92-7EE2AFA52552}"/>
              </c:ext>
            </c:extLst>
          </c:dPt>
          <c:dLbls>
            <c:spPr>
              <a:noFill/>
              <a:ln>
                <a:noFill/>
              </a:ln>
              <a:effectLst/>
            </c:spPr>
            <c:txPr>
              <a:bodyPr rot="-5400000" vert="horz"/>
              <a:lstStyle/>
              <a:p>
                <a:pPr>
                  <a:defRPr sz="800" b="1">
                    <a:solidFill>
                      <a:schemeClr val="tx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D_ENG!$M$404:$M$432</c:f>
              <c:strCache>
                <c:ptCount val="29"/>
                <c:pt idx="0">
                  <c:v>Belgium</c:v>
                </c:pt>
                <c:pt idx="1">
                  <c:v>Netherlands</c:v>
                </c:pt>
                <c:pt idx="2">
                  <c:v>Lithuania</c:v>
                </c:pt>
                <c:pt idx="3">
                  <c:v>Spain</c:v>
                </c:pt>
                <c:pt idx="4">
                  <c:v>Luxembourg </c:v>
                </c:pt>
                <c:pt idx="5">
                  <c:v>Denmark</c:v>
                </c:pt>
                <c:pt idx="6">
                  <c:v>Austria</c:v>
                </c:pt>
                <c:pt idx="7">
                  <c:v>Portugal</c:v>
                </c:pt>
                <c:pt idx="8">
                  <c:v>Finland</c:v>
                </c:pt>
                <c:pt idx="9">
                  <c:v>France</c:v>
                </c:pt>
                <c:pt idx="10">
                  <c:v>Germany</c:v>
                </c:pt>
                <c:pt idx="11">
                  <c:v>Greece</c:v>
                </c:pt>
                <c:pt idx="12">
                  <c:v>Italy</c:v>
                </c:pt>
                <c:pt idx="13">
                  <c:v>Cyprus</c:v>
                </c:pt>
                <c:pt idx="14">
                  <c:v>EU28</c:v>
                </c:pt>
                <c:pt idx="15">
                  <c:v>Sweden</c:v>
                </c:pt>
                <c:pt idx="16">
                  <c:v>Slovakia</c:v>
                </c:pt>
                <c:pt idx="17">
                  <c:v>Malta</c:v>
                </c:pt>
                <c:pt idx="18">
                  <c:v>Slovenia</c:v>
                </c:pt>
                <c:pt idx="19">
                  <c:v>Ireland</c:v>
                </c:pt>
                <c:pt idx="20">
                  <c:v>Czech Republic</c:v>
                </c:pt>
                <c:pt idx="21">
                  <c:v>Estonia</c:v>
                </c:pt>
                <c:pt idx="22">
                  <c:v>Poland</c:v>
                </c:pt>
                <c:pt idx="23">
                  <c:v>Croatia</c:v>
                </c:pt>
                <c:pt idx="24">
                  <c:v>Latvia</c:v>
                </c:pt>
                <c:pt idx="25">
                  <c:v>Bulgaria</c:v>
                </c:pt>
                <c:pt idx="26">
                  <c:v>United Kingdom</c:v>
                </c:pt>
                <c:pt idx="27">
                  <c:v>Romania</c:v>
                </c:pt>
                <c:pt idx="28">
                  <c:v>Hungary</c:v>
                </c:pt>
              </c:strCache>
            </c:strRef>
          </c:cat>
          <c:val>
            <c:numRef>
              <c:f>D_ENG!$N$404:$N$432</c:f>
              <c:numCache>
                <c:formatCode>0%</c:formatCode>
                <c:ptCount val="29"/>
                <c:pt idx="0">
                  <c:v>0.432396</c:v>
                </c:pt>
                <c:pt idx="1">
                  <c:v>0.47422399999999998</c:v>
                </c:pt>
                <c:pt idx="2">
                  <c:v>0.32969700000000002</c:v>
                </c:pt>
                <c:pt idx="3">
                  <c:v>0.36985099999999999</c:v>
                </c:pt>
                <c:pt idx="4">
                  <c:v>0.39488299999999998</c:v>
                </c:pt>
                <c:pt idx="5">
                  <c:v>0.35594100000000001</c:v>
                </c:pt>
                <c:pt idx="6">
                  <c:v>0.42842599999999997</c:v>
                </c:pt>
                <c:pt idx="7">
                  <c:v>0.23832100000000001</c:v>
                </c:pt>
                <c:pt idx="8">
                  <c:v>0.38625199999999998</c:v>
                </c:pt>
                <c:pt idx="9">
                  <c:v>0.27841700000000003</c:v>
                </c:pt>
                <c:pt idx="10">
                  <c:v>0.47002500000000003</c:v>
                </c:pt>
                <c:pt idx="11">
                  <c:v>0.197131</c:v>
                </c:pt>
                <c:pt idx="12">
                  <c:v>0.30908099999999999</c:v>
                </c:pt>
                <c:pt idx="13">
                  <c:v>0.42469099999999999</c:v>
                </c:pt>
                <c:pt idx="14">
                  <c:v>0.33317600000000003</c:v>
                </c:pt>
                <c:pt idx="15">
                  <c:v>0.35116399999999998</c:v>
                </c:pt>
                <c:pt idx="16">
                  <c:v>0.23554600000000001</c:v>
                </c:pt>
                <c:pt idx="17">
                  <c:v>0.26816800000000002</c:v>
                </c:pt>
                <c:pt idx="18">
                  <c:v>0.24876300000000001</c:v>
                </c:pt>
                <c:pt idx="19">
                  <c:v>0.32967000000000002</c:v>
                </c:pt>
                <c:pt idx="20">
                  <c:v>0.20799999999999999</c:v>
                </c:pt>
                <c:pt idx="21">
                  <c:v>0.24323900000000001</c:v>
                </c:pt>
                <c:pt idx="22">
                  <c:v>0.232377</c:v>
                </c:pt>
                <c:pt idx="23">
                  <c:v>0.19766300000000001</c:v>
                </c:pt>
                <c:pt idx="24">
                  <c:v>0.16887099999999999</c:v>
                </c:pt>
                <c:pt idx="25">
                  <c:v>0.18590699999999999</c:v>
                </c:pt>
                <c:pt idx="26">
                  <c:v>0.318909</c:v>
                </c:pt>
                <c:pt idx="27">
                  <c:v>0.13500699999999999</c:v>
                </c:pt>
                <c:pt idx="28">
                  <c:v>0.14226</c:v>
                </c:pt>
              </c:numCache>
            </c:numRef>
          </c:val>
          <c:extLst>
            <c:ext xmlns:c16="http://schemas.microsoft.com/office/drawing/2014/chart" uri="{C3380CC4-5D6E-409C-BE32-E72D297353CC}">
              <c16:uniqueId val="{00000012-D190-45C0-BC92-7EE2AFA52552}"/>
            </c:ext>
          </c:extLst>
        </c:ser>
        <c:ser>
          <c:idx val="1"/>
          <c:order val="1"/>
          <c:tx>
            <c:strRef>
              <c:f>D_ENG!$O$403</c:f>
              <c:strCache>
                <c:ptCount val="1"/>
                <c:pt idx="0">
                  <c:v> ERP</c:v>
                </c:pt>
              </c:strCache>
            </c:strRef>
          </c:tx>
          <c:spPr>
            <a:solidFill>
              <a:srgbClr val="47E5FF"/>
            </a:solidFill>
          </c:spPr>
          <c:invertIfNegative val="0"/>
          <c:dPt>
            <c:idx val="8"/>
            <c:invertIfNegative val="0"/>
            <c:bubble3D val="0"/>
            <c:spPr>
              <a:solidFill>
                <a:srgbClr val="47E5FF"/>
              </a:solidFill>
              <a:ln w="19050">
                <a:noFill/>
              </a:ln>
            </c:spPr>
            <c:extLst>
              <c:ext xmlns:c16="http://schemas.microsoft.com/office/drawing/2014/chart" uri="{C3380CC4-5D6E-409C-BE32-E72D297353CC}">
                <c16:uniqueId val="{00000014-D190-45C0-BC92-7EE2AFA52552}"/>
              </c:ext>
            </c:extLst>
          </c:dPt>
          <c:dPt>
            <c:idx val="14"/>
            <c:invertIfNegative val="0"/>
            <c:bubble3D val="0"/>
            <c:spPr>
              <a:solidFill>
                <a:srgbClr val="47E5FF"/>
              </a:solidFill>
              <a:ln w="9525">
                <a:solidFill>
                  <a:srgbClr val="FF0000"/>
                </a:solidFill>
              </a:ln>
            </c:spPr>
            <c:extLst>
              <c:ext xmlns:c16="http://schemas.microsoft.com/office/drawing/2014/chart" uri="{C3380CC4-5D6E-409C-BE32-E72D297353CC}">
                <c16:uniqueId val="{00000016-D190-45C0-BC92-7EE2AFA52552}"/>
              </c:ext>
            </c:extLst>
          </c:dPt>
          <c:dPt>
            <c:idx val="20"/>
            <c:invertIfNegative val="0"/>
            <c:bubble3D val="0"/>
            <c:spPr>
              <a:solidFill>
                <a:srgbClr val="47E5FF"/>
              </a:solidFill>
              <a:ln>
                <a:solidFill>
                  <a:srgbClr val="FF0000"/>
                </a:solidFill>
              </a:ln>
            </c:spPr>
            <c:extLst>
              <c:ext xmlns:c16="http://schemas.microsoft.com/office/drawing/2014/chart" uri="{C3380CC4-5D6E-409C-BE32-E72D297353CC}">
                <c16:uniqueId val="{00000018-D190-45C0-BC92-7EE2AFA52552}"/>
              </c:ext>
            </c:extLst>
          </c:dPt>
          <c:dLbls>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D_ENG!$M$404:$M$432</c:f>
              <c:strCache>
                <c:ptCount val="29"/>
                <c:pt idx="0">
                  <c:v>Belgium</c:v>
                </c:pt>
                <c:pt idx="1">
                  <c:v>Netherlands</c:v>
                </c:pt>
                <c:pt idx="2">
                  <c:v>Lithuania</c:v>
                </c:pt>
                <c:pt idx="3">
                  <c:v>Spain</c:v>
                </c:pt>
                <c:pt idx="4">
                  <c:v>Luxembourg </c:v>
                </c:pt>
                <c:pt idx="5">
                  <c:v>Denmark</c:v>
                </c:pt>
                <c:pt idx="6">
                  <c:v>Austria</c:v>
                </c:pt>
                <c:pt idx="7">
                  <c:v>Portugal</c:v>
                </c:pt>
                <c:pt idx="8">
                  <c:v>Finland</c:v>
                </c:pt>
                <c:pt idx="9">
                  <c:v>France</c:v>
                </c:pt>
                <c:pt idx="10">
                  <c:v>Germany</c:v>
                </c:pt>
                <c:pt idx="11">
                  <c:v>Greece</c:v>
                </c:pt>
                <c:pt idx="12">
                  <c:v>Italy</c:v>
                </c:pt>
                <c:pt idx="13">
                  <c:v>Cyprus</c:v>
                </c:pt>
                <c:pt idx="14">
                  <c:v>EU28</c:v>
                </c:pt>
                <c:pt idx="15">
                  <c:v>Sweden</c:v>
                </c:pt>
                <c:pt idx="16">
                  <c:v>Slovakia</c:v>
                </c:pt>
                <c:pt idx="17">
                  <c:v>Malta</c:v>
                </c:pt>
                <c:pt idx="18">
                  <c:v>Slovenia</c:v>
                </c:pt>
                <c:pt idx="19">
                  <c:v>Ireland</c:v>
                </c:pt>
                <c:pt idx="20">
                  <c:v>Czech Republic</c:v>
                </c:pt>
                <c:pt idx="21">
                  <c:v>Estonia</c:v>
                </c:pt>
                <c:pt idx="22">
                  <c:v>Poland</c:v>
                </c:pt>
                <c:pt idx="23">
                  <c:v>Croatia</c:v>
                </c:pt>
                <c:pt idx="24">
                  <c:v>Latvia</c:v>
                </c:pt>
                <c:pt idx="25">
                  <c:v>Bulgaria</c:v>
                </c:pt>
                <c:pt idx="26">
                  <c:v>United Kingdom</c:v>
                </c:pt>
                <c:pt idx="27">
                  <c:v>Romania</c:v>
                </c:pt>
                <c:pt idx="28">
                  <c:v>Hungary</c:v>
                </c:pt>
              </c:strCache>
            </c:strRef>
          </c:cat>
          <c:val>
            <c:numRef>
              <c:f>D_ENG!$O$404:$O$432</c:f>
              <c:numCache>
                <c:formatCode>0%</c:formatCode>
                <c:ptCount val="29"/>
                <c:pt idx="0">
                  <c:v>0.53966499999999995</c:v>
                </c:pt>
                <c:pt idx="1">
                  <c:v>0.47991</c:v>
                </c:pt>
                <c:pt idx="2">
                  <c:v>0.46688299999999999</c:v>
                </c:pt>
                <c:pt idx="3">
                  <c:v>0.459698</c:v>
                </c:pt>
                <c:pt idx="4">
                  <c:v>0.40581899999999999</c:v>
                </c:pt>
                <c:pt idx="5">
                  <c:v>0.404802</c:v>
                </c:pt>
                <c:pt idx="6">
                  <c:v>0.40393400000000002</c:v>
                </c:pt>
                <c:pt idx="7">
                  <c:v>0.39859499999999998</c:v>
                </c:pt>
                <c:pt idx="8">
                  <c:v>0.38567400000000002</c:v>
                </c:pt>
                <c:pt idx="9">
                  <c:v>0.38099100000000002</c:v>
                </c:pt>
                <c:pt idx="10">
                  <c:v>0.37594300000000003</c:v>
                </c:pt>
                <c:pt idx="11">
                  <c:v>0.36788799999999999</c:v>
                </c:pt>
                <c:pt idx="12">
                  <c:v>0.36528300000000002</c:v>
                </c:pt>
                <c:pt idx="13">
                  <c:v>0.35255599999999998</c:v>
                </c:pt>
                <c:pt idx="14">
                  <c:v>0.33755099999999999</c:v>
                </c:pt>
                <c:pt idx="15">
                  <c:v>0.31435400000000002</c:v>
                </c:pt>
                <c:pt idx="16">
                  <c:v>0.30615700000000001</c:v>
                </c:pt>
                <c:pt idx="17">
                  <c:v>0.30246400000000001</c:v>
                </c:pt>
                <c:pt idx="18">
                  <c:v>0.29600900000000002</c:v>
                </c:pt>
                <c:pt idx="19">
                  <c:v>0.27880199999999999</c:v>
                </c:pt>
                <c:pt idx="20">
                  <c:v>0.27770600000000001</c:v>
                </c:pt>
                <c:pt idx="21">
                  <c:v>0.275704</c:v>
                </c:pt>
                <c:pt idx="22">
                  <c:v>0.26152199999999998</c:v>
                </c:pt>
                <c:pt idx="23">
                  <c:v>0.25566499999999998</c:v>
                </c:pt>
                <c:pt idx="24">
                  <c:v>0.25451600000000002</c:v>
                </c:pt>
                <c:pt idx="25">
                  <c:v>0.23317299999999999</c:v>
                </c:pt>
                <c:pt idx="26">
                  <c:v>0.18998599999999999</c:v>
                </c:pt>
                <c:pt idx="27">
                  <c:v>0.16891</c:v>
                </c:pt>
                <c:pt idx="28">
                  <c:v>0.14352599999999999</c:v>
                </c:pt>
              </c:numCache>
            </c:numRef>
          </c:val>
          <c:extLst>
            <c:ext xmlns:c16="http://schemas.microsoft.com/office/drawing/2014/chart" uri="{C3380CC4-5D6E-409C-BE32-E72D297353CC}">
              <c16:uniqueId val="{00000019-D190-45C0-BC92-7EE2AFA52552}"/>
            </c:ext>
          </c:extLst>
        </c:ser>
        <c:dLbls>
          <c:showLegendKey val="0"/>
          <c:showVal val="0"/>
          <c:showCatName val="0"/>
          <c:showSerName val="0"/>
          <c:showPercent val="0"/>
          <c:showBubbleSize val="0"/>
        </c:dLbls>
        <c:gapWidth val="39"/>
        <c:axId val="195375104"/>
        <c:axId val="177336832"/>
      </c:barChart>
      <c:catAx>
        <c:axId val="195375104"/>
        <c:scaling>
          <c:orientation val="minMax"/>
        </c:scaling>
        <c:delete val="0"/>
        <c:axPos val="b"/>
        <c:numFmt formatCode="General" sourceLinked="0"/>
        <c:majorTickMark val="out"/>
        <c:minorTickMark val="none"/>
        <c:tickLblPos val="nextTo"/>
        <c:spPr>
          <a:ln w="3175">
            <a:solidFill>
              <a:schemeClr val="tx1"/>
            </a:solidFill>
          </a:ln>
        </c:spPr>
        <c:crossAx val="177336832"/>
        <c:crosses val="autoZero"/>
        <c:auto val="1"/>
        <c:lblAlgn val="ctr"/>
        <c:lblOffset val="100"/>
        <c:noMultiLvlLbl val="0"/>
      </c:catAx>
      <c:valAx>
        <c:axId val="177336832"/>
        <c:scaling>
          <c:orientation val="minMax"/>
          <c:max val="0.6"/>
          <c:min val="0"/>
        </c:scaling>
        <c:delete val="1"/>
        <c:axPos val="l"/>
        <c:numFmt formatCode="0%" sourceLinked="1"/>
        <c:majorTickMark val="out"/>
        <c:minorTickMark val="none"/>
        <c:tickLblPos val="nextTo"/>
        <c:crossAx val="195375104"/>
        <c:crosses val="autoZero"/>
        <c:crossBetween val="between"/>
        <c:majorUnit val="0.1"/>
        <c:minorUnit val="0.05"/>
      </c:valAx>
      <c:spPr>
        <a:ln>
          <a:solidFill>
            <a:schemeClr val="tx1">
              <a:tint val="75000"/>
              <a:shade val="95000"/>
              <a:satMod val="105000"/>
            </a:schemeClr>
          </a:solidFill>
        </a:ln>
      </c:spPr>
    </c:plotArea>
    <c:legend>
      <c:legendPos val="r"/>
      <c:layout>
        <c:manualLayout>
          <c:xMode val="edge"/>
          <c:yMode val="edge"/>
          <c:x val="0.85483445519393297"/>
          <c:y val="0.13645030864197499"/>
          <c:w val="9.0013430159151406E-2"/>
          <c:h val="0.15949938271604899"/>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Figure D27 TOP 5 industries in the Czech Republic with the highest share of enterprises </a:t>
            </a:r>
          </a:p>
          <a:p>
            <a:pPr>
              <a:defRPr/>
            </a:pPr>
            <a:r>
              <a:rPr lang="cs-CZ" sz="800" b="1">
                <a:effectLst/>
              </a:rPr>
              <a:t>sending e-invoices; 2017</a:t>
            </a:r>
            <a:r>
              <a:rPr lang="cs-CZ" sz="800" b="1" baseline="0">
                <a:effectLst/>
              </a:rPr>
              <a:t>(%)*</a:t>
            </a:r>
            <a:endParaRPr lang="cs-CZ" sz="800">
              <a:effectLst/>
            </a:endParaRPr>
          </a:p>
        </c:rich>
      </c:tx>
      <c:overlay val="0"/>
    </c:title>
    <c:autoTitleDeleted val="0"/>
    <c:plotArea>
      <c:layout>
        <c:manualLayout>
          <c:layoutTarget val="inner"/>
          <c:xMode val="edge"/>
          <c:yMode val="edge"/>
          <c:x val="0.47204759405074398"/>
          <c:y val="0.21592973955178699"/>
          <c:w val="0.48606649168853899"/>
          <c:h val="0.650918635170604"/>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BA-4661-BDEA-45BC4D1C61FB}"/>
                </c:ext>
              </c:extLst>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D_ENG!$G$432:$G$436</c:f>
              <c:strCache>
                <c:ptCount val="5"/>
                <c:pt idx="0">
                  <c:v>Manufacturing</c:v>
                </c:pt>
                <c:pt idx="1">
                  <c:v>Media industry incl. publishing activities</c:v>
                </c:pt>
                <c:pt idx="2">
                  <c:v>Computer programming and related activities</c:v>
                </c:pt>
                <c:pt idx="3">
                  <c:v>Wholesale trade</c:v>
                </c:pt>
                <c:pt idx="4">
                  <c:v>Telecommunications</c:v>
                </c:pt>
              </c:strCache>
            </c:strRef>
          </c:cat>
          <c:val>
            <c:numRef>
              <c:f>D_ENG!$H$432:$H$436</c:f>
              <c:numCache>
                <c:formatCode>0%</c:formatCode>
                <c:ptCount val="5"/>
                <c:pt idx="0">
                  <c:v>0.22</c:v>
                </c:pt>
                <c:pt idx="1">
                  <c:v>0.22</c:v>
                </c:pt>
                <c:pt idx="2">
                  <c:v>0.23</c:v>
                </c:pt>
                <c:pt idx="3">
                  <c:v>0.24</c:v>
                </c:pt>
                <c:pt idx="4">
                  <c:v>0.26</c:v>
                </c:pt>
              </c:numCache>
            </c:numRef>
          </c:val>
          <c:extLst>
            <c:ext xmlns:c16="http://schemas.microsoft.com/office/drawing/2014/chart" uri="{C3380CC4-5D6E-409C-BE32-E72D297353CC}">
              <c16:uniqueId val="{00000001-B6BA-4661-BDEA-45BC4D1C61FB}"/>
            </c:ext>
          </c:extLst>
        </c:ser>
        <c:dLbls>
          <c:showLegendKey val="0"/>
          <c:showVal val="0"/>
          <c:showCatName val="0"/>
          <c:showSerName val="0"/>
          <c:showPercent val="0"/>
          <c:showBubbleSize val="0"/>
        </c:dLbls>
        <c:gapWidth val="70"/>
        <c:axId val="195377664"/>
        <c:axId val="177338560"/>
      </c:barChart>
      <c:catAx>
        <c:axId val="19537766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177338560"/>
        <c:crosses val="autoZero"/>
        <c:auto val="1"/>
        <c:lblAlgn val="ctr"/>
        <c:lblOffset val="100"/>
        <c:noMultiLvlLbl val="0"/>
      </c:catAx>
      <c:valAx>
        <c:axId val="177338560"/>
        <c:scaling>
          <c:orientation val="minMax"/>
          <c:max val="0.4"/>
          <c:min val="0"/>
        </c:scaling>
        <c:delete val="0"/>
        <c:axPos val="b"/>
        <c:numFmt formatCode="0%" sourceLinked="1"/>
        <c:majorTickMark val="none"/>
        <c:minorTickMark val="none"/>
        <c:tickLblPos val="none"/>
        <c:spPr>
          <a:ln w="9525">
            <a:noFill/>
          </a:ln>
        </c:spPr>
        <c:crossAx val="195377664"/>
        <c:crosses val="autoZero"/>
        <c:crossBetween val="between"/>
        <c:majorUnit val="0.05"/>
        <c:minorUnit val="0.01"/>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60446084261518018"/>
        </c:manualLayout>
      </c:layout>
      <c:barChart>
        <c:barDir val="col"/>
        <c:grouping val="clustered"/>
        <c:varyColors val="0"/>
        <c:ser>
          <c:idx val="0"/>
          <c:order val="0"/>
          <c:tx>
            <c:strRef>
              <c:f>D_ENG!$H$449</c:f>
              <c:strCache>
                <c:ptCount val="1"/>
                <c:pt idx="0">
                  <c:v> 2013</c:v>
                </c:pt>
              </c:strCache>
            </c:strRef>
          </c:tx>
          <c:spPr>
            <a:solidFill>
              <a:srgbClr val="ABF3FF"/>
            </a:solidFill>
          </c:spPr>
          <c:invertIfNegative val="0"/>
          <c:dLbls>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D_ENG!$G$450:$G$453</c:f>
              <c:strCache>
                <c:ptCount val="4"/>
                <c:pt idx="0">
                  <c:v>Total</c:v>
                </c:pt>
                <c:pt idx="1">
                  <c:v>Small</c:v>
                </c:pt>
                <c:pt idx="2">
                  <c:v>Medium</c:v>
                </c:pt>
                <c:pt idx="3">
                  <c:v>Large</c:v>
                </c:pt>
              </c:strCache>
            </c:strRef>
          </c:cat>
          <c:val>
            <c:numRef>
              <c:f>D_ENG!$H$450:$H$453</c:f>
              <c:numCache>
                <c:formatCode>0%</c:formatCode>
                <c:ptCount val="4"/>
                <c:pt idx="0">
                  <c:v>0.02</c:v>
                </c:pt>
                <c:pt idx="1">
                  <c:v>0.02</c:v>
                </c:pt>
                <c:pt idx="2">
                  <c:v>0.02</c:v>
                </c:pt>
                <c:pt idx="3">
                  <c:v>0.08</c:v>
                </c:pt>
              </c:numCache>
            </c:numRef>
          </c:val>
          <c:extLst>
            <c:ext xmlns:c16="http://schemas.microsoft.com/office/drawing/2014/chart" uri="{C3380CC4-5D6E-409C-BE32-E72D297353CC}">
              <c16:uniqueId val="{00000000-02C7-4F0E-9B62-339943D57752}"/>
            </c:ext>
          </c:extLst>
        </c:ser>
        <c:ser>
          <c:idx val="1"/>
          <c:order val="1"/>
          <c:tx>
            <c:strRef>
              <c:f>D_ENG!$I$449</c:f>
              <c:strCache>
                <c:ptCount val="1"/>
                <c:pt idx="0">
                  <c:v> 2015</c:v>
                </c:pt>
              </c:strCache>
            </c:strRef>
          </c:tx>
          <c:spPr>
            <a:solidFill>
              <a:srgbClr val="47E5FF"/>
            </a:solidFill>
          </c:spPr>
          <c:invertIfNegative val="0"/>
          <c:dLbls>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D_ENG!$G$450:$G$453</c:f>
              <c:strCache>
                <c:ptCount val="4"/>
                <c:pt idx="0">
                  <c:v>Total</c:v>
                </c:pt>
                <c:pt idx="1">
                  <c:v>Small</c:v>
                </c:pt>
                <c:pt idx="2">
                  <c:v>Medium</c:v>
                </c:pt>
                <c:pt idx="3">
                  <c:v>Large</c:v>
                </c:pt>
              </c:strCache>
            </c:strRef>
          </c:cat>
          <c:val>
            <c:numRef>
              <c:f>D_ENG!$I$450:$I$453</c:f>
              <c:numCache>
                <c:formatCode>0%</c:formatCode>
                <c:ptCount val="4"/>
                <c:pt idx="0">
                  <c:v>0.04</c:v>
                </c:pt>
                <c:pt idx="1">
                  <c:v>0.03</c:v>
                </c:pt>
                <c:pt idx="2">
                  <c:v>0.05</c:v>
                </c:pt>
                <c:pt idx="3">
                  <c:v>0.08</c:v>
                </c:pt>
              </c:numCache>
            </c:numRef>
          </c:val>
          <c:extLst>
            <c:ext xmlns:c16="http://schemas.microsoft.com/office/drawing/2014/chart" uri="{C3380CC4-5D6E-409C-BE32-E72D297353CC}">
              <c16:uniqueId val="{00000001-02C7-4F0E-9B62-339943D57752}"/>
            </c:ext>
          </c:extLst>
        </c:ser>
        <c:ser>
          <c:idx val="2"/>
          <c:order val="2"/>
          <c:tx>
            <c:strRef>
              <c:f>D_ENG!$J$449</c:f>
              <c:strCache>
                <c:ptCount val="1"/>
                <c:pt idx="0">
                  <c:v> 2017</c:v>
                </c:pt>
              </c:strCache>
            </c:strRef>
          </c:tx>
          <c:spPr>
            <a:solidFill>
              <a:srgbClr val="009BB4"/>
            </a:solidFill>
          </c:spPr>
          <c:invertIfNegative val="0"/>
          <c:dLbls>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D_ENG!$G$450:$G$453</c:f>
              <c:strCache>
                <c:ptCount val="4"/>
                <c:pt idx="0">
                  <c:v>Total</c:v>
                </c:pt>
                <c:pt idx="1">
                  <c:v>Small</c:v>
                </c:pt>
                <c:pt idx="2">
                  <c:v>Medium</c:v>
                </c:pt>
                <c:pt idx="3">
                  <c:v>Large</c:v>
                </c:pt>
              </c:strCache>
            </c:strRef>
          </c:cat>
          <c:val>
            <c:numRef>
              <c:f>D_ENG!$J$450:$J$453</c:f>
              <c:numCache>
                <c:formatCode>0%</c:formatCode>
                <c:ptCount val="4"/>
                <c:pt idx="0">
                  <c:v>0.06</c:v>
                </c:pt>
                <c:pt idx="1">
                  <c:v>0.05</c:v>
                </c:pt>
                <c:pt idx="2">
                  <c:v>0.08</c:v>
                </c:pt>
                <c:pt idx="3">
                  <c:v>0.11</c:v>
                </c:pt>
              </c:numCache>
            </c:numRef>
          </c:val>
          <c:extLst>
            <c:ext xmlns:c16="http://schemas.microsoft.com/office/drawing/2014/chart" uri="{C3380CC4-5D6E-409C-BE32-E72D297353CC}">
              <c16:uniqueId val="{00000002-02C7-4F0E-9B62-339943D57752}"/>
            </c:ext>
          </c:extLst>
        </c:ser>
        <c:dLbls>
          <c:showLegendKey val="0"/>
          <c:showVal val="1"/>
          <c:showCatName val="0"/>
          <c:showSerName val="0"/>
          <c:showPercent val="0"/>
          <c:showBubbleSize val="0"/>
        </c:dLbls>
        <c:gapWidth val="50"/>
        <c:overlap val="1"/>
        <c:axId val="195527680"/>
        <c:axId val="185122816"/>
      </c:barChart>
      <c:catAx>
        <c:axId val="195527680"/>
        <c:scaling>
          <c:orientation val="minMax"/>
        </c:scaling>
        <c:delete val="0"/>
        <c:axPos val="b"/>
        <c:numFmt formatCode="General" sourceLinked="1"/>
        <c:majorTickMark val="out"/>
        <c:minorTickMark val="none"/>
        <c:tickLblPos val="nextTo"/>
        <c:spPr>
          <a:ln w="3175">
            <a:solidFill>
              <a:schemeClr val="tx1"/>
            </a:solidFill>
          </a:ln>
        </c:spPr>
        <c:crossAx val="185122816"/>
        <c:crosses val="autoZero"/>
        <c:auto val="1"/>
        <c:lblAlgn val="ctr"/>
        <c:lblOffset val="100"/>
        <c:noMultiLvlLbl val="0"/>
      </c:catAx>
      <c:valAx>
        <c:axId val="185122816"/>
        <c:scaling>
          <c:orientation val="minMax"/>
          <c:max val="0.5"/>
          <c:min val="0"/>
        </c:scaling>
        <c:delete val="0"/>
        <c:axPos val="l"/>
        <c:numFmt formatCode="0%" sourceLinked="1"/>
        <c:majorTickMark val="none"/>
        <c:minorTickMark val="none"/>
        <c:tickLblPos val="none"/>
        <c:crossAx val="195527680"/>
        <c:crosses val="autoZero"/>
        <c:crossBetween val="between"/>
      </c:valAx>
      <c:spPr>
        <a:ln w="12700">
          <a:solidFill>
            <a:srgbClr val="A6A6A6"/>
          </a:solidFill>
        </a:ln>
      </c:spPr>
    </c:plotArea>
    <c:legend>
      <c:legendPos val="t"/>
      <c:layout>
        <c:manualLayout>
          <c:xMode val="edge"/>
          <c:yMode val="edge"/>
          <c:x val="0.134556430446194"/>
          <c:y val="0.22664684771546401"/>
          <c:w val="0.44906456692913399"/>
          <c:h val="0.10099041191279701"/>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D2</a:t>
            </a:r>
            <a:r>
              <a:rPr lang="cs-CZ" sz="800"/>
              <a:t>9</a:t>
            </a:r>
            <a:r>
              <a:rPr lang="en-US" sz="800"/>
              <a:t> Enterprises in EU countries sending invoices in electronic form</a:t>
            </a:r>
            <a:r>
              <a:rPr lang="cs-CZ" sz="800"/>
              <a:t>; </a:t>
            </a:r>
            <a:r>
              <a:rPr lang="en-US" sz="800"/>
              <a:t>2017</a:t>
            </a:r>
            <a:r>
              <a:rPr lang="cs-CZ" sz="800"/>
              <a:t>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45731602538057209"/>
        </c:manualLayout>
      </c:layout>
      <c:barChart>
        <c:barDir val="col"/>
        <c:grouping val="clustered"/>
        <c:varyColors val="0"/>
        <c:ser>
          <c:idx val="0"/>
          <c:order val="0"/>
          <c:tx>
            <c:strRef>
              <c:f>D_ENG!$L$460</c:f>
              <c:strCache>
                <c:ptCount val="1"/>
                <c:pt idx="0">
                  <c:v> Total</c:v>
                </c:pt>
              </c:strCache>
            </c:strRef>
          </c:tx>
          <c:spPr>
            <a:solidFill>
              <a:srgbClr val="009BB4"/>
            </a:solidFill>
            <a:ln>
              <a:noFill/>
            </a:ln>
          </c:spPr>
          <c:invertIfNegative val="0"/>
          <c:dPt>
            <c:idx val="5"/>
            <c:invertIfNegative val="0"/>
            <c:bubble3D val="0"/>
            <c:spPr>
              <a:solidFill>
                <a:srgbClr val="009BB4"/>
              </a:solidFill>
              <a:ln>
                <a:solidFill>
                  <a:srgbClr val="FF0000"/>
                </a:solidFill>
              </a:ln>
            </c:spPr>
            <c:extLst>
              <c:ext xmlns:c16="http://schemas.microsoft.com/office/drawing/2014/chart" uri="{C3380CC4-5D6E-409C-BE32-E72D297353CC}">
                <c16:uniqueId val="{00000001-DD58-4582-8D62-764B6ACE107C}"/>
              </c:ext>
            </c:extLst>
          </c:dPt>
          <c:dPt>
            <c:idx val="6"/>
            <c:invertIfNegative val="0"/>
            <c:bubble3D val="0"/>
            <c:spPr>
              <a:solidFill>
                <a:srgbClr val="009BB4"/>
              </a:solidFill>
              <a:ln w="19050">
                <a:noFill/>
              </a:ln>
            </c:spPr>
            <c:extLst>
              <c:ext xmlns:c16="http://schemas.microsoft.com/office/drawing/2014/chart" uri="{C3380CC4-5D6E-409C-BE32-E72D297353CC}">
                <c16:uniqueId val="{00000003-DD58-4582-8D62-764B6ACE107C}"/>
              </c:ext>
            </c:extLst>
          </c:dPt>
          <c:dPt>
            <c:idx val="8"/>
            <c:invertIfNegative val="0"/>
            <c:bubble3D val="0"/>
            <c:spPr>
              <a:solidFill>
                <a:srgbClr val="009BB4"/>
              </a:solidFill>
              <a:ln w="19050">
                <a:noFill/>
              </a:ln>
            </c:spPr>
            <c:extLst>
              <c:ext xmlns:c16="http://schemas.microsoft.com/office/drawing/2014/chart" uri="{C3380CC4-5D6E-409C-BE32-E72D297353CC}">
                <c16:uniqueId val="{00000005-DD58-4582-8D62-764B6ACE107C}"/>
              </c:ext>
            </c:extLst>
          </c:dPt>
          <c:dPt>
            <c:idx val="9"/>
            <c:invertIfNegative val="0"/>
            <c:bubble3D val="0"/>
            <c:spPr>
              <a:solidFill>
                <a:srgbClr val="009BB4"/>
              </a:solidFill>
              <a:ln w="19050">
                <a:noFill/>
              </a:ln>
            </c:spPr>
            <c:extLst>
              <c:ext xmlns:c16="http://schemas.microsoft.com/office/drawing/2014/chart" uri="{C3380CC4-5D6E-409C-BE32-E72D297353CC}">
                <c16:uniqueId val="{00000007-DD58-4582-8D62-764B6ACE107C}"/>
              </c:ext>
            </c:extLst>
          </c:dPt>
          <c:dPt>
            <c:idx val="11"/>
            <c:invertIfNegative val="0"/>
            <c:bubble3D val="0"/>
            <c:spPr>
              <a:solidFill>
                <a:srgbClr val="009BB4"/>
              </a:solidFill>
              <a:ln w="19050">
                <a:noFill/>
              </a:ln>
            </c:spPr>
            <c:extLst>
              <c:ext xmlns:c16="http://schemas.microsoft.com/office/drawing/2014/chart" uri="{C3380CC4-5D6E-409C-BE32-E72D297353CC}">
                <c16:uniqueId val="{00000009-DD58-4582-8D62-764B6ACE107C}"/>
              </c:ext>
            </c:extLst>
          </c:dPt>
          <c:dPt>
            <c:idx val="13"/>
            <c:invertIfNegative val="0"/>
            <c:bubble3D val="0"/>
            <c:spPr>
              <a:solidFill>
                <a:srgbClr val="009BB4"/>
              </a:solidFill>
              <a:ln w="19050">
                <a:noFill/>
              </a:ln>
            </c:spPr>
            <c:extLst>
              <c:ext xmlns:c16="http://schemas.microsoft.com/office/drawing/2014/chart" uri="{C3380CC4-5D6E-409C-BE32-E72D297353CC}">
                <c16:uniqueId val="{0000000B-DD58-4582-8D62-764B6ACE107C}"/>
              </c:ext>
            </c:extLst>
          </c:dPt>
          <c:dPt>
            <c:idx val="15"/>
            <c:invertIfNegative val="0"/>
            <c:bubble3D val="0"/>
            <c:spPr>
              <a:solidFill>
                <a:srgbClr val="009BB4"/>
              </a:solidFill>
              <a:ln w="19050">
                <a:noFill/>
              </a:ln>
            </c:spPr>
            <c:extLst>
              <c:ext xmlns:c16="http://schemas.microsoft.com/office/drawing/2014/chart" uri="{C3380CC4-5D6E-409C-BE32-E72D297353CC}">
                <c16:uniqueId val="{0000000D-DD58-4582-8D62-764B6ACE107C}"/>
              </c:ext>
            </c:extLst>
          </c:dPt>
          <c:dPt>
            <c:idx val="16"/>
            <c:invertIfNegative val="0"/>
            <c:bubble3D val="0"/>
            <c:spPr>
              <a:solidFill>
                <a:srgbClr val="009BB4"/>
              </a:solidFill>
              <a:ln w="19050">
                <a:noFill/>
              </a:ln>
            </c:spPr>
            <c:extLst>
              <c:ext xmlns:c16="http://schemas.microsoft.com/office/drawing/2014/chart" uri="{C3380CC4-5D6E-409C-BE32-E72D297353CC}">
                <c16:uniqueId val="{0000000F-DD58-4582-8D62-764B6ACE107C}"/>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11-DD58-4582-8D62-764B6ACE107C}"/>
              </c:ext>
            </c:extLst>
          </c:dPt>
          <c:dPt>
            <c:idx val="20"/>
            <c:invertIfNegative val="0"/>
            <c:bubble3D val="0"/>
            <c:spPr>
              <a:solidFill>
                <a:srgbClr val="009BB4"/>
              </a:solidFill>
              <a:ln w="19050">
                <a:noFill/>
              </a:ln>
            </c:spPr>
            <c:extLst>
              <c:ext xmlns:c16="http://schemas.microsoft.com/office/drawing/2014/chart" uri="{C3380CC4-5D6E-409C-BE32-E72D297353CC}">
                <c16:uniqueId val="{00000013-DD58-4582-8D62-764B6ACE107C}"/>
              </c:ext>
            </c:extLst>
          </c:dPt>
          <c:dPt>
            <c:idx val="23"/>
            <c:invertIfNegative val="0"/>
            <c:bubble3D val="0"/>
            <c:spPr>
              <a:solidFill>
                <a:srgbClr val="009BB4"/>
              </a:solidFill>
              <a:ln w="19050">
                <a:noFill/>
              </a:ln>
            </c:spPr>
            <c:extLst>
              <c:ext xmlns:c16="http://schemas.microsoft.com/office/drawing/2014/chart" uri="{C3380CC4-5D6E-409C-BE32-E72D297353CC}">
                <c16:uniqueId val="{00000015-DD58-4582-8D62-764B6ACE107C}"/>
              </c:ext>
            </c:extLst>
          </c:dPt>
          <c:dLbls>
            <c:dLbl>
              <c:idx val="2"/>
              <c:layout>
                <c:manualLayout>
                  <c:x val="-1.8724267063449001E-17"/>
                  <c:y val="9.0212962962962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D58-4582-8D62-764B6ACE107C}"/>
                </c:ext>
              </c:extLst>
            </c:dLbl>
            <c:dLbl>
              <c:idx val="8"/>
              <c:layout>
                <c:manualLayout>
                  <c:x val="-1.6084022935816699E-7"/>
                  <c:y val="8.62932098765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58-4582-8D62-764B6ACE107C}"/>
                </c:ext>
              </c:extLst>
            </c:dLbl>
            <c:dLbl>
              <c:idx val="27"/>
              <c:layout>
                <c:manualLayout>
                  <c:x val="0"/>
                  <c:y val="8.62932098765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D58-4582-8D62-764B6ACE107C}"/>
                </c:ext>
              </c:extLst>
            </c:dLbl>
            <c:dLbl>
              <c:idx val="28"/>
              <c:layout>
                <c:manualLayout>
                  <c:x val="0"/>
                  <c:y val="7.9166182642820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D58-4582-8D62-764B6ACE107C}"/>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D_ENG!$K$461:$K$489</c:f>
              <c:strCache>
                <c:ptCount val="29"/>
                <c:pt idx="0">
                  <c:v>Denmark**</c:v>
                </c:pt>
                <c:pt idx="1">
                  <c:v>Estonia</c:v>
                </c:pt>
                <c:pt idx="2">
                  <c:v>Finland**</c:v>
                </c:pt>
                <c:pt idx="3">
                  <c:v>Netherlands</c:v>
                </c:pt>
                <c:pt idx="4">
                  <c:v>Italy**</c:v>
                </c:pt>
                <c:pt idx="5">
                  <c:v>Czech Republic</c:v>
                </c:pt>
                <c:pt idx="6">
                  <c:v>Lithuania</c:v>
                </c:pt>
                <c:pt idx="7">
                  <c:v>Slovenia**</c:v>
                </c:pt>
                <c:pt idx="8">
                  <c:v>Spain</c:v>
                </c:pt>
                <c:pt idx="9">
                  <c:v>Latvia</c:v>
                </c:pt>
                <c:pt idx="10">
                  <c:v>Sweden**</c:v>
                </c:pt>
                <c:pt idx="11">
                  <c:v>United Kingdom**</c:v>
                </c:pt>
                <c:pt idx="12">
                  <c:v>Belgium</c:v>
                </c:pt>
                <c:pt idx="13">
                  <c:v>Malta**</c:v>
                </c:pt>
                <c:pt idx="14">
                  <c:v>Austria**</c:v>
                </c:pt>
                <c:pt idx="15">
                  <c:v>Cyprus</c:v>
                </c:pt>
                <c:pt idx="16">
                  <c:v>Ireland**</c:v>
                </c:pt>
                <c:pt idx="17">
                  <c:v>EU28**</c:v>
                </c:pt>
                <c:pt idx="18">
                  <c:v>France**</c:v>
                </c:pt>
                <c:pt idx="19">
                  <c:v>Luxembourg**</c:v>
                </c:pt>
                <c:pt idx="20">
                  <c:v>Poland</c:v>
                </c:pt>
                <c:pt idx="21">
                  <c:v>Croatia</c:v>
                </c:pt>
                <c:pt idx="22">
                  <c:v>Germany</c:v>
                </c:pt>
                <c:pt idx="23">
                  <c:v>Slovakia</c:v>
                </c:pt>
                <c:pt idx="24">
                  <c:v>Portugal**</c:v>
                </c:pt>
                <c:pt idx="25">
                  <c:v>Bulgaria</c:v>
                </c:pt>
                <c:pt idx="26">
                  <c:v>Romania</c:v>
                </c:pt>
                <c:pt idx="27">
                  <c:v>Greece</c:v>
                </c:pt>
                <c:pt idx="28">
                  <c:v>Hungary</c:v>
                </c:pt>
              </c:strCache>
            </c:strRef>
          </c:cat>
          <c:val>
            <c:numRef>
              <c:f>D_ENG!$L$461:$L$489</c:f>
              <c:numCache>
                <c:formatCode>0%</c:formatCode>
                <c:ptCount val="29"/>
                <c:pt idx="0">
                  <c:v>0.90616699999999994</c:v>
                </c:pt>
                <c:pt idx="1">
                  <c:v>0.89606699999999995</c:v>
                </c:pt>
                <c:pt idx="2">
                  <c:v>0.83755900000000005</c:v>
                </c:pt>
                <c:pt idx="3">
                  <c:v>0.81644600000000001</c:v>
                </c:pt>
                <c:pt idx="4">
                  <c:v>0.79099600000000003</c:v>
                </c:pt>
                <c:pt idx="5">
                  <c:v>0.748</c:v>
                </c:pt>
                <c:pt idx="6">
                  <c:v>0.71928199999999998</c:v>
                </c:pt>
                <c:pt idx="7">
                  <c:v>0.699604</c:v>
                </c:pt>
                <c:pt idx="8">
                  <c:v>0.69824799999999998</c:v>
                </c:pt>
                <c:pt idx="9">
                  <c:v>0.66946300000000003</c:v>
                </c:pt>
                <c:pt idx="10">
                  <c:v>0.66140900000000002</c:v>
                </c:pt>
                <c:pt idx="11">
                  <c:v>0.64279600000000003</c:v>
                </c:pt>
                <c:pt idx="12">
                  <c:v>0.62115200000000004</c:v>
                </c:pt>
                <c:pt idx="13">
                  <c:v>0.59808499999999998</c:v>
                </c:pt>
                <c:pt idx="14">
                  <c:v>0.56905399999999995</c:v>
                </c:pt>
                <c:pt idx="15">
                  <c:v>0.55147100000000004</c:v>
                </c:pt>
                <c:pt idx="16">
                  <c:v>0.54333100000000001</c:v>
                </c:pt>
                <c:pt idx="17">
                  <c:v>0.54306699999999997</c:v>
                </c:pt>
                <c:pt idx="18">
                  <c:v>0.53669299999999998</c:v>
                </c:pt>
                <c:pt idx="19">
                  <c:v>0.52923299999999995</c:v>
                </c:pt>
                <c:pt idx="20">
                  <c:v>0.47186</c:v>
                </c:pt>
                <c:pt idx="21">
                  <c:v>0.459235</c:v>
                </c:pt>
                <c:pt idx="22">
                  <c:v>0.453038</c:v>
                </c:pt>
                <c:pt idx="23">
                  <c:v>0.43600499999999998</c:v>
                </c:pt>
                <c:pt idx="24">
                  <c:v>0.413549</c:v>
                </c:pt>
                <c:pt idx="25">
                  <c:v>0.39790300000000001</c:v>
                </c:pt>
                <c:pt idx="26">
                  <c:v>0.35059899999999999</c:v>
                </c:pt>
                <c:pt idx="27">
                  <c:v>0.257992</c:v>
                </c:pt>
                <c:pt idx="28">
                  <c:v>0.22031500000000001</c:v>
                </c:pt>
              </c:numCache>
            </c:numRef>
          </c:val>
          <c:extLst>
            <c:ext xmlns:c16="http://schemas.microsoft.com/office/drawing/2014/chart" uri="{C3380CC4-5D6E-409C-BE32-E72D297353CC}">
              <c16:uniqueId val="{00000019-DD58-4582-8D62-764B6ACE107C}"/>
            </c:ext>
          </c:extLst>
        </c:ser>
        <c:dLbls>
          <c:showLegendKey val="0"/>
          <c:showVal val="0"/>
          <c:showCatName val="0"/>
          <c:showSerName val="0"/>
          <c:showPercent val="0"/>
          <c:showBubbleSize val="0"/>
        </c:dLbls>
        <c:gapWidth val="50"/>
        <c:axId val="195378176"/>
        <c:axId val="185124544"/>
      </c:barChart>
      <c:barChart>
        <c:barDir val="col"/>
        <c:grouping val="clustered"/>
        <c:varyColors val="0"/>
        <c:ser>
          <c:idx val="1"/>
          <c:order val="1"/>
          <c:tx>
            <c:strRef>
              <c:f>D_ENG!$M$460</c:f>
              <c:strCache>
                <c:ptCount val="1"/>
                <c:pt idx="0">
                  <c:v> of which e-invoices***</c:v>
                </c:pt>
              </c:strCache>
            </c:strRef>
          </c:tx>
          <c:spPr>
            <a:solidFill>
              <a:srgbClr val="47E5FF"/>
            </a:solidFill>
          </c:spPr>
          <c:invertIfNegative val="0"/>
          <c:dLbls>
            <c:dLbl>
              <c:idx val="27"/>
              <c:layout>
                <c:manualLayout>
                  <c:x val="0"/>
                  <c:y val="4.2443672251039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D0-4BE4-9205-25FA734F9C05}"/>
                </c:ext>
              </c:extLst>
            </c:dLbl>
            <c:dLbl>
              <c:idx val="28"/>
              <c:layout>
                <c:manualLayout>
                  <c:x val="0"/>
                  <c:y val="5.04780472036890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D58-4582-8D62-764B6ACE107C}"/>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D_ENG!$K$461:$K$489</c:f>
              <c:strCache>
                <c:ptCount val="29"/>
                <c:pt idx="0">
                  <c:v>Denmark**</c:v>
                </c:pt>
                <c:pt idx="1">
                  <c:v>Estonia</c:v>
                </c:pt>
                <c:pt idx="2">
                  <c:v>Finland**</c:v>
                </c:pt>
                <c:pt idx="3">
                  <c:v>Netherlands</c:v>
                </c:pt>
                <c:pt idx="4">
                  <c:v>Italy**</c:v>
                </c:pt>
                <c:pt idx="5">
                  <c:v>Czech Republic</c:v>
                </c:pt>
                <c:pt idx="6">
                  <c:v>Lithuania</c:v>
                </c:pt>
                <c:pt idx="7">
                  <c:v>Slovenia**</c:v>
                </c:pt>
                <c:pt idx="8">
                  <c:v>Spain</c:v>
                </c:pt>
                <c:pt idx="9">
                  <c:v>Latvia</c:v>
                </c:pt>
                <c:pt idx="10">
                  <c:v>Sweden**</c:v>
                </c:pt>
                <c:pt idx="11">
                  <c:v>United Kingdom**</c:v>
                </c:pt>
                <c:pt idx="12">
                  <c:v>Belgium</c:v>
                </c:pt>
                <c:pt idx="13">
                  <c:v>Malta**</c:v>
                </c:pt>
                <c:pt idx="14">
                  <c:v>Austria**</c:v>
                </c:pt>
                <c:pt idx="15">
                  <c:v>Cyprus</c:v>
                </c:pt>
                <c:pt idx="16">
                  <c:v>Ireland**</c:v>
                </c:pt>
                <c:pt idx="17">
                  <c:v>EU28**</c:v>
                </c:pt>
                <c:pt idx="18">
                  <c:v>France**</c:v>
                </c:pt>
                <c:pt idx="19">
                  <c:v>Luxembourg**</c:v>
                </c:pt>
                <c:pt idx="20">
                  <c:v>Poland</c:v>
                </c:pt>
                <c:pt idx="21">
                  <c:v>Croatia</c:v>
                </c:pt>
                <c:pt idx="22">
                  <c:v>Germany</c:v>
                </c:pt>
                <c:pt idx="23">
                  <c:v>Slovakia</c:v>
                </c:pt>
                <c:pt idx="24">
                  <c:v>Portugal**</c:v>
                </c:pt>
                <c:pt idx="25">
                  <c:v>Bulgaria</c:v>
                </c:pt>
                <c:pt idx="26">
                  <c:v>Romania</c:v>
                </c:pt>
                <c:pt idx="27">
                  <c:v>Greece</c:v>
                </c:pt>
                <c:pt idx="28">
                  <c:v>Hungary</c:v>
                </c:pt>
              </c:strCache>
            </c:strRef>
          </c:cat>
          <c:val>
            <c:numRef>
              <c:f>D_ENG!$M$461:$M$489</c:f>
              <c:numCache>
                <c:formatCode>0%</c:formatCode>
                <c:ptCount val="29"/>
                <c:pt idx="0">
                  <c:v>0.63976100000000002</c:v>
                </c:pt>
                <c:pt idx="1">
                  <c:v>0.19737199999999999</c:v>
                </c:pt>
                <c:pt idx="2">
                  <c:v>0.71818300000000002</c:v>
                </c:pt>
                <c:pt idx="3">
                  <c:v>0.18976999999999999</c:v>
                </c:pt>
                <c:pt idx="4">
                  <c:v>0.30262899999999998</c:v>
                </c:pt>
                <c:pt idx="5">
                  <c:v>0.183919</c:v>
                </c:pt>
                <c:pt idx="6">
                  <c:v>0.23622699999999999</c:v>
                </c:pt>
                <c:pt idx="7">
                  <c:v>0.56672999999999996</c:v>
                </c:pt>
                <c:pt idx="8">
                  <c:v>0.317278</c:v>
                </c:pt>
                <c:pt idx="9">
                  <c:v>0.170184</c:v>
                </c:pt>
                <c:pt idx="10">
                  <c:v>0.33120500000000003</c:v>
                </c:pt>
                <c:pt idx="11">
                  <c:v>5.1623000000000002E-2</c:v>
                </c:pt>
                <c:pt idx="12">
                  <c:v>0.18342900000000001</c:v>
                </c:pt>
                <c:pt idx="13">
                  <c:v>8.9709999999999998E-2</c:v>
                </c:pt>
                <c:pt idx="14">
                  <c:v>0.24924099999999999</c:v>
                </c:pt>
                <c:pt idx="15">
                  <c:v>8.7565000000000004E-2</c:v>
                </c:pt>
                <c:pt idx="16">
                  <c:v>0.154365</c:v>
                </c:pt>
                <c:pt idx="17">
                  <c:v>0.17719799999999999</c:v>
                </c:pt>
                <c:pt idx="18">
                  <c:v>0.148563</c:v>
                </c:pt>
                <c:pt idx="19">
                  <c:v>0.108761</c:v>
                </c:pt>
                <c:pt idx="20">
                  <c:v>0.132108</c:v>
                </c:pt>
                <c:pt idx="21">
                  <c:v>0.111801</c:v>
                </c:pt>
                <c:pt idx="22">
                  <c:v>0.17207</c:v>
                </c:pt>
                <c:pt idx="23">
                  <c:v>0.178837</c:v>
                </c:pt>
                <c:pt idx="24">
                  <c:v>0.19000800000000001</c:v>
                </c:pt>
                <c:pt idx="25">
                  <c:v>0.120376</c:v>
                </c:pt>
                <c:pt idx="26">
                  <c:v>0.108624</c:v>
                </c:pt>
                <c:pt idx="27">
                  <c:v>6.4757999999999996E-2</c:v>
                </c:pt>
                <c:pt idx="28">
                  <c:v>8.4418000000000007E-2</c:v>
                </c:pt>
              </c:numCache>
            </c:numRef>
          </c:val>
          <c:extLst>
            <c:ext xmlns:c16="http://schemas.microsoft.com/office/drawing/2014/chart" uri="{C3380CC4-5D6E-409C-BE32-E72D297353CC}">
              <c16:uniqueId val="{0000001B-DD58-4582-8D62-764B6ACE107C}"/>
            </c:ext>
          </c:extLst>
        </c:ser>
        <c:dLbls>
          <c:showLegendKey val="0"/>
          <c:showVal val="0"/>
          <c:showCatName val="0"/>
          <c:showSerName val="0"/>
          <c:showPercent val="0"/>
          <c:showBubbleSize val="0"/>
        </c:dLbls>
        <c:gapWidth val="200"/>
        <c:axId val="195823104"/>
        <c:axId val="185125120"/>
      </c:barChart>
      <c:catAx>
        <c:axId val="195378176"/>
        <c:scaling>
          <c:orientation val="minMax"/>
        </c:scaling>
        <c:delete val="0"/>
        <c:axPos val="b"/>
        <c:numFmt formatCode="General" sourceLinked="0"/>
        <c:majorTickMark val="out"/>
        <c:minorTickMark val="none"/>
        <c:tickLblPos val="nextTo"/>
        <c:spPr>
          <a:ln w="3175">
            <a:solidFill>
              <a:schemeClr val="tx1"/>
            </a:solidFill>
          </a:ln>
        </c:spPr>
        <c:crossAx val="185124544"/>
        <c:crosses val="autoZero"/>
        <c:auto val="1"/>
        <c:lblAlgn val="ctr"/>
        <c:lblOffset val="100"/>
        <c:noMultiLvlLbl val="0"/>
      </c:catAx>
      <c:valAx>
        <c:axId val="185124544"/>
        <c:scaling>
          <c:orientation val="minMax"/>
          <c:max val="1"/>
          <c:min val="0"/>
        </c:scaling>
        <c:delete val="1"/>
        <c:axPos val="l"/>
        <c:numFmt formatCode="0%" sourceLinked="1"/>
        <c:majorTickMark val="out"/>
        <c:minorTickMark val="none"/>
        <c:tickLblPos val="nextTo"/>
        <c:crossAx val="195378176"/>
        <c:crosses val="autoZero"/>
        <c:crossBetween val="between"/>
        <c:majorUnit val="0.25"/>
        <c:minorUnit val="0.05"/>
      </c:valAx>
      <c:valAx>
        <c:axId val="185125120"/>
        <c:scaling>
          <c:orientation val="minMax"/>
          <c:max val="1"/>
        </c:scaling>
        <c:delete val="0"/>
        <c:axPos val="r"/>
        <c:numFmt formatCode="0%" sourceLinked="1"/>
        <c:majorTickMark val="none"/>
        <c:minorTickMark val="none"/>
        <c:tickLblPos val="none"/>
        <c:crossAx val="195823104"/>
        <c:crosses val="max"/>
        <c:crossBetween val="between"/>
        <c:majorUnit val="0.25"/>
      </c:valAx>
      <c:catAx>
        <c:axId val="195823104"/>
        <c:scaling>
          <c:orientation val="minMax"/>
        </c:scaling>
        <c:delete val="1"/>
        <c:axPos val="b"/>
        <c:numFmt formatCode="General" sourceLinked="0"/>
        <c:majorTickMark val="out"/>
        <c:minorTickMark val="none"/>
        <c:tickLblPos val="none"/>
        <c:crossAx val="18512512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70367680764312801"/>
          <c:y val="0.13253055555555601"/>
          <c:w val="0.23522835291563099"/>
          <c:h val="0.13598086419753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58572936788878982"/>
        </c:manualLayout>
      </c:layout>
      <c:barChart>
        <c:barDir val="col"/>
        <c:grouping val="clustered"/>
        <c:varyColors val="0"/>
        <c:ser>
          <c:idx val="0"/>
          <c:order val="0"/>
          <c:tx>
            <c:strRef>
              <c:f>D_ENG!$H$479</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D_ENG!$G$480:$G$483</c:f>
              <c:strCache>
                <c:ptCount val="4"/>
                <c:pt idx="0">
                  <c:v>Total</c:v>
                </c:pt>
                <c:pt idx="1">
                  <c:v>Small</c:v>
                </c:pt>
                <c:pt idx="2">
                  <c:v>Medium</c:v>
                </c:pt>
                <c:pt idx="3">
                  <c:v>Large</c:v>
                </c:pt>
              </c:strCache>
            </c:strRef>
          </c:cat>
          <c:val>
            <c:numRef>
              <c:f>D_ENG!$H$480:$H$483</c:f>
              <c:numCache>
                <c:formatCode>0%</c:formatCode>
                <c:ptCount val="4"/>
                <c:pt idx="0">
                  <c:v>0.22</c:v>
                </c:pt>
                <c:pt idx="1">
                  <c:v>0.19</c:v>
                </c:pt>
                <c:pt idx="2">
                  <c:v>0.28999999999999998</c:v>
                </c:pt>
                <c:pt idx="3">
                  <c:v>0.4</c:v>
                </c:pt>
              </c:numCache>
            </c:numRef>
          </c:val>
          <c:extLst>
            <c:ext xmlns:c16="http://schemas.microsoft.com/office/drawing/2014/chart" uri="{C3380CC4-5D6E-409C-BE32-E72D297353CC}">
              <c16:uniqueId val="{00000000-EA79-40F9-B6B9-1B718E51470B}"/>
            </c:ext>
          </c:extLst>
        </c:ser>
        <c:ser>
          <c:idx val="1"/>
          <c:order val="1"/>
          <c:tx>
            <c:strRef>
              <c:f>D_ENG!$I$479</c:f>
              <c:strCache>
                <c:ptCount val="1"/>
                <c:pt idx="0">
                  <c:v> 2009</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D_ENG!$G$480:$G$483</c:f>
              <c:strCache>
                <c:ptCount val="4"/>
                <c:pt idx="0">
                  <c:v>Total</c:v>
                </c:pt>
                <c:pt idx="1">
                  <c:v>Small</c:v>
                </c:pt>
                <c:pt idx="2">
                  <c:v>Medium</c:v>
                </c:pt>
                <c:pt idx="3">
                  <c:v>Large</c:v>
                </c:pt>
              </c:strCache>
            </c:strRef>
          </c:cat>
          <c:val>
            <c:numRef>
              <c:f>D_ENG!$I$480:$I$483</c:f>
              <c:numCache>
                <c:formatCode>0%</c:formatCode>
                <c:ptCount val="4"/>
                <c:pt idx="0">
                  <c:v>0.36</c:v>
                </c:pt>
                <c:pt idx="1">
                  <c:v>0.34</c:v>
                </c:pt>
                <c:pt idx="2">
                  <c:v>0.43</c:v>
                </c:pt>
                <c:pt idx="3">
                  <c:v>0.57999999999999996</c:v>
                </c:pt>
              </c:numCache>
            </c:numRef>
          </c:val>
          <c:extLst>
            <c:ext xmlns:c16="http://schemas.microsoft.com/office/drawing/2014/chart" uri="{C3380CC4-5D6E-409C-BE32-E72D297353CC}">
              <c16:uniqueId val="{00000001-EA79-40F9-B6B9-1B718E51470B}"/>
            </c:ext>
          </c:extLst>
        </c:ser>
        <c:ser>
          <c:idx val="2"/>
          <c:order val="2"/>
          <c:tx>
            <c:strRef>
              <c:f>D_ENG!$J$479</c:f>
              <c:strCache>
                <c:ptCount val="1"/>
                <c:pt idx="0">
                  <c:v> 2016</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D_ENG!$G$480:$G$483</c:f>
              <c:strCache>
                <c:ptCount val="4"/>
                <c:pt idx="0">
                  <c:v>Total</c:v>
                </c:pt>
                <c:pt idx="1">
                  <c:v>Small</c:v>
                </c:pt>
                <c:pt idx="2">
                  <c:v>Medium</c:v>
                </c:pt>
                <c:pt idx="3">
                  <c:v>Large</c:v>
                </c:pt>
              </c:strCache>
            </c:strRef>
          </c:cat>
          <c:val>
            <c:numRef>
              <c:f>D_ENG!$J$480:$J$483</c:f>
              <c:numCache>
                <c:formatCode>0%</c:formatCode>
                <c:ptCount val="4"/>
                <c:pt idx="0">
                  <c:v>0.56999999999999995</c:v>
                </c:pt>
                <c:pt idx="1">
                  <c:v>0.54</c:v>
                </c:pt>
                <c:pt idx="2">
                  <c:v>0.67</c:v>
                </c:pt>
                <c:pt idx="3">
                  <c:v>0.8</c:v>
                </c:pt>
              </c:numCache>
            </c:numRef>
          </c:val>
          <c:extLst>
            <c:ext xmlns:c16="http://schemas.microsoft.com/office/drawing/2014/chart" uri="{C3380CC4-5D6E-409C-BE32-E72D297353CC}">
              <c16:uniqueId val="{00000002-EA79-40F9-B6B9-1B718E51470B}"/>
            </c:ext>
          </c:extLst>
        </c:ser>
        <c:dLbls>
          <c:showLegendKey val="0"/>
          <c:showVal val="1"/>
          <c:showCatName val="0"/>
          <c:showSerName val="0"/>
          <c:showPercent val="0"/>
          <c:showBubbleSize val="0"/>
        </c:dLbls>
        <c:gapWidth val="50"/>
        <c:overlap val="1"/>
        <c:axId val="195822080"/>
        <c:axId val="185126848"/>
      </c:barChart>
      <c:catAx>
        <c:axId val="195822080"/>
        <c:scaling>
          <c:orientation val="minMax"/>
        </c:scaling>
        <c:delete val="0"/>
        <c:axPos val="b"/>
        <c:numFmt formatCode="General" sourceLinked="1"/>
        <c:majorTickMark val="out"/>
        <c:minorTickMark val="none"/>
        <c:tickLblPos val="nextTo"/>
        <c:spPr>
          <a:ln w="3175">
            <a:solidFill>
              <a:schemeClr val="tx1"/>
            </a:solidFill>
          </a:ln>
        </c:spPr>
        <c:crossAx val="185126848"/>
        <c:crosses val="autoZero"/>
        <c:auto val="1"/>
        <c:lblAlgn val="ctr"/>
        <c:lblOffset val="100"/>
        <c:noMultiLvlLbl val="0"/>
      </c:catAx>
      <c:valAx>
        <c:axId val="185126848"/>
        <c:scaling>
          <c:orientation val="minMax"/>
          <c:max val="1"/>
          <c:min val="0"/>
        </c:scaling>
        <c:delete val="0"/>
        <c:axPos val="l"/>
        <c:numFmt formatCode="0%" sourceLinked="1"/>
        <c:majorTickMark val="none"/>
        <c:minorTickMark val="none"/>
        <c:tickLblPos val="none"/>
        <c:crossAx val="195822080"/>
        <c:crosses val="autoZero"/>
        <c:crossBetween val="between"/>
      </c:valAx>
      <c:spPr>
        <a:ln w="12700">
          <a:solidFill>
            <a:srgbClr val="A6A6A6"/>
          </a:solidFill>
        </a:ln>
      </c:spPr>
    </c:plotArea>
    <c:legend>
      <c:legendPos val="t"/>
      <c:layout>
        <c:manualLayout>
          <c:xMode val="edge"/>
          <c:yMode val="edge"/>
          <c:x val="0.134556430446194"/>
          <c:y val="0.22664684771546401"/>
          <c:w val="0.44906456692913399"/>
          <c:h val="0.10099041191279701"/>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Figure D31 Value of enterprises' electronic purchases in the Czech Republic (%)*</a:t>
            </a:r>
          </a:p>
        </c:rich>
      </c:tx>
      <c:layout>
        <c:manualLayout>
          <c:xMode val="edge"/>
          <c:yMode val="edge"/>
          <c:x val="0.13804594016601801"/>
          <c:y val="1.8264840182648401E-2"/>
        </c:manualLayout>
      </c:layout>
      <c:overlay val="0"/>
    </c:title>
    <c:autoTitleDeleted val="0"/>
    <c:plotArea>
      <c:layout>
        <c:manualLayout>
          <c:layoutTarget val="inner"/>
          <c:xMode val="edge"/>
          <c:yMode val="edge"/>
          <c:x val="9.9463115779306305E-2"/>
          <c:y val="0.283558048394636"/>
          <c:w val="0.84619086965577295"/>
          <c:h val="0.53600474598209502"/>
        </c:manualLayout>
      </c:layout>
      <c:barChart>
        <c:barDir val="bar"/>
        <c:grouping val="stacked"/>
        <c:varyColors val="0"/>
        <c:ser>
          <c:idx val="0"/>
          <c:order val="0"/>
          <c:tx>
            <c:strRef>
              <c:f>D_ENG!$G$493</c:f>
              <c:strCache>
                <c:ptCount val="1"/>
                <c:pt idx="0">
                  <c:v> Via a website or "apps"</c:v>
                </c:pt>
              </c:strCache>
            </c:strRef>
          </c:tx>
          <c:spPr>
            <a:solidFill>
              <a:srgbClr val="009BB4"/>
            </a:solidFill>
          </c:spPr>
          <c:invertIfNegative val="0"/>
          <c:dLbls>
            <c:numFmt formatCode="0%" sourceLinked="0"/>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D_ENG!$H$492:$L$492</c:f>
              <c:numCache>
                <c:formatCode>General</c:formatCode>
                <c:ptCount val="5"/>
                <c:pt idx="0">
                  <c:v>2008</c:v>
                </c:pt>
                <c:pt idx="1">
                  <c:v>2010</c:v>
                </c:pt>
                <c:pt idx="2">
                  <c:v>2012</c:v>
                </c:pt>
                <c:pt idx="3">
                  <c:v>2014</c:v>
                </c:pt>
                <c:pt idx="4">
                  <c:v>2016</c:v>
                </c:pt>
              </c:numCache>
            </c:numRef>
          </c:cat>
          <c:val>
            <c:numRef>
              <c:f>D_ENG!$H$493:$L$493</c:f>
              <c:numCache>
                <c:formatCode>0%</c:formatCode>
                <c:ptCount val="5"/>
                <c:pt idx="0">
                  <c:v>0.05</c:v>
                </c:pt>
                <c:pt idx="1">
                  <c:v>7.0000000000000007E-2</c:v>
                </c:pt>
                <c:pt idx="2">
                  <c:v>0.09</c:v>
                </c:pt>
                <c:pt idx="3">
                  <c:v>0.12</c:v>
                </c:pt>
                <c:pt idx="4">
                  <c:v>0.15</c:v>
                </c:pt>
              </c:numCache>
            </c:numRef>
          </c:val>
          <c:extLst>
            <c:ext xmlns:c16="http://schemas.microsoft.com/office/drawing/2014/chart" uri="{C3380CC4-5D6E-409C-BE32-E72D297353CC}">
              <c16:uniqueId val="{00000000-BA44-4445-AFF2-F15AE4E39451}"/>
            </c:ext>
          </c:extLst>
        </c:ser>
        <c:ser>
          <c:idx val="1"/>
          <c:order val="1"/>
          <c:tx>
            <c:strRef>
              <c:f>D_ENG!$G$494</c:f>
              <c:strCache>
                <c:ptCount val="1"/>
                <c:pt idx="0">
                  <c:v> Via EDI-type messages</c:v>
                </c:pt>
              </c:strCache>
            </c:strRef>
          </c:tx>
          <c:spPr>
            <a:solidFill>
              <a:srgbClr val="47E5FF"/>
            </a:solidFill>
          </c:spPr>
          <c:invertIfNegative val="0"/>
          <c:dLbls>
            <c:numFmt formatCode="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D_ENG!$H$492:$L$492</c:f>
              <c:numCache>
                <c:formatCode>General</c:formatCode>
                <c:ptCount val="5"/>
                <c:pt idx="0">
                  <c:v>2008</c:v>
                </c:pt>
                <c:pt idx="1">
                  <c:v>2010</c:v>
                </c:pt>
                <c:pt idx="2">
                  <c:v>2012</c:v>
                </c:pt>
                <c:pt idx="3">
                  <c:v>2014</c:v>
                </c:pt>
                <c:pt idx="4">
                  <c:v>2016</c:v>
                </c:pt>
              </c:numCache>
            </c:numRef>
          </c:cat>
          <c:val>
            <c:numRef>
              <c:f>D_ENG!$H$494:$L$494</c:f>
              <c:numCache>
                <c:formatCode>0%</c:formatCode>
                <c:ptCount val="5"/>
                <c:pt idx="0">
                  <c:v>0.13</c:v>
                </c:pt>
                <c:pt idx="1">
                  <c:v>0.18</c:v>
                </c:pt>
                <c:pt idx="2">
                  <c:v>0.22</c:v>
                </c:pt>
                <c:pt idx="3">
                  <c:v>0.24</c:v>
                </c:pt>
                <c:pt idx="4">
                  <c:v>0.26</c:v>
                </c:pt>
              </c:numCache>
            </c:numRef>
          </c:val>
          <c:extLst>
            <c:ext xmlns:c16="http://schemas.microsoft.com/office/drawing/2014/chart" uri="{C3380CC4-5D6E-409C-BE32-E72D297353CC}">
              <c16:uniqueId val="{00000001-BA44-4445-AFF2-F15AE4E39451}"/>
            </c:ext>
          </c:extLst>
        </c:ser>
        <c:dLbls>
          <c:showLegendKey val="0"/>
          <c:showVal val="0"/>
          <c:showCatName val="0"/>
          <c:showSerName val="0"/>
          <c:showPercent val="0"/>
          <c:showBubbleSize val="0"/>
        </c:dLbls>
        <c:gapWidth val="50"/>
        <c:overlap val="100"/>
        <c:axId val="195821568"/>
        <c:axId val="185128576"/>
      </c:barChart>
      <c:catAx>
        <c:axId val="195821568"/>
        <c:scaling>
          <c:orientation val="minMax"/>
        </c:scaling>
        <c:delete val="0"/>
        <c:axPos val="l"/>
        <c:numFmt formatCode="General" sourceLinked="1"/>
        <c:majorTickMark val="out"/>
        <c:minorTickMark val="none"/>
        <c:tickLblPos val="nextTo"/>
        <c:spPr>
          <a:ln w="3175">
            <a:solidFill>
              <a:schemeClr val="tx1"/>
            </a:solidFill>
          </a:ln>
        </c:spPr>
        <c:crossAx val="185128576"/>
        <c:crosses val="autoZero"/>
        <c:auto val="1"/>
        <c:lblAlgn val="ctr"/>
        <c:lblOffset val="100"/>
        <c:noMultiLvlLbl val="0"/>
      </c:catAx>
      <c:valAx>
        <c:axId val="185128576"/>
        <c:scaling>
          <c:orientation val="minMax"/>
          <c:max val="0.45"/>
          <c:min val="0"/>
        </c:scaling>
        <c:delete val="0"/>
        <c:axPos val="b"/>
        <c:numFmt formatCode="0%" sourceLinked="0"/>
        <c:majorTickMark val="none"/>
        <c:minorTickMark val="none"/>
        <c:tickLblPos val="nextTo"/>
        <c:crossAx val="195821568"/>
        <c:crosses val="autoZero"/>
        <c:crossBetween val="between"/>
        <c:majorUnit val="0.05"/>
        <c:minorUnit val="0.01"/>
      </c:valAx>
      <c:spPr>
        <a:ln w="12700">
          <a:solidFill>
            <a:srgbClr val="A6A6A6"/>
          </a:solidFill>
        </a:ln>
      </c:spPr>
    </c:plotArea>
    <c:legend>
      <c:legendPos val="t"/>
      <c:layout>
        <c:manualLayout>
          <c:xMode val="edge"/>
          <c:yMode val="edge"/>
          <c:x val="0.116794329280269"/>
          <c:y val="0.13826481032431501"/>
          <c:w val="0.74581498741228802"/>
          <c:h val="0.116222288822894"/>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D3</a:t>
            </a:r>
            <a:r>
              <a:rPr lang="cs-CZ" sz="800"/>
              <a:t>2</a:t>
            </a:r>
            <a:r>
              <a:rPr lang="en-US" sz="800"/>
              <a:t> Enterprises in EU countries that purchased (placed orders) </a:t>
            </a:r>
            <a:endParaRPr lang="cs-CZ" sz="800"/>
          </a:p>
          <a:p>
            <a:pPr>
              <a:defRPr sz="800"/>
            </a:pPr>
            <a:r>
              <a:rPr lang="en-US" sz="800"/>
              <a:t>over computer networks</a:t>
            </a:r>
            <a:r>
              <a:rPr lang="cs-CZ" sz="800"/>
              <a:t>;</a:t>
            </a:r>
            <a:r>
              <a:rPr lang="cs-CZ" sz="800" baseline="0"/>
              <a:t> </a:t>
            </a:r>
            <a:r>
              <a:rPr lang="cs-CZ" sz="800"/>
              <a:t>2</a:t>
            </a:r>
            <a:r>
              <a:rPr lang="en-US" sz="800"/>
              <a:t>016</a:t>
            </a:r>
            <a:r>
              <a:rPr lang="cs-CZ" sz="800"/>
              <a:t> </a:t>
            </a:r>
            <a:r>
              <a:rPr lang="en-US" sz="800"/>
              <a:t>(%)</a:t>
            </a:r>
            <a:r>
              <a:rPr lang="cs-CZ" sz="800"/>
              <a:t>*</a:t>
            </a:r>
            <a:endParaRPr lang="en-US" sz="800"/>
          </a:p>
        </c:rich>
      </c:tx>
      <c:layout>
        <c:manualLayout>
          <c:xMode val="edge"/>
          <c:yMode val="edge"/>
          <c:x val="0.246116432242032"/>
          <c:y val="1.1759259259259301E-2"/>
        </c:manualLayout>
      </c:layout>
      <c:overlay val="0"/>
    </c:title>
    <c:autoTitleDeleted val="0"/>
    <c:plotArea>
      <c:layout>
        <c:manualLayout>
          <c:layoutTarget val="inner"/>
          <c:xMode val="edge"/>
          <c:yMode val="edge"/>
          <c:x val="6.5949831649831703E-2"/>
          <c:y val="0.10228368055555601"/>
          <c:w val="0.89986454356707501"/>
          <c:h val="0.56754999751076396"/>
        </c:manualLayout>
      </c:layout>
      <c:barChart>
        <c:barDir val="col"/>
        <c:grouping val="clustered"/>
        <c:varyColors val="0"/>
        <c:ser>
          <c:idx val="0"/>
          <c:order val="0"/>
          <c:spPr>
            <a:solidFill>
              <a:srgbClr val="009BB4"/>
            </a:solidFill>
            <a:ln>
              <a:noFill/>
            </a:ln>
          </c:spPr>
          <c:invertIfNegative val="0"/>
          <c:dPt>
            <c:idx val="1"/>
            <c:invertIfNegative val="0"/>
            <c:bubble3D val="0"/>
            <c:spPr>
              <a:solidFill>
                <a:srgbClr val="47E5FF"/>
              </a:solidFill>
              <a:ln>
                <a:solidFill>
                  <a:srgbClr val="FF0000"/>
                </a:solidFill>
              </a:ln>
            </c:spPr>
            <c:extLst>
              <c:ext xmlns:c16="http://schemas.microsoft.com/office/drawing/2014/chart" uri="{C3380CC4-5D6E-409C-BE32-E72D297353CC}">
                <c16:uniqueId val="{00000001-9E7D-4E26-98C3-1814C51E361B}"/>
              </c:ext>
            </c:extLst>
          </c:dPt>
          <c:dPt>
            <c:idx val="6"/>
            <c:invertIfNegative val="0"/>
            <c:bubble3D val="0"/>
            <c:spPr>
              <a:solidFill>
                <a:srgbClr val="009BB4"/>
              </a:solidFill>
              <a:ln w="19050">
                <a:noFill/>
              </a:ln>
            </c:spPr>
            <c:extLst>
              <c:ext xmlns:c16="http://schemas.microsoft.com/office/drawing/2014/chart" uri="{C3380CC4-5D6E-409C-BE32-E72D297353CC}">
                <c16:uniqueId val="{00000003-9E7D-4E26-98C3-1814C51E361B}"/>
              </c:ext>
            </c:extLst>
          </c:dPt>
          <c:dPt>
            <c:idx val="8"/>
            <c:invertIfNegative val="0"/>
            <c:bubble3D val="0"/>
            <c:spPr>
              <a:solidFill>
                <a:srgbClr val="009BB4"/>
              </a:solidFill>
              <a:ln w="19050">
                <a:noFill/>
              </a:ln>
            </c:spPr>
            <c:extLst>
              <c:ext xmlns:c16="http://schemas.microsoft.com/office/drawing/2014/chart" uri="{C3380CC4-5D6E-409C-BE32-E72D297353CC}">
                <c16:uniqueId val="{00000005-9E7D-4E26-98C3-1814C51E361B}"/>
              </c:ext>
            </c:extLst>
          </c:dPt>
          <c:dPt>
            <c:idx val="9"/>
            <c:invertIfNegative val="0"/>
            <c:bubble3D val="0"/>
            <c:spPr>
              <a:solidFill>
                <a:srgbClr val="47E5FF"/>
              </a:solidFill>
              <a:ln w="9525">
                <a:solidFill>
                  <a:srgbClr val="FF0000"/>
                </a:solidFill>
              </a:ln>
            </c:spPr>
            <c:extLst>
              <c:ext xmlns:c16="http://schemas.microsoft.com/office/drawing/2014/chart" uri="{C3380CC4-5D6E-409C-BE32-E72D297353CC}">
                <c16:uniqueId val="{00000007-9E7D-4E26-98C3-1814C51E361B}"/>
              </c:ext>
            </c:extLst>
          </c:dPt>
          <c:dPt>
            <c:idx val="11"/>
            <c:invertIfNegative val="0"/>
            <c:bubble3D val="0"/>
            <c:spPr>
              <a:solidFill>
                <a:srgbClr val="009BB4"/>
              </a:solidFill>
              <a:ln w="19050">
                <a:noFill/>
              </a:ln>
            </c:spPr>
            <c:extLst>
              <c:ext xmlns:c16="http://schemas.microsoft.com/office/drawing/2014/chart" uri="{C3380CC4-5D6E-409C-BE32-E72D297353CC}">
                <c16:uniqueId val="{00000009-9E7D-4E26-98C3-1814C51E361B}"/>
              </c:ext>
            </c:extLst>
          </c:dPt>
          <c:dPt>
            <c:idx val="13"/>
            <c:invertIfNegative val="0"/>
            <c:bubble3D val="0"/>
            <c:spPr>
              <a:solidFill>
                <a:srgbClr val="009BB4"/>
              </a:solidFill>
              <a:ln w="19050">
                <a:noFill/>
              </a:ln>
            </c:spPr>
            <c:extLst>
              <c:ext xmlns:c16="http://schemas.microsoft.com/office/drawing/2014/chart" uri="{C3380CC4-5D6E-409C-BE32-E72D297353CC}">
                <c16:uniqueId val="{0000000B-9E7D-4E26-98C3-1814C51E361B}"/>
              </c:ext>
            </c:extLst>
          </c:dPt>
          <c:dPt>
            <c:idx val="15"/>
            <c:invertIfNegative val="0"/>
            <c:bubble3D val="0"/>
            <c:spPr>
              <a:solidFill>
                <a:srgbClr val="009BB4"/>
              </a:solidFill>
              <a:ln w="19050">
                <a:noFill/>
              </a:ln>
            </c:spPr>
            <c:extLst>
              <c:ext xmlns:c16="http://schemas.microsoft.com/office/drawing/2014/chart" uri="{C3380CC4-5D6E-409C-BE32-E72D297353CC}">
                <c16:uniqueId val="{0000000D-9E7D-4E26-98C3-1814C51E361B}"/>
              </c:ext>
            </c:extLst>
          </c:dPt>
          <c:dPt>
            <c:idx val="16"/>
            <c:invertIfNegative val="0"/>
            <c:bubble3D val="0"/>
            <c:spPr>
              <a:solidFill>
                <a:srgbClr val="009BB4"/>
              </a:solidFill>
              <a:ln w="19050">
                <a:noFill/>
              </a:ln>
            </c:spPr>
            <c:extLst>
              <c:ext xmlns:c16="http://schemas.microsoft.com/office/drawing/2014/chart" uri="{C3380CC4-5D6E-409C-BE32-E72D297353CC}">
                <c16:uniqueId val="{0000000F-9E7D-4E26-98C3-1814C51E361B}"/>
              </c:ext>
            </c:extLst>
          </c:dPt>
          <c:dPt>
            <c:idx val="19"/>
            <c:invertIfNegative val="0"/>
            <c:bubble3D val="0"/>
            <c:spPr>
              <a:solidFill>
                <a:srgbClr val="009BB4"/>
              </a:solidFill>
              <a:ln w="19050">
                <a:noFill/>
              </a:ln>
            </c:spPr>
            <c:extLst>
              <c:ext xmlns:c16="http://schemas.microsoft.com/office/drawing/2014/chart" uri="{C3380CC4-5D6E-409C-BE32-E72D297353CC}">
                <c16:uniqueId val="{00000011-9E7D-4E26-98C3-1814C51E361B}"/>
              </c:ext>
            </c:extLst>
          </c:dPt>
          <c:dPt>
            <c:idx val="20"/>
            <c:invertIfNegative val="0"/>
            <c:bubble3D val="0"/>
            <c:spPr>
              <a:solidFill>
                <a:srgbClr val="009BB4"/>
              </a:solidFill>
              <a:ln w="19050">
                <a:noFill/>
              </a:ln>
            </c:spPr>
            <c:extLst>
              <c:ext xmlns:c16="http://schemas.microsoft.com/office/drawing/2014/chart" uri="{C3380CC4-5D6E-409C-BE32-E72D297353CC}">
                <c16:uniqueId val="{00000013-9E7D-4E26-98C3-1814C51E361B}"/>
              </c:ext>
            </c:extLst>
          </c:dPt>
          <c:dPt>
            <c:idx val="23"/>
            <c:invertIfNegative val="0"/>
            <c:bubble3D val="0"/>
            <c:spPr>
              <a:solidFill>
                <a:srgbClr val="009BB4"/>
              </a:solidFill>
              <a:ln w="19050">
                <a:noFill/>
              </a:ln>
            </c:spPr>
            <c:extLst>
              <c:ext xmlns:c16="http://schemas.microsoft.com/office/drawing/2014/chart" uri="{C3380CC4-5D6E-409C-BE32-E72D297353CC}">
                <c16:uniqueId val="{00000015-9E7D-4E26-98C3-1814C51E361B}"/>
              </c:ext>
            </c:extLst>
          </c:dPt>
          <c:dPt>
            <c:idx val="27"/>
            <c:invertIfNegative val="0"/>
            <c:bubble3D val="0"/>
            <c:spPr>
              <a:solidFill>
                <a:srgbClr val="009BB4"/>
              </a:solidFill>
              <a:ln w="19050">
                <a:noFill/>
              </a:ln>
            </c:spPr>
            <c:extLst>
              <c:ext xmlns:c16="http://schemas.microsoft.com/office/drawing/2014/chart" uri="{C3380CC4-5D6E-409C-BE32-E72D297353CC}">
                <c16:uniqueId val="{00000017-9E7D-4E26-98C3-1814C51E361B}"/>
              </c:ext>
            </c:extLst>
          </c:dPt>
          <c:dLbls>
            <c:dLbl>
              <c:idx val="1"/>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9E7D-4E26-98C3-1814C51E361B}"/>
                </c:ext>
              </c:extLst>
            </c:dLbl>
            <c:dLbl>
              <c:idx val="9"/>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7-9E7D-4E26-98C3-1814C51E361B}"/>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D_ENG!$K$505:$K$533</c:f>
              <c:strCache>
                <c:ptCount val="29"/>
                <c:pt idx="0">
                  <c:v>Portugal</c:v>
                </c:pt>
                <c:pt idx="1">
                  <c:v>Czech Republic</c:v>
                </c:pt>
                <c:pt idx="2">
                  <c:v>Germany</c:v>
                </c:pt>
                <c:pt idx="3">
                  <c:v>Malta</c:v>
                </c:pt>
                <c:pt idx="4">
                  <c:v>Spain</c:v>
                </c:pt>
                <c:pt idx="5">
                  <c:v>United Kingdom**</c:v>
                </c:pt>
                <c:pt idx="6">
                  <c:v>Finland</c:v>
                </c:pt>
                <c:pt idx="7">
                  <c:v>Sweden</c:v>
                </c:pt>
                <c:pt idx="8">
                  <c:v>Croatia</c:v>
                </c:pt>
                <c:pt idx="9">
                  <c:v>EU28</c:v>
                </c:pt>
                <c:pt idx="10">
                  <c:v>Belgium</c:v>
                </c:pt>
                <c:pt idx="11">
                  <c:v>Ireland</c:v>
                </c:pt>
                <c:pt idx="12">
                  <c:v>Italy</c:v>
                </c:pt>
                <c:pt idx="13">
                  <c:v>Latvia</c:v>
                </c:pt>
                <c:pt idx="14">
                  <c:v>Luxembourg </c:v>
                </c:pt>
                <c:pt idx="15">
                  <c:v>Hungary**</c:v>
                </c:pt>
                <c:pt idx="16">
                  <c:v>Netherlands</c:v>
                </c:pt>
                <c:pt idx="17">
                  <c:v>Slovenia</c:v>
                </c:pt>
                <c:pt idx="18">
                  <c:v>Lithuania</c:v>
                </c:pt>
                <c:pt idx="19">
                  <c:v>Cyprus</c:v>
                </c:pt>
                <c:pt idx="20">
                  <c:v>France</c:v>
                </c:pt>
                <c:pt idx="21">
                  <c:v>Poland</c:v>
                </c:pt>
                <c:pt idx="22">
                  <c:v>Denmark</c:v>
                </c:pt>
                <c:pt idx="23">
                  <c:v>Slovakia**</c:v>
                </c:pt>
                <c:pt idx="24">
                  <c:v>Estonia**</c:v>
                </c:pt>
                <c:pt idx="25">
                  <c:v>Greece</c:v>
                </c:pt>
                <c:pt idx="26">
                  <c:v>Bulgaria</c:v>
                </c:pt>
                <c:pt idx="27">
                  <c:v>Austria</c:v>
                </c:pt>
                <c:pt idx="28">
                  <c:v>Romania</c:v>
                </c:pt>
              </c:strCache>
            </c:strRef>
          </c:cat>
          <c:val>
            <c:numRef>
              <c:f>D_ENG!$L$505:$L$533</c:f>
              <c:numCache>
                <c:formatCode>0%</c:formatCode>
                <c:ptCount val="29"/>
                <c:pt idx="0">
                  <c:v>0.626</c:v>
                </c:pt>
                <c:pt idx="1">
                  <c:v>0.57299999999999995</c:v>
                </c:pt>
                <c:pt idx="2">
                  <c:v>0.56899999999999995</c:v>
                </c:pt>
                <c:pt idx="3">
                  <c:v>0.55600000000000005</c:v>
                </c:pt>
                <c:pt idx="4">
                  <c:v>0.55600000000000005</c:v>
                </c:pt>
                <c:pt idx="5">
                  <c:v>0.54242100000000004</c:v>
                </c:pt>
                <c:pt idx="6">
                  <c:v>0.51</c:v>
                </c:pt>
                <c:pt idx="7">
                  <c:v>0.50800000000000001</c:v>
                </c:pt>
                <c:pt idx="8">
                  <c:v>0.47799999999999998</c:v>
                </c:pt>
                <c:pt idx="9">
                  <c:v>0.44600000000000001</c:v>
                </c:pt>
                <c:pt idx="10">
                  <c:v>0.441</c:v>
                </c:pt>
                <c:pt idx="11">
                  <c:v>0.42699999999999999</c:v>
                </c:pt>
                <c:pt idx="12">
                  <c:v>0.41499999999999998</c:v>
                </c:pt>
                <c:pt idx="13">
                  <c:v>0.378</c:v>
                </c:pt>
                <c:pt idx="14">
                  <c:v>0.376</c:v>
                </c:pt>
                <c:pt idx="15">
                  <c:v>0.36689500000000003</c:v>
                </c:pt>
                <c:pt idx="16">
                  <c:v>0.32500000000000001</c:v>
                </c:pt>
                <c:pt idx="17">
                  <c:v>0.316</c:v>
                </c:pt>
                <c:pt idx="18">
                  <c:v>0.314</c:v>
                </c:pt>
                <c:pt idx="19">
                  <c:v>0.28199999999999997</c:v>
                </c:pt>
                <c:pt idx="20">
                  <c:v>0.25800000000000001</c:v>
                </c:pt>
                <c:pt idx="21">
                  <c:v>0.255</c:v>
                </c:pt>
                <c:pt idx="22">
                  <c:v>0.254</c:v>
                </c:pt>
                <c:pt idx="23">
                  <c:v>0.24818999999999999</c:v>
                </c:pt>
                <c:pt idx="24">
                  <c:v>0.245925</c:v>
                </c:pt>
                <c:pt idx="25">
                  <c:v>0.221</c:v>
                </c:pt>
                <c:pt idx="26">
                  <c:v>0.13</c:v>
                </c:pt>
                <c:pt idx="27">
                  <c:v>0.121</c:v>
                </c:pt>
                <c:pt idx="28">
                  <c:v>0.105</c:v>
                </c:pt>
              </c:numCache>
            </c:numRef>
          </c:val>
          <c:extLst>
            <c:ext xmlns:c16="http://schemas.microsoft.com/office/drawing/2014/chart" uri="{C3380CC4-5D6E-409C-BE32-E72D297353CC}">
              <c16:uniqueId val="{00000018-9E7D-4E26-98C3-1814C51E361B}"/>
            </c:ext>
          </c:extLst>
        </c:ser>
        <c:dLbls>
          <c:showLegendKey val="0"/>
          <c:showVal val="0"/>
          <c:showCatName val="0"/>
          <c:showSerName val="0"/>
          <c:showPercent val="0"/>
          <c:showBubbleSize val="0"/>
        </c:dLbls>
        <c:gapWidth val="50"/>
        <c:axId val="195916800"/>
        <c:axId val="195969024"/>
      </c:barChart>
      <c:catAx>
        <c:axId val="195916800"/>
        <c:scaling>
          <c:orientation val="minMax"/>
        </c:scaling>
        <c:delete val="0"/>
        <c:axPos val="b"/>
        <c:numFmt formatCode="General" sourceLinked="0"/>
        <c:majorTickMark val="out"/>
        <c:minorTickMark val="none"/>
        <c:tickLblPos val="nextTo"/>
        <c:spPr>
          <a:ln w="3175">
            <a:solidFill>
              <a:schemeClr val="tx1"/>
            </a:solidFill>
          </a:ln>
        </c:spPr>
        <c:crossAx val="195969024"/>
        <c:crosses val="autoZero"/>
        <c:auto val="1"/>
        <c:lblAlgn val="ctr"/>
        <c:lblOffset val="100"/>
        <c:noMultiLvlLbl val="0"/>
      </c:catAx>
      <c:valAx>
        <c:axId val="195969024"/>
        <c:scaling>
          <c:orientation val="minMax"/>
          <c:max val="0.75"/>
          <c:min val="0"/>
        </c:scaling>
        <c:delete val="1"/>
        <c:axPos val="l"/>
        <c:numFmt formatCode="0%" sourceLinked="1"/>
        <c:majorTickMark val="out"/>
        <c:minorTickMark val="none"/>
        <c:tickLblPos val="nextTo"/>
        <c:crossAx val="195916800"/>
        <c:crosses val="autoZero"/>
        <c:crossBetween val="between"/>
        <c:majorUnit val="0.15"/>
        <c:minorUnit val="0.05"/>
      </c:valAx>
      <c:spPr>
        <a:ln>
          <a:solidFill>
            <a:schemeClr val="tx1">
              <a:tint val="75000"/>
              <a:shade val="95000"/>
              <a:satMod val="105000"/>
            </a:schemeClr>
          </a:solidFill>
        </a:ln>
      </c:spPr>
    </c:plotArea>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60648486809634472"/>
        </c:manualLayout>
      </c:layout>
      <c:barChart>
        <c:barDir val="col"/>
        <c:grouping val="clustered"/>
        <c:varyColors val="0"/>
        <c:ser>
          <c:idx val="0"/>
          <c:order val="0"/>
          <c:tx>
            <c:strRef>
              <c:f>D_ENG!$H$535</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D_ENG!$G$536:$G$539</c:f>
              <c:strCache>
                <c:ptCount val="4"/>
                <c:pt idx="0">
                  <c:v>Total</c:v>
                </c:pt>
                <c:pt idx="1">
                  <c:v>Small</c:v>
                </c:pt>
                <c:pt idx="2">
                  <c:v>Medium</c:v>
                </c:pt>
                <c:pt idx="3">
                  <c:v>Large</c:v>
                </c:pt>
              </c:strCache>
            </c:strRef>
          </c:cat>
          <c:val>
            <c:numRef>
              <c:f>D_ENG!$H$536:$H$539</c:f>
              <c:numCache>
                <c:formatCode>0%</c:formatCode>
                <c:ptCount val="4"/>
                <c:pt idx="0">
                  <c:v>0.18</c:v>
                </c:pt>
                <c:pt idx="1">
                  <c:v>0.16</c:v>
                </c:pt>
                <c:pt idx="2">
                  <c:v>0.24</c:v>
                </c:pt>
                <c:pt idx="3">
                  <c:v>0.27</c:v>
                </c:pt>
              </c:numCache>
            </c:numRef>
          </c:val>
          <c:extLst>
            <c:ext xmlns:c16="http://schemas.microsoft.com/office/drawing/2014/chart" uri="{C3380CC4-5D6E-409C-BE32-E72D297353CC}">
              <c16:uniqueId val="{00000000-F17A-469B-8EA3-8763B22C54CE}"/>
            </c:ext>
          </c:extLst>
        </c:ser>
        <c:ser>
          <c:idx val="1"/>
          <c:order val="1"/>
          <c:tx>
            <c:strRef>
              <c:f>D_ENG!$I$535</c:f>
              <c:strCache>
                <c:ptCount val="1"/>
                <c:pt idx="0">
                  <c:v> 2009</c:v>
                </c:pt>
              </c:strCache>
            </c:strRef>
          </c:tx>
          <c:spPr>
            <a:solidFill>
              <a:srgbClr val="47E5FF"/>
            </a:solidFill>
          </c:spPr>
          <c:invertIfNegative val="0"/>
          <c:dLbls>
            <c:numFmt formatCode="0%" sourceLinked="0"/>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D_ENG!$G$536:$G$539</c:f>
              <c:strCache>
                <c:ptCount val="4"/>
                <c:pt idx="0">
                  <c:v>Total</c:v>
                </c:pt>
                <c:pt idx="1">
                  <c:v>Small</c:v>
                </c:pt>
                <c:pt idx="2">
                  <c:v>Medium</c:v>
                </c:pt>
                <c:pt idx="3">
                  <c:v>Large</c:v>
                </c:pt>
              </c:strCache>
            </c:strRef>
          </c:cat>
          <c:val>
            <c:numRef>
              <c:f>D_ENG!$I$536:$I$539</c:f>
              <c:numCache>
                <c:formatCode>0%</c:formatCode>
                <c:ptCount val="4"/>
                <c:pt idx="0">
                  <c:v>0.21</c:v>
                </c:pt>
                <c:pt idx="1">
                  <c:v>0.19</c:v>
                </c:pt>
                <c:pt idx="2">
                  <c:v>0.25</c:v>
                </c:pt>
                <c:pt idx="3">
                  <c:v>0.39</c:v>
                </c:pt>
              </c:numCache>
            </c:numRef>
          </c:val>
          <c:extLst>
            <c:ext xmlns:c16="http://schemas.microsoft.com/office/drawing/2014/chart" uri="{C3380CC4-5D6E-409C-BE32-E72D297353CC}">
              <c16:uniqueId val="{00000001-F17A-469B-8EA3-8763B22C54CE}"/>
            </c:ext>
          </c:extLst>
        </c:ser>
        <c:ser>
          <c:idx val="2"/>
          <c:order val="2"/>
          <c:tx>
            <c:strRef>
              <c:f>D_ENG!$J$535</c:f>
              <c:strCache>
                <c:ptCount val="1"/>
                <c:pt idx="0">
                  <c:v> 2016</c:v>
                </c:pt>
              </c:strCache>
            </c:strRef>
          </c:tx>
          <c:spPr>
            <a:solidFill>
              <a:srgbClr val="009BB4"/>
            </a:solidFill>
          </c:spPr>
          <c:invertIfNegative val="0"/>
          <c:dLbls>
            <c:dLbl>
              <c:idx val="0"/>
              <c:layout>
                <c:manualLayout>
                  <c:x val="0"/>
                  <c:y val="0.127955956724921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A-469B-8EA3-8763B22C54CE}"/>
                </c:ext>
              </c:extLst>
            </c:dLbl>
            <c:numFmt formatCode="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D_ENG!$G$536:$G$539</c:f>
              <c:strCache>
                <c:ptCount val="4"/>
                <c:pt idx="0">
                  <c:v>Total</c:v>
                </c:pt>
                <c:pt idx="1">
                  <c:v>Small</c:v>
                </c:pt>
                <c:pt idx="2">
                  <c:v>Medium</c:v>
                </c:pt>
                <c:pt idx="3">
                  <c:v>Large</c:v>
                </c:pt>
              </c:strCache>
            </c:strRef>
          </c:cat>
          <c:val>
            <c:numRef>
              <c:f>D_ENG!$J$536:$J$539</c:f>
              <c:numCache>
                <c:formatCode>0%</c:formatCode>
                <c:ptCount val="4"/>
                <c:pt idx="0">
                  <c:v>0.24</c:v>
                </c:pt>
                <c:pt idx="1">
                  <c:v>0.21</c:v>
                </c:pt>
                <c:pt idx="2">
                  <c:v>0.32</c:v>
                </c:pt>
                <c:pt idx="3">
                  <c:v>0.49</c:v>
                </c:pt>
              </c:numCache>
            </c:numRef>
          </c:val>
          <c:extLst>
            <c:ext xmlns:c16="http://schemas.microsoft.com/office/drawing/2014/chart" uri="{C3380CC4-5D6E-409C-BE32-E72D297353CC}">
              <c16:uniqueId val="{00000003-F17A-469B-8EA3-8763B22C54CE}"/>
            </c:ext>
          </c:extLst>
        </c:ser>
        <c:dLbls>
          <c:showLegendKey val="0"/>
          <c:showVal val="1"/>
          <c:showCatName val="0"/>
          <c:showSerName val="0"/>
          <c:showPercent val="0"/>
          <c:showBubbleSize val="0"/>
        </c:dLbls>
        <c:gapWidth val="50"/>
        <c:overlap val="1"/>
        <c:axId val="195220992"/>
        <c:axId val="195970176"/>
      </c:barChart>
      <c:catAx>
        <c:axId val="195220992"/>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95970176"/>
        <c:crosses val="autoZero"/>
        <c:auto val="1"/>
        <c:lblAlgn val="ctr"/>
        <c:lblOffset val="100"/>
        <c:noMultiLvlLbl val="0"/>
      </c:catAx>
      <c:valAx>
        <c:axId val="195970176"/>
        <c:scaling>
          <c:orientation val="minMax"/>
          <c:max val="1"/>
          <c:min val="0"/>
        </c:scaling>
        <c:delete val="0"/>
        <c:axPos val="l"/>
        <c:numFmt formatCode="0%" sourceLinked="1"/>
        <c:majorTickMark val="none"/>
        <c:minorTickMark val="none"/>
        <c:tickLblPos val="none"/>
        <c:crossAx val="195220992"/>
        <c:crosses val="autoZero"/>
        <c:crossBetween val="between"/>
      </c:valAx>
      <c:spPr>
        <a:ln w="12700">
          <a:solidFill>
            <a:srgbClr val="A6A6A6"/>
          </a:solidFill>
        </a:ln>
      </c:spPr>
    </c:plotArea>
    <c:legend>
      <c:legendPos val="t"/>
      <c:layout>
        <c:manualLayout>
          <c:xMode val="edge"/>
          <c:yMode val="edge"/>
          <c:x val="0.21455643044619399"/>
          <c:y val="0.206238684450158"/>
          <c:w val="0.520175678040245"/>
          <c:h val="0.10099041191279701"/>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Figure D34 Turnover from enterprises' electronic sales in the Czech Republic (%)*</a:t>
            </a:r>
          </a:p>
        </c:rich>
      </c:tx>
      <c:layout>
        <c:manualLayout>
          <c:xMode val="edge"/>
          <c:yMode val="edge"/>
          <c:x val="0.13804594016601754"/>
          <c:y val="1.8264840182648401E-2"/>
        </c:manualLayout>
      </c:layout>
      <c:overlay val="0"/>
    </c:title>
    <c:autoTitleDeleted val="0"/>
    <c:plotArea>
      <c:layout>
        <c:manualLayout>
          <c:layoutTarget val="inner"/>
          <c:xMode val="edge"/>
          <c:yMode val="edge"/>
          <c:x val="0.11873372971235738"/>
          <c:y val="0.32831802002333765"/>
          <c:w val="0.84619086965577306"/>
          <c:h val="0.48663116985843768"/>
        </c:manualLayout>
      </c:layout>
      <c:barChart>
        <c:barDir val="bar"/>
        <c:grouping val="stacked"/>
        <c:varyColors val="0"/>
        <c:ser>
          <c:idx val="0"/>
          <c:order val="0"/>
          <c:tx>
            <c:strRef>
              <c:f>D_ENG!$G$546</c:f>
              <c:strCache>
                <c:ptCount val="1"/>
                <c:pt idx="0">
                  <c:v> from Web sales (orders received via a website or "apps")</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D_ENG!$H$545:$L$545</c:f>
              <c:numCache>
                <c:formatCode>General</c:formatCode>
                <c:ptCount val="5"/>
                <c:pt idx="0">
                  <c:v>2008</c:v>
                </c:pt>
                <c:pt idx="1">
                  <c:v>2010</c:v>
                </c:pt>
                <c:pt idx="2">
                  <c:v>2012</c:v>
                </c:pt>
                <c:pt idx="3">
                  <c:v>2014</c:v>
                </c:pt>
                <c:pt idx="4">
                  <c:v>2016</c:v>
                </c:pt>
              </c:numCache>
            </c:numRef>
          </c:cat>
          <c:val>
            <c:numRef>
              <c:f>D_ENG!$H$546:$L$546</c:f>
              <c:numCache>
                <c:formatCode>0%</c:formatCode>
                <c:ptCount val="5"/>
                <c:pt idx="0">
                  <c:v>0.05</c:v>
                </c:pt>
                <c:pt idx="1">
                  <c:v>0.06</c:v>
                </c:pt>
                <c:pt idx="2">
                  <c:v>0.05</c:v>
                </c:pt>
                <c:pt idx="3">
                  <c:v>0.05</c:v>
                </c:pt>
                <c:pt idx="4">
                  <c:v>0.09</c:v>
                </c:pt>
              </c:numCache>
            </c:numRef>
          </c:val>
          <c:extLst>
            <c:ext xmlns:c16="http://schemas.microsoft.com/office/drawing/2014/chart" uri="{C3380CC4-5D6E-409C-BE32-E72D297353CC}">
              <c16:uniqueId val="{00000000-1A47-47BA-A063-73B548F2C324}"/>
            </c:ext>
          </c:extLst>
        </c:ser>
        <c:ser>
          <c:idx val="1"/>
          <c:order val="1"/>
          <c:tx>
            <c:strRef>
              <c:f>D_ENG!$G$547</c:f>
              <c:strCache>
                <c:ptCount val="1"/>
                <c:pt idx="0">
                  <c:v> from EDI**-type sales via the internet</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D_ENG!$H$545:$L$545</c:f>
              <c:numCache>
                <c:formatCode>General</c:formatCode>
                <c:ptCount val="5"/>
                <c:pt idx="0">
                  <c:v>2008</c:v>
                </c:pt>
                <c:pt idx="1">
                  <c:v>2010</c:v>
                </c:pt>
                <c:pt idx="2">
                  <c:v>2012</c:v>
                </c:pt>
                <c:pt idx="3">
                  <c:v>2014</c:v>
                </c:pt>
                <c:pt idx="4">
                  <c:v>2016</c:v>
                </c:pt>
              </c:numCache>
            </c:numRef>
          </c:cat>
          <c:val>
            <c:numRef>
              <c:f>D_ENG!$H$547:$L$547</c:f>
              <c:numCache>
                <c:formatCode>0%</c:formatCode>
                <c:ptCount val="5"/>
                <c:pt idx="0">
                  <c:v>0.06</c:v>
                </c:pt>
                <c:pt idx="1">
                  <c:v>0.11</c:v>
                </c:pt>
                <c:pt idx="2">
                  <c:v>0.1</c:v>
                </c:pt>
                <c:pt idx="3">
                  <c:v>0.13</c:v>
                </c:pt>
                <c:pt idx="4">
                  <c:v>0.13</c:v>
                </c:pt>
              </c:numCache>
            </c:numRef>
          </c:val>
          <c:extLst>
            <c:ext xmlns:c16="http://schemas.microsoft.com/office/drawing/2014/chart" uri="{C3380CC4-5D6E-409C-BE32-E72D297353CC}">
              <c16:uniqueId val="{00000001-1A47-47BA-A063-73B548F2C324}"/>
            </c:ext>
          </c:extLst>
        </c:ser>
        <c:ser>
          <c:idx val="2"/>
          <c:order val="2"/>
          <c:tx>
            <c:strRef>
              <c:f>D_ENG!$G$548</c:f>
              <c:strCache>
                <c:ptCount val="1"/>
                <c:pt idx="0">
                  <c:v> from EDI**-type sales via other computer networks</c:v>
                </c:pt>
              </c:strCache>
            </c:strRef>
          </c:tx>
          <c:spPr>
            <a:solidFill>
              <a:srgbClr val="8BF1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D_ENG!$H$545:$L$545</c:f>
              <c:numCache>
                <c:formatCode>General</c:formatCode>
                <c:ptCount val="5"/>
                <c:pt idx="0">
                  <c:v>2008</c:v>
                </c:pt>
                <c:pt idx="1">
                  <c:v>2010</c:v>
                </c:pt>
                <c:pt idx="2">
                  <c:v>2012</c:v>
                </c:pt>
                <c:pt idx="3">
                  <c:v>2014</c:v>
                </c:pt>
                <c:pt idx="4">
                  <c:v>2016</c:v>
                </c:pt>
              </c:numCache>
            </c:numRef>
          </c:cat>
          <c:val>
            <c:numRef>
              <c:f>D_ENG!$H$548:$L$548</c:f>
              <c:numCache>
                <c:formatCode>0%</c:formatCode>
                <c:ptCount val="5"/>
                <c:pt idx="0">
                  <c:v>0.04</c:v>
                </c:pt>
                <c:pt idx="1">
                  <c:v>0.05</c:v>
                </c:pt>
                <c:pt idx="2">
                  <c:v>0.1</c:v>
                </c:pt>
                <c:pt idx="3">
                  <c:v>0.11</c:v>
                </c:pt>
                <c:pt idx="4">
                  <c:v>0.1</c:v>
                </c:pt>
              </c:numCache>
            </c:numRef>
          </c:val>
          <c:extLst>
            <c:ext xmlns:c16="http://schemas.microsoft.com/office/drawing/2014/chart" uri="{C3380CC4-5D6E-409C-BE32-E72D297353CC}">
              <c16:uniqueId val="{00000002-1A47-47BA-A063-73B548F2C324}"/>
            </c:ext>
          </c:extLst>
        </c:ser>
        <c:dLbls>
          <c:showLegendKey val="0"/>
          <c:showVal val="0"/>
          <c:showCatName val="0"/>
          <c:showSerName val="0"/>
          <c:showPercent val="0"/>
          <c:showBubbleSize val="0"/>
        </c:dLbls>
        <c:gapWidth val="50"/>
        <c:overlap val="100"/>
        <c:axId val="247759360"/>
        <c:axId val="248979456"/>
      </c:barChart>
      <c:catAx>
        <c:axId val="247759360"/>
        <c:scaling>
          <c:orientation val="minMax"/>
        </c:scaling>
        <c:delete val="0"/>
        <c:axPos val="l"/>
        <c:numFmt formatCode="General" sourceLinked="1"/>
        <c:majorTickMark val="out"/>
        <c:minorTickMark val="none"/>
        <c:tickLblPos val="nextTo"/>
        <c:spPr>
          <a:ln w="3175">
            <a:solidFill>
              <a:schemeClr val="tx1"/>
            </a:solidFill>
          </a:ln>
        </c:spPr>
        <c:crossAx val="248979456"/>
        <c:crosses val="autoZero"/>
        <c:auto val="1"/>
        <c:lblAlgn val="ctr"/>
        <c:lblOffset val="100"/>
        <c:noMultiLvlLbl val="0"/>
      </c:catAx>
      <c:valAx>
        <c:axId val="248979456"/>
        <c:scaling>
          <c:orientation val="minMax"/>
          <c:max val="0.35000000000000003"/>
          <c:min val="0"/>
        </c:scaling>
        <c:delete val="0"/>
        <c:axPos val="b"/>
        <c:numFmt formatCode="0%" sourceLinked="1"/>
        <c:majorTickMark val="out"/>
        <c:minorTickMark val="none"/>
        <c:tickLblPos val="nextTo"/>
        <c:crossAx val="247759360"/>
        <c:crosses val="autoZero"/>
        <c:crossBetween val="between"/>
        <c:majorUnit val="5.000000000000001E-2"/>
        <c:minorUnit val="1.0000000000000002E-2"/>
      </c:valAx>
      <c:spPr>
        <a:ln w="12700">
          <a:solidFill>
            <a:srgbClr val="A6A6A6"/>
          </a:solidFill>
        </a:ln>
      </c:spPr>
    </c:plotArea>
    <c:legend>
      <c:legendPos val="t"/>
      <c:layout>
        <c:manualLayout>
          <c:xMode val="edge"/>
          <c:yMode val="edge"/>
          <c:x val="5.7379969471437489E-2"/>
          <c:y val="0.11981036972454566"/>
          <c:w val="0.90487607168655604"/>
          <c:h val="0.1808673511078861"/>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38872296135399E-2"/>
          <c:y val="0.16301230158730201"/>
          <c:w val="0.95492225540772901"/>
          <c:h val="0.637262698412698"/>
        </c:manualLayout>
      </c:layout>
      <c:barChart>
        <c:barDir val="col"/>
        <c:grouping val="clustered"/>
        <c:varyColors val="0"/>
        <c:ser>
          <c:idx val="2"/>
          <c:order val="0"/>
          <c:tx>
            <c:strRef>
              <c:f>A_EN!$A$147</c:f>
              <c:strCache>
                <c:ptCount val="1"/>
                <c:pt idx="0">
                  <c:v>Average price per called minute</c:v>
                </c:pt>
              </c:strCache>
            </c:strRef>
          </c:tx>
          <c:spPr>
            <a:solidFill>
              <a:srgbClr val="009BB4"/>
            </a:solidFill>
            <a:ln w="25400">
              <a:noFill/>
            </a:ln>
          </c:spPr>
          <c:invertIfNegative val="0"/>
          <c:dLbls>
            <c:numFmt formatCode="#,##0.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A_EN!$B$146:$L$146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A_EN!$B$147:$L$147</c:f>
              <c:numCache>
                <c:formatCode>0.00</c:formatCode>
                <c:ptCount val="11"/>
                <c:pt idx="0">
                  <c:v>4.84</c:v>
                </c:pt>
                <c:pt idx="1">
                  <c:v>4.43</c:v>
                </c:pt>
                <c:pt idx="2">
                  <c:v>3.81</c:v>
                </c:pt>
                <c:pt idx="3">
                  <c:v>3.17</c:v>
                </c:pt>
                <c:pt idx="4">
                  <c:v>2.99</c:v>
                </c:pt>
                <c:pt idx="5">
                  <c:v>2.4500000000000002</c:v>
                </c:pt>
                <c:pt idx="6">
                  <c:v>2.19</c:v>
                </c:pt>
                <c:pt idx="7">
                  <c:v>1.6</c:v>
                </c:pt>
                <c:pt idx="8">
                  <c:v>1.24</c:v>
                </c:pt>
                <c:pt idx="9">
                  <c:v>1.1000000000000001</c:v>
                </c:pt>
                <c:pt idx="10">
                  <c:v>0.98</c:v>
                </c:pt>
              </c:numCache>
            </c:numRef>
          </c:val>
          <c:extLst>
            <c:ext xmlns:c16="http://schemas.microsoft.com/office/drawing/2014/chart" uri="{C3380CC4-5D6E-409C-BE32-E72D297353CC}">
              <c16:uniqueId val="{00000000-84C3-4632-966B-FB30D8449C7F}"/>
            </c:ext>
          </c:extLst>
        </c:ser>
        <c:dLbls>
          <c:showLegendKey val="0"/>
          <c:showVal val="0"/>
          <c:showCatName val="0"/>
          <c:showSerName val="0"/>
          <c:showPercent val="0"/>
          <c:showBubbleSize val="0"/>
        </c:dLbls>
        <c:gapWidth val="40"/>
        <c:axId val="154163200"/>
        <c:axId val="151107200"/>
      </c:barChart>
      <c:catAx>
        <c:axId val="154163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1107200"/>
        <c:crosses val="autoZero"/>
        <c:auto val="1"/>
        <c:lblAlgn val="ctr"/>
        <c:lblOffset val="140"/>
        <c:tickLblSkip val="1"/>
        <c:tickMarkSkip val="1"/>
        <c:noMultiLvlLbl val="0"/>
      </c:catAx>
      <c:valAx>
        <c:axId val="151107200"/>
        <c:scaling>
          <c:orientation val="minMax"/>
          <c:max val="5"/>
          <c:min val="0"/>
        </c:scaling>
        <c:delete val="0"/>
        <c:axPos val="l"/>
        <c:numFmt formatCode="0.00" sourceLinked="1"/>
        <c:majorTickMark val="none"/>
        <c:minorTickMark val="none"/>
        <c:tickLblPos val="none"/>
        <c:spPr>
          <a:ln w="9525">
            <a:noFill/>
          </a:ln>
        </c:spPr>
        <c:crossAx val="154163200"/>
        <c:crosses val="autoZero"/>
        <c:crossBetween val="between"/>
        <c:majorUnit val="1"/>
        <c:minorUnit val="0.1"/>
      </c:valAx>
      <c:spPr>
        <a:noFill/>
        <a:ln w="12700">
          <a:solidFill>
            <a:srgbClr val="969696"/>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cs-CZ" sz="800"/>
              <a:t>Figure</a:t>
            </a:r>
            <a:r>
              <a:rPr lang="en-US" sz="800"/>
              <a:t> </a:t>
            </a:r>
            <a:r>
              <a:rPr lang="cs-CZ" sz="800"/>
              <a:t>D35</a:t>
            </a:r>
            <a:r>
              <a:rPr lang="en-US" sz="800"/>
              <a:t> </a:t>
            </a:r>
            <a:r>
              <a:rPr lang="cs-CZ" sz="800"/>
              <a:t>Enterprises in EU countries selling over computer networks;</a:t>
            </a:r>
            <a:r>
              <a:rPr lang="cs-CZ" sz="800" baseline="0"/>
              <a:t> 2016 </a:t>
            </a:r>
            <a:r>
              <a:rPr lang="en-US" sz="800"/>
              <a:t>(%)</a:t>
            </a:r>
            <a:r>
              <a:rPr lang="cs-CZ" sz="800"/>
              <a:t>*</a:t>
            </a:r>
            <a:endParaRPr lang="en-US" sz="800"/>
          </a:p>
        </c:rich>
      </c:tx>
      <c:overlay val="0"/>
    </c:title>
    <c:autoTitleDeleted val="0"/>
    <c:plotArea>
      <c:layout>
        <c:manualLayout>
          <c:layoutTarget val="inner"/>
          <c:xMode val="edge"/>
          <c:yMode val="edge"/>
          <c:x val="4.96084344616275E-2"/>
          <c:y val="0.10228368055555601"/>
          <c:w val="0.92250154808720697"/>
          <c:h val="0.42471296711662099"/>
        </c:manualLayout>
      </c:layout>
      <c:barChart>
        <c:barDir val="col"/>
        <c:grouping val="clustered"/>
        <c:varyColors val="0"/>
        <c:ser>
          <c:idx val="0"/>
          <c:order val="0"/>
          <c:tx>
            <c:strRef>
              <c:f>D_ENG!$L$556</c:f>
              <c:strCache>
                <c:ptCount val="1"/>
                <c:pt idx="0">
                  <c:v> Total**</c:v>
                </c:pt>
              </c:strCache>
            </c:strRef>
          </c:tx>
          <c:spPr>
            <a:solidFill>
              <a:srgbClr val="009BB4"/>
            </a:solidFill>
          </c:spPr>
          <c:invertIfNegative val="0"/>
          <c:dPt>
            <c:idx val="6"/>
            <c:invertIfNegative val="0"/>
            <c:bubble3D val="0"/>
            <c:spPr>
              <a:solidFill>
                <a:srgbClr val="009BB4"/>
              </a:solidFill>
              <a:ln w="19050">
                <a:noFill/>
              </a:ln>
            </c:spPr>
            <c:extLst>
              <c:ext xmlns:c16="http://schemas.microsoft.com/office/drawing/2014/chart" uri="{C3380CC4-5D6E-409C-BE32-E72D297353CC}">
                <c16:uniqueId val="{00000001-C6ED-4E86-8285-4775DF07084F}"/>
              </c:ext>
            </c:extLst>
          </c:dPt>
          <c:dPt>
            <c:idx val="8"/>
            <c:invertIfNegative val="0"/>
            <c:bubble3D val="0"/>
            <c:spPr>
              <a:solidFill>
                <a:srgbClr val="009BB4"/>
              </a:solidFill>
              <a:ln w="9525">
                <a:solidFill>
                  <a:srgbClr val="FF0000"/>
                </a:solidFill>
              </a:ln>
            </c:spPr>
            <c:extLst>
              <c:ext xmlns:c16="http://schemas.microsoft.com/office/drawing/2014/chart" uri="{C3380CC4-5D6E-409C-BE32-E72D297353CC}">
                <c16:uniqueId val="{00000003-C6ED-4E86-8285-4775DF07084F}"/>
              </c:ext>
            </c:extLst>
          </c:dPt>
          <c:dPt>
            <c:idx val="11"/>
            <c:invertIfNegative val="0"/>
            <c:bubble3D val="0"/>
            <c:spPr>
              <a:solidFill>
                <a:srgbClr val="009BB4"/>
              </a:solidFill>
              <a:ln w="19050">
                <a:noFill/>
              </a:ln>
            </c:spPr>
            <c:extLst>
              <c:ext xmlns:c16="http://schemas.microsoft.com/office/drawing/2014/chart" uri="{C3380CC4-5D6E-409C-BE32-E72D297353CC}">
                <c16:uniqueId val="{00000005-C6ED-4E86-8285-4775DF07084F}"/>
              </c:ext>
            </c:extLst>
          </c:dPt>
          <c:dPt>
            <c:idx val="13"/>
            <c:invertIfNegative val="0"/>
            <c:bubble3D val="0"/>
            <c:spPr>
              <a:solidFill>
                <a:srgbClr val="009BB4"/>
              </a:solidFill>
              <a:ln w="19050">
                <a:noFill/>
              </a:ln>
            </c:spPr>
            <c:extLst>
              <c:ext xmlns:c16="http://schemas.microsoft.com/office/drawing/2014/chart" uri="{C3380CC4-5D6E-409C-BE32-E72D297353CC}">
                <c16:uniqueId val="{00000007-C6ED-4E86-8285-4775DF07084F}"/>
              </c:ext>
            </c:extLst>
          </c:dPt>
          <c:dPt>
            <c:idx val="14"/>
            <c:invertIfNegative val="0"/>
            <c:bubble3D val="0"/>
            <c:spPr>
              <a:solidFill>
                <a:srgbClr val="009BB4"/>
              </a:solidFill>
              <a:ln w="9525">
                <a:solidFill>
                  <a:srgbClr val="FF0000"/>
                </a:solidFill>
              </a:ln>
            </c:spPr>
            <c:extLst>
              <c:ext xmlns:c16="http://schemas.microsoft.com/office/drawing/2014/chart" uri="{C3380CC4-5D6E-409C-BE32-E72D297353CC}">
                <c16:uniqueId val="{00000009-C6ED-4E86-8285-4775DF07084F}"/>
              </c:ext>
            </c:extLst>
          </c:dPt>
          <c:dPt>
            <c:idx val="15"/>
            <c:invertIfNegative val="0"/>
            <c:bubble3D val="0"/>
            <c:spPr>
              <a:solidFill>
                <a:srgbClr val="009BB4"/>
              </a:solidFill>
              <a:ln w="19050">
                <a:noFill/>
              </a:ln>
            </c:spPr>
            <c:extLst>
              <c:ext xmlns:c16="http://schemas.microsoft.com/office/drawing/2014/chart" uri="{C3380CC4-5D6E-409C-BE32-E72D297353CC}">
                <c16:uniqueId val="{0000000B-C6ED-4E86-8285-4775DF07084F}"/>
              </c:ext>
            </c:extLst>
          </c:dPt>
          <c:dPt>
            <c:idx val="16"/>
            <c:invertIfNegative val="0"/>
            <c:bubble3D val="0"/>
            <c:spPr>
              <a:solidFill>
                <a:srgbClr val="009BB4"/>
              </a:solidFill>
              <a:ln w="19050">
                <a:noFill/>
              </a:ln>
            </c:spPr>
            <c:extLst>
              <c:ext xmlns:c16="http://schemas.microsoft.com/office/drawing/2014/chart" uri="{C3380CC4-5D6E-409C-BE32-E72D297353CC}">
                <c16:uniqueId val="{0000000D-C6ED-4E86-8285-4775DF07084F}"/>
              </c:ext>
            </c:extLst>
          </c:dPt>
          <c:dPt>
            <c:idx val="18"/>
            <c:invertIfNegative val="0"/>
            <c:bubble3D val="0"/>
            <c:spPr>
              <a:solidFill>
                <a:srgbClr val="009BB4"/>
              </a:solidFill>
              <a:ln w="19050">
                <a:noFill/>
              </a:ln>
            </c:spPr>
            <c:extLst>
              <c:ext xmlns:c16="http://schemas.microsoft.com/office/drawing/2014/chart" uri="{C3380CC4-5D6E-409C-BE32-E72D297353CC}">
                <c16:uniqueId val="{0000000F-C6ED-4E86-8285-4775DF07084F}"/>
              </c:ext>
            </c:extLst>
          </c:dPt>
          <c:dPt>
            <c:idx val="20"/>
            <c:invertIfNegative val="0"/>
            <c:bubble3D val="0"/>
            <c:spPr>
              <a:solidFill>
                <a:srgbClr val="009BB4"/>
              </a:solidFill>
              <a:ln w="19050">
                <a:noFill/>
              </a:ln>
            </c:spPr>
            <c:extLst>
              <c:ext xmlns:c16="http://schemas.microsoft.com/office/drawing/2014/chart" uri="{C3380CC4-5D6E-409C-BE32-E72D297353CC}">
                <c16:uniqueId val="{00000011-C6ED-4E86-8285-4775DF07084F}"/>
              </c:ext>
            </c:extLst>
          </c:dPt>
          <c:dLbls>
            <c:dLbl>
              <c:idx val="21"/>
              <c:layout>
                <c:manualLayout>
                  <c:x val="-1.4979413650759201E-16"/>
                  <c:y val="7.6014028791647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ED-4E86-8285-4775DF07084F}"/>
                </c:ext>
              </c:extLst>
            </c:dLbl>
            <c:dLbl>
              <c:idx val="22"/>
              <c:layout>
                <c:manualLayout>
                  <c:x val="-2.0426709128487201E-3"/>
                  <c:y val="8.63724970433505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6ED-4E86-8285-4775DF07084F}"/>
                </c:ext>
              </c:extLst>
            </c:dLbl>
            <c:dLbl>
              <c:idx val="23"/>
              <c:layout>
                <c:manualLayout>
                  <c:x val="0"/>
                  <c:y val="7.94668515422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6ED-4E86-8285-4775DF07084F}"/>
                </c:ext>
              </c:extLst>
            </c:dLbl>
            <c:dLbl>
              <c:idx val="24"/>
              <c:layout>
                <c:manualLayout>
                  <c:x val="0"/>
                  <c:y val="7.94668515422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6ED-4E86-8285-4775DF07084F}"/>
                </c:ext>
              </c:extLst>
            </c:dLbl>
            <c:dLbl>
              <c:idx val="25"/>
              <c:layout>
                <c:manualLayout>
                  <c:x val="-1.4979413650759201E-16"/>
                  <c:y val="7.6014028791647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6ED-4E86-8285-4775DF07084F}"/>
                </c:ext>
              </c:extLst>
            </c:dLbl>
            <c:dLbl>
              <c:idx val="26"/>
              <c:layout>
                <c:manualLayout>
                  <c:x val="-2.0426709128487201E-3"/>
                  <c:y val="8.29196742927830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6ED-4E86-8285-4775DF07084F}"/>
                </c:ext>
              </c:extLst>
            </c:dLbl>
            <c:dLbl>
              <c:idx val="27"/>
              <c:layout>
                <c:manualLayout>
                  <c:x val="-2.0426709128487201E-3"/>
                  <c:y val="7.6014028791647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6ED-4E86-8285-4775DF07084F}"/>
                </c:ext>
              </c:extLst>
            </c:dLbl>
            <c:dLbl>
              <c:idx val="28"/>
              <c:layout>
                <c:manualLayout>
                  <c:x val="0"/>
                  <c:y val="5.3743050174680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6ED-4E86-8285-4775DF07084F}"/>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D_ENG!$K$557:$K$585</c:f>
              <c:strCache>
                <c:ptCount val="29"/>
                <c:pt idx="0">
                  <c:v>Ireland</c:v>
                </c:pt>
                <c:pt idx="1">
                  <c:v>Sweden</c:v>
                </c:pt>
                <c:pt idx="2">
                  <c:v>Denmark</c:v>
                </c:pt>
                <c:pt idx="3">
                  <c:v>Belgium</c:v>
                </c:pt>
                <c:pt idx="4">
                  <c:v>Germany</c:v>
                </c:pt>
                <c:pt idx="5">
                  <c:v>Netherlands</c:v>
                </c:pt>
                <c:pt idx="6">
                  <c:v>Slovenia</c:v>
                </c:pt>
                <c:pt idx="7">
                  <c:v>Finland</c:v>
                </c:pt>
                <c:pt idx="8">
                  <c:v>Czech Republic</c:v>
                </c:pt>
                <c:pt idx="9">
                  <c:v>Lithuania</c:v>
                </c:pt>
                <c:pt idx="10">
                  <c:v>United Kingdom</c:v>
                </c:pt>
                <c:pt idx="11">
                  <c:v>Austria</c:v>
                </c:pt>
                <c:pt idx="12">
                  <c:v>Spain</c:v>
                </c:pt>
                <c:pt idx="13">
                  <c:v>France</c:v>
                </c:pt>
                <c:pt idx="14">
                  <c:v>EU28</c:v>
                </c:pt>
                <c:pt idx="15">
                  <c:v>Malta</c:v>
                </c:pt>
                <c:pt idx="16">
                  <c:v>Estonia</c:v>
                </c:pt>
                <c:pt idx="17">
                  <c:v>Portugal</c:v>
                </c:pt>
                <c:pt idx="18">
                  <c:v>Croatia</c:v>
                </c:pt>
                <c:pt idx="19">
                  <c:v>Slovakia</c:v>
                </c:pt>
                <c:pt idx="20">
                  <c:v>Hungary</c:v>
                </c:pt>
                <c:pt idx="21">
                  <c:v>Cyprus</c:v>
                </c:pt>
                <c:pt idx="22">
                  <c:v>Luxembourg </c:v>
                </c:pt>
                <c:pt idx="23">
                  <c:v>Italy</c:v>
                </c:pt>
                <c:pt idx="24">
                  <c:v>Greece</c:v>
                </c:pt>
                <c:pt idx="25">
                  <c:v>Latvia</c:v>
                </c:pt>
                <c:pt idx="26">
                  <c:v>Poland</c:v>
                </c:pt>
                <c:pt idx="27">
                  <c:v>Bulgaria</c:v>
                </c:pt>
                <c:pt idx="28">
                  <c:v>Romania</c:v>
                </c:pt>
              </c:strCache>
            </c:strRef>
          </c:cat>
          <c:val>
            <c:numRef>
              <c:f>D_ENG!$L$557:$L$585</c:f>
              <c:numCache>
                <c:formatCode>0%</c:formatCode>
                <c:ptCount val="29"/>
                <c:pt idx="0">
                  <c:v>0.32800000000000001</c:v>
                </c:pt>
                <c:pt idx="1">
                  <c:v>0.31</c:v>
                </c:pt>
                <c:pt idx="2">
                  <c:v>0.30199999999999999</c:v>
                </c:pt>
                <c:pt idx="3">
                  <c:v>0.25800000000000001</c:v>
                </c:pt>
                <c:pt idx="4">
                  <c:v>0.25700000000000001</c:v>
                </c:pt>
                <c:pt idx="5">
                  <c:v>0.255</c:v>
                </c:pt>
                <c:pt idx="6">
                  <c:v>0.247</c:v>
                </c:pt>
                <c:pt idx="7">
                  <c:v>0.24199999999999999</c:v>
                </c:pt>
                <c:pt idx="8">
                  <c:v>0.24</c:v>
                </c:pt>
                <c:pt idx="9">
                  <c:v>0.22800000000000001</c:v>
                </c:pt>
                <c:pt idx="10">
                  <c:v>0.22500000000000001</c:v>
                </c:pt>
                <c:pt idx="11">
                  <c:v>0.21299999999999999</c:v>
                </c:pt>
                <c:pt idx="12">
                  <c:v>0.21299999999999999</c:v>
                </c:pt>
                <c:pt idx="13">
                  <c:v>0.20799999999999999</c:v>
                </c:pt>
                <c:pt idx="14">
                  <c:v>0.20399999999999999</c:v>
                </c:pt>
                <c:pt idx="15">
                  <c:v>0.193</c:v>
                </c:pt>
                <c:pt idx="16">
                  <c:v>0.191</c:v>
                </c:pt>
                <c:pt idx="17">
                  <c:v>0.182</c:v>
                </c:pt>
                <c:pt idx="18">
                  <c:v>0.18</c:v>
                </c:pt>
                <c:pt idx="19">
                  <c:v>0.17899999999999999</c:v>
                </c:pt>
                <c:pt idx="20">
                  <c:v>0.155</c:v>
                </c:pt>
                <c:pt idx="21">
                  <c:v>0.126</c:v>
                </c:pt>
                <c:pt idx="22">
                  <c:v>0.126</c:v>
                </c:pt>
                <c:pt idx="23">
                  <c:v>0.125</c:v>
                </c:pt>
                <c:pt idx="24">
                  <c:v>0.122</c:v>
                </c:pt>
                <c:pt idx="25">
                  <c:v>0.12</c:v>
                </c:pt>
                <c:pt idx="26">
                  <c:v>0.11799999999999999</c:v>
                </c:pt>
                <c:pt idx="27">
                  <c:v>0.105</c:v>
                </c:pt>
                <c:pt idx="28">
                  <c:v>8.4000000000000005E-2</c:v>
                </c:pt>
              </c:numCache>
            </c:numRef>
          </c:val>
          <c:extLst>
            <c:ext xmlns:c16="http://schemas.microsoft.com/office/drawing/2014/chart" uri="{C3380CC4-5D6E-409C-BE32-E72D297353CC}">
              <c16:uniqueId val="{0000001A-C6ED-4E86-8285-4775DF07084F}"/>
            </c:ext>
          </c:extLst>
        </c:ser>
        <c:dLbls>
          <c:showLegendKey val="0"/>
          <c:showVal val="0"/>
          <c:showCatName val="0"/>
          <c:showSerName val="0"/>
          <c:showPercent val="0"/>
          <c:showBubbleSize val="0"/>
        </c:dLbls>
        <c:gapWidth val="50"/>
        <c:axId val="195322368"/>
        <c:axId val="195974208"/>
      </c:barChart>
      <c:barChart>
        <c:barDir val="col"/>
        <c:grouping val="clustered"/>
        <c:varyColors val="0"/>
        <c:ser>
          <c:idx val="1"/>
          <c:order val="1"/>
          <c:tx>
            <c:strRef>
              <c:f>D_ENG!$M$556</c:f>
              <c:strCache>
                <c:ptCount val="1"/>
                <c:pt idx="0">
                  <c:v> via EDI-type messages***</c:v>
                </c:pt>
              </c:strCache>
            </c:strRef>
          </c:tx>
          <c:spPr>
            <a:solidFill>
              <a:srgbClr val="47E5FF"/>
            </a:solidFill>
          </c:spPr>
          <c:invertIfNegative val="0"/>
          <c:dLbls>
            <c:dLbl>
              <c:idx val="28"/>
              <c:layout>
                <c:manualLayout>
                  <c:x val="-1.6084022935816699E-7"/>
                  <c:y val="5.5201663879939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6ED-4E86-8285-4775DF07084F}"/>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D_ENG!$K$557:$K$585</c:f>
              <c:strCache>
                <c:ptCount val="29"/>
                <c:pt idx="0">
                  <c:v>Ireland</c:v>
                </c:pt>
                <c:pt idx="1">
                  <c:v>Sweden</c:v>
                </c:pt>
                <c:pt idx="2">
                  <c:v>Denmark</c:v>
                </c:pt>
                <c:pt idx="3">
                  <c:v>Belgium</c:v>
                </c:pt>
                <c:pt idx="4">
                  <c:v>Germany</c:v>
                </c:pt>
                <c:pt idx="5">
                  <c:v>Netherlands</c:v>
                </c:pt>
                <c:pt idx="6">
                  <c:v>Slovenia</c:v>
                </c:pt>
                <c:pt idx="7">
                  <c:v>Finland</c:v>
                </c:pt>
                <c:pt idx="8">
                  <c:v>Czech Republic</c:v>
                </c:pt>
                <c:pt idx="9">
                  <c:v>Lithuania</c:v>
                </c:pt>
                <c:pt idx="10">
                  <c:v>United Kingdom</c:v>
                </c:pt>
                <c:pt idx="11">
                  <c:v>Austria</c:v>
                </c:pt>
                <c:pt idx="12">
                  <c:v>Spain</c:v>
                </c:pt>
                <c:pt idx="13">
                  <c:v>France</c:v>
                </c:pt>
                <c:pt idx="14">
                  <c:v>EU28</c:v>
                </c:pt>
                <c:pt idx="15">
                  <c:v>Malta</c:v>
                </c:pt>
                <c:pt idx="16">
                  <c:v>Estonia</c:v>
                </c:pt>
                <c:pt idx="17">
                  <c:v>Portugal</c:v>
                </c:pt>
                <c:pt idx="18">
                  <c:v>Croatia</c:v>
                </c:pt>
                <c:pt idx="19">
                  <c:v>Slovakia</c:v>
                </c:pt>
                <c:pt idx="20">
                  <c:v>Hungary</c:v>
                </c:pt>
                <c:pt idx="21">
                  <c:v>Cyprus</c:v>
                </c:pt>
                <c:pt idx="22">
                  <c:v>Luxembourg </c:v>
                </c:pt>
                <c:pt idx="23">
                  <c:v>Italy</c:v>
                </c:pt>
                <c:pt idx="24">
                  <c:v>Greece</c:v>
                </c:pt>
                <c:pt idx="25">
                  <c:v>Latvia</c:v>
                </c:pt>
                <c:pt idx="26">
                  <c:v>Poland</c:v>
                </c:pt>
                <c:pt idx="27">
                  <c:v>Bulgaria</c:v>
                </c:pt>
                <c:pt idx="28">
                  <c:v>Romania</c:v>
                </c:pt>
              </c:strCache>
            </c:strRef>
          </c:cat>
          <c:val>
            <c:numRef>
              <c:f>D_ENG!$M$557:$M$585</c:f>
              <c:numCache>
                <c:formatCode>0%</c:formatCode>
                <c:ptCount val="29"/>
                <c:pt idx="0">
                  <c:v>0.15948399999999999</c:v>
                </c:pt>
                <c:pt idx="1">
                  <c:v>0.112139</c:v>
                </c:pt>
                <c:pt idx="2">
                  <c:v>0.122187</c:v>
                </c:pt>
                <c:pt idx="3">
                  <c:v>8.8776999999999995E-2</c:v>
                </c:pt>
                <c:pt idx="4">
                  <c:v>9.2616000000000004E-2</c:v>
                </c:pt>
                <c:pt idx="5">
                  <c:v>7.2830000000000006E-2</c:v>
                </c:pt>
                <c:pt idx="6">
                  <c:v>6.0319999999999999E-2</c:v>
                </c:pt>
                <c:pt idx="7">
                  <c:v>7.6521000000000006E-2</c:v>
                </c:pt>
                <c:pt idx="8">
                  <c:v>0.100967</c:v>
                </c:pt>
                <c:pt idx="9">
                  <c:v>6.2364999999999997E-2</c:v>
                </c:pt>
                <c:pt idx="10">
                  <c:v>5.2925E-2</c:v>
                </c:pt>
                <c:pt idx="11">
                  <c:v>6.7433999999999994E-2</c:v>
                </c:pt>
                <c:pt idx="12">
                  <c:v>7.1134000000000003E-2</c:v>
                </c:pt>
                <c:pt idx="13">
                  <c:v>8.0421000000000006E-2</c:v>
                </c:pt>
                <c:pt idx="14">
                  <c:v>6.7615999999999996E-2</c:v>
                </c:pt>
                <c:pt idx="15">
                  <c:v>3.3075E-2</c:v>
                </c:pt>
                <c:pt idx="16">
                  <c:v>4.9625000000000002E-2</c:v>
                </c:pt>
                <c:pt idx="17">
                  <c:v>7.8425999999999996E-2</c:v>
                </c:pt>
                <c:pt idx="18">
                  <c:v>6.2865000000000004E-2</c:v>
                </c:pt>
                <c:pt idx="19">
                  <c:v>6.0662000000000001E-2</c:v>
                </c:pt>
                <c:pt idx="20">
                  <c:v>3.9696000000000002E-2</c:v>
                </c:pt>
                <c:pt idx="21">
                  <c:v>2.5961999999999999E-2</c:v>
                </c:pt>
                <c:pt idx="22">
                  <c:v>3.5219E-2</c:v>
                </c:pt>
                <c:pt idx="23">
                  <c:v>3.8772000000000001E-2</c:v>
                </c:pt>
                <c:pt idx="24">
                  <c:v>1.3857E-2</c:v>
                </c:pt>
                <c:pt idx="25">
                  <c:v>3.6192000000000002E-2</c:v>
                </c:pt>
                <c:pt idx="26">
                  <c:v>3.6014999999999998E-2</c:v>
                </c:pt>
                <c:pt idx="27">
                  <c:v>2.0924000000000002E-2</c:v>
                </c:pt>
                <c:pt idx="28">
                  <c:v>3.5729999999999998E-2</c:v>
                </c:pt>
              </c:numCache>
            </c:numRef>
          </c:val>
          <c:extLst>
            <c:ext xmlns:c16="http://schemas.microsoft.com/office/drawing/2014/chart" uri="{C3380CC4-5D6E-409C-BE32-E72D297353CC}">
              <c16:uniqueId val="{0000001C-C6ED-4E86-8285-4775DF07084F}"/>
            </c:ext>
          </c:extLst>
        </c:ser>
        <c:dLbls>
          <c:showLegendKey val="0"/>
          <c:showVal val="0"/>
          <c:showCatName val="0"/>
          <c:showSerName val="0"/>
          <c:showPercent val="0"/>
          <c:showBubbleSize val="0"/>
        </c:dLbls>
        <c:gapWidth val="200"/>
        <c:axId val="196128768"/>
        <c:axId val="195974784"/>
      </c:barChart>
      <c:catAx>
        <c:axId val="195322368"/>
        <c:scaling>
          <c:orientation val="minMax"/>
        </c:scaling>
        <c:delete val="0"/>
        <c:axPos val="b"/>
        <c:numFmt formatCode="General" sourceLinked="0"/>
        <c:majorTickMark val="out"/>
        <c:minorTickMark val="none"/>
        <c:tickLblPos val="nextTo"/>
        <c:spPr>
          <a:ln w="3175">
            <a:solidFill>
              <a:schemeClr val="tx1"/>
            </a:solidFill>
          </a:ln>
        </c:spPr>
        <c:crossAx val="195974208"/>
        <c:crosses val="autoZero"/>
        <c:auto val="1"/>
        <c:lblAlgn val="ctr"/>
        <c:lblOffset val="100"/>
        <c:noMultiLvlLbl val="0"/>
      </c:catAx>
      <c:valAx>
        <c:axId val="195974208"/>
        <c:scaling>
          <c:orientation val="minMax"/>
          <c:max val="0.4"/>
          <c:min val="0"/>
        </c:scaling>
        <c:delete val="1"/>
        <c:axPos val="l"/>
        <c:numFmt formatCode="0%" sourceLinked="1"/>
        <c:majorTickMark val="out"/>
        <c:minorTickMark val="none"/>
        <c:tickLblPos val="nextTo"/>
        <c:crossAx val="195322368"/>
        <c:crosses val="autoZero"/>
        <c:crossBetween val="between"/>
        <c:majorUnit val="0.1"/>
        <c:minorUnit val="0.05"/>
      </c:valAx>
      <c:valAx>
        <c:axId val="195974784"/>
        <c:scaling>
          <c:orientation val="minMax"/>
          <c:max val="0.4"/>
        </c:scaling>
        <c:delete val="0"/>
        <c:axPos val="r"/>
        <c:numFmt formatCode="0%" sourceLinked="1"/>
        <c:majorTickMark val="none"/>
        <c:minorTickMark val="none"/>
        <c:tickLblPos val="none"/>
        <c:crossAx val="196128768"/>
        <c:crosses val="max"/>
        <c:crossBetween val="between"/>
        <c:majorUnit val="0.1"/>
      </c:valAx>
      <c:catAx>
        <c:axId val="196128768"/>
        <c:scaling>
          <c:orientation val="minMax"/>
        </c:scaling>
        <c:delete val="1"/>
        <c:axPos val="b"/>
        <c:numFmt formatCode="General" sourceLinked="0"/>
        <c:majorTickMark val="out"/>
        <c:minorTickMark val="none"/>
        <c:tickLblPos val="none"/>
        <c:crossAx val="19597478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51779375457389398"/>
          <c:y val="0.122172015823172"/>
          <c:w val="0.41888344712779602"/>
          <c:h val="7.79340157416092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96177717604304"/>
          <c:w val="0.96494603737260098"/>
          <c:h val="0.58482108288500101"/>
        </c:manualLayout>
      </c:layout>
      <c:barChart>
        <c:barDir val="col"/>
        <c:grouping val="clustered"/>
        <c:varyColors val="0"/>
        <c:ser>
          <c:idx val="0"/>
          <c:order val="0"/>
          <c:tx>
            <c:strRef>
              <c:f>D_ENG!$H$590</c:f>
              <c:strCache>
                <c:ptCount val="1"/>
                <c:pt idx="0">
                  <c:v> Portable computers (inc. tablets)</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D_ENG!$G$591:$G$594</c:f>
              <c:strCache>
                <c:ptCount val="4"/>
                <c:pt idx="0">
                  <c:v>Total</c:v>
                </c:pt>
                <c:pt idx="1">
                  <c:v>Small</c:v>
                </c:pt>
                <c:pt idx="2">
                  <c:v>Medium</c:v>
                </c:pt>
                <c:pt idx="3">
                  <c:v>Large</c:v>
                </c:pt>
              </c:strCache>
            </c:strRef>
          </c:cat>
          <c:val>
            <c:numRef>
              <c:f>D_ENG!$H$591:$H$594</c:f>
              <c:numCache>
                <c:formatCode>0%</c:formatCode>
                <c:ptCount val="4"/>
                <c:pt idx="0">
                  <c:v>0.65</c:v>
                </c:pt>
                <c:pt idx="1">
                  <c:v>0.59</c:v>
                </c:pt>
                <c:pt idx="2">
                  <c:v>0.84</c:v>
                </c:pt>
                <c:pt idx="3">
                  <c:v>0.96</c:v>
                </c:pt>
              </c:numCache>
            </c:numRef>
          </c:val>
          <c:extLst>
            <c:ext xmlns:c16="http://schemas.microsoft.com/office/drawing/2014/chart" uri="{C3380CC4-5D6E-409C-BE32-E72D297353CC}">
              <c16:uniqueId val="{00000000-FD46-4123-B883-591194A62548}"/>
            </c:ext>
          </c:extLst>
        </c:ser>
        <c:ser>
          <c:idx val="1"/>
          <c:order val="1"/>
          <c:tx>
            <c:strRef>
              <c:f>D_ENG!$I$590</c:f>
              <c:strCache>
                <c:ptCount val="1"/>
                <c:pt idx="0">
                  <c:v> Mobile phones (smartphones) </c:v>
                </c:pt>
              </c:strCache>
            </c:strRef>
          </c:tx>
          <c:spPr>
            <a:solidFill>
              <a:srgbClr val="009BB4"/>
            </a:solidFill>
          </c:spPr>
          <c:invertIfNegative val="0"/>
          <c:dLbls>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D_ENG!$G$591:$G$594</c:f>
              <c:strCache>
                <c:ptCount val="4"/>
                <c:pt idx="0">
                  <c:v>Total</c:v>
                </c:pt>
                <c:pt idx="1">
                  <c:v>Small</c:v>
                </c:pt>
                <c:pt idx="2">
                  <c:v>Medium</c:v>
                </c:pt>
                <c:pt idx="3">
                  <c:v>Large</c:v>
                </c:pt>
              </c:strCache>
            </c:strRef>
          </c:cat>
          <c:val>
            <c:numRef>
              <c:f>D_ENG!$I$591:$I$594</c:f>
              <c:numCache>
                <c:formatCode>0%</c:formatCode>
                <c:ptCount val="4"/>
                <c:pt idx="0">
                  <c:v>0.75</c:v>
                </c:pt>
                <c:pt idx="1">
                  <c:v>0.71</c:v>
                </c:pt>
                <c:pt idx="2">
                  <c:v>0.89</c:v>
                </c:pt>
                <c:pt idx="3">
                  <c:v>0.97</c:v>
                </c:pt>
              </c:numCache>
            </c:numRef>
          </c:val>
          <c:extLst>
            <c:ext xmlns:c16="http://schemas.microsoft.com/office/drawing/2014/chart" uri="{C3380CC4-5D6E-409C-BE32-E72D297353CC}">
              <c16:uniqueId val="{00000001-FD46-4123-B883-591194A62548}"/>
            </c:ext>
          </c:extLst>
        </c:ser>
        <c:dLbls>
          <c:showLegendKey val="0"/>
          <c:showVal val="1"/>
          <c:showCatName val="0"/>
          <c:showSerName val="0"/>
          <c:showPercent val="0"/>
          <c:showBubbleSize val="0"/>
        </c:dLbls>
        <c:gapWidth val="50"/>
        <c:overlap val="1"/>
        <c:axId val="195324416"/>
        <c:axId val="195976512"/>
      </c:barChart>
      <c:catAx>
        <c:axId val="195324416"/>
        <c:scaling>
          <c:orientation val="minMax"/>
        </c:scaling>
        <c:delete val="0"/>
        <c:axPos val="b"/>
        <c:numFmt formatCode="General" sourceLinked="1"/>
        <c:majorTickMark val="out"/>
        <c:minorTickMark val="none"/>
        <c:tickLblPos val="nextTo"/>
        <c:spPr>
          <a:ln w="3175">
            <a:solidFill>
              <a:schemeClr val="tx1"/>
            </a:solidFill>
          </a:ln>
        </c:spPr>
        <c:crossAx val="195976512"/>
        <c:crosses val="autoZero"/>
        <c:auto val="1"/>
        <c:lblAlgn val="ctr"/>
        <c:lblOffset val="100"/>
        <c:noMultiLvlLbl val="0"/>
      </c:catAx>
      <c:valAx>
        <c:axId val="195976512"/>
        <c:scaling>
          <c:orientation val="minMax"/>
          <c:max val="1.3"/>
          <c:min val="0"/>
        </c:scaling>
        <c:delete val="0"/>
        <c:axPos val="l"/>
        <c:numFmt formatCode="0%" sourceLinked="1"/>
        <c:majorTickMark val="none"/>
        <c:minorTickMark val="none"/>
        <c:tickLblPos val="none"/>
        <c:crossAx val="195324416"/>
        <c:crosses val="autoZero"/>
        <c:crossBetween val="between"/>
      </c:valAx>
      <c:spPr>
        <a:ln w="12700">
          <a:solidFill>
            <a:srgbClr val="A6A6A6"/>
          </a:solidFill>
        </a:ln>
      </c:spPr>
    </c:plotArea>
    <c:legend>
      <c:legendPos val="t"/>
      <c:layout>
        <c:manualLayout>
          <c:xMode val="edge"/>
          <c:yMode val="edge"/>
          <c:x val="3.8787617301261998E-2"/>
          <c:y val="0.220490492987019"/>
          <c:w val="0.65625283140977297"/>
          <c:h val="0.12576525219415399"/>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8411135259676301"/>
          <c:w val="0.96494603737260098"/>
          <c:h val="0.59653504181542527"/>
        </c:manualLayout>
      </c:layout>
      <c:barChart>
        <c:barDir val="col"/>
        <c:grouping val="clustered"/>
        <c:varyColors val="0"/>
        <c:ser>
          <c:idx val="0"/>
          <c:order val="0"/>
          <c:tx>
            <c:strRef>
              <c:f>D_ENG!$H$603</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D_ENG!$G$604:$G$607</c:f>
              <c:strCache>
                <c:ptCount val="4"/>
                <c:pt idx="0">
                  <c:v>Total</c:v>
                </c:pt>
                <c:pt idx="1">
                  <c:v>Small</c:v>
                </c:pt>
                <c:pt idx="2">
                  <c:v>Medium</c:v>
                </c:pt>
                <c:pt idx="3">
                  <c:v>Large</c:v>
                </c:pt>
              </c:strCache>
            </c:strRef>
          </c:cat>
          <c:val>
            <c:numRef>
              <c:f>D_ENG!$H$604:$H$607</c:f>
              <c:numCache>
                <c:formatCode>0%</c:formatCode>
                <c:ptCount val="4"/>
                <c:pt idx="0">
                  <c:v>0.16</c:v>
                </c:pt>
                <c:pt idx="1">
                  <c:v>0.18</c:v>
                </c:pt>
                <c:pt idx="2">
                  <c:v>0.15</c:v>
                </c:pt>
                <c:pt idx="3">
                  <c:v>0.15</c:v>
                </c:pt>
              </c:numCache>
            </c:numRef>
          </c:val>
          <c:extLst>
            <c:ext xmlns:c16="http://schemas.microsoft.com/office/drawing/2014/chart" uri="{C3380CC4-5D6E-409C-BE32-E72D297353CC}">
              <c16:uniqueId val="{00000000-9FA9-48FA-8285-F6CEBBD9D595}"/>
            </c:ext>
          </c:extLst>
        </c:ser>
        <c:ser>
          <c:idx val="1"/>
          <c:order val="1"/>
          <c:tx>
            <c:strRef>
              <c:f>D_ENG!$I$603</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D_ENG!$G$604:$G$607</c:f>
              <c:strCache>
                <c:ptCount val="4"/>
                <c:pt idx="0">
                  <c:v>Total</c:v>
                </c:pt>
                <c:pt idx="1">
                  <c:v>Small</c:v>
                </c:pt>
                <c:pt idx="2">
                  <c:v>Medium</c:v>
                </c:pt>
                <c:pt idx="3">
                  <c:v>Large</c:v>
                </c:pt>
              </c:strCache>
            </c:strRef>
          </c:cat>
          <c:val>
            <c:numRef>
              <c:f>D_ENG!$I$604:$I$607</c:f>
              <c:numCache>
                <c:formatCode>0%</c:formatCode>
                <c:ptCount val="4"/>
                <c:pt idx="0">
                  <c:v>0.19</c:v>
                </c:pt>
                <c:pt idx="1">
                  <c:v>0.26</c:v>
                </c:pt>
                <c:pt idx="2">
                  <c:v>0.17</c:v>
                </c:pt>
                <c:pt idx="3">
                  <c:v>0.18</c:v>
                </c:pt>
              </c:numCache>
            </c:numRef>
          </c:val>
          <c:extLst>
            <c:ext xmlns:c16="http://schemas.microsoft.com/office/drawing/2014/chart" uri="{C3380CC4-5D6E-409C-BE32-E72D297353CC}">
              <c16:uniqueId val="{00000001-9FA9-48FA-8285-F6CEBBD9D595}"/>
            </c:ext>
          </c:extLst>
        </c:ser>
        <c:ser>
          <c:idx val="2"/>
          <c:order val="2"/>
          <c:tx>
            <c:strRef>
              <c:f>D_ENG!$J$603</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D_ENG!$G$604:$G$607</c:f>
              <c:strCache>
                <c:ptCount val="4"/>
                <c:pt idx="0">
                  <c:v>Total</c:v>
                </c:pt>
                <c:pt idx="1">
                  <c:v>Small</c:v>
                </c:pt>
                <c:pt idx="2">
                  <c:v>Medium</c:v>
                </c:pt>
                <c:pt idx="3">
                  <c:v>Large</c:v>
                </c:pt>
              </c:strCache>
            </c:strRef>
          </c:cat>
          <c:val>
            <c:numRef>
              <c:f>D_ENG!$J$604:$J$607</c:f>
              <c:numCache>
                <c:formatCode>0%</c:formatCode>
                <c:ptCount val="4"/>
                <c:pt idx="0">
                  <c:v>0.25</c:v>
                </c:pt>
                <c:pt idx="1">
                  <c:v>0.3</c:v>
                </c:pt>
                <c:pt idx="2">
                  <c:v>0.24</c:v>
                </c:pt>
                <c:pt idx="3">
                  <c:v>0.22</c:v>
                </c:pt>
              </c:numCache>
            </c:numRef>
          </c:val>
          <c:extLst>
            <c:ext xmlns:c16="http://schemas.microsoft.com/office/drawing/2014/chart" uri="{C3380CC4-5D6E-409C-BE32-E72D297353CC}">
              <c16:uniqueId val="{00000002-9FA9-48FA-8285-F6CEBBD9D595}"/>
            </c:ext>
          </c:extLst>
        </c:ser>
        <c:dLbls>
          <c:showLegendKey val="0"/>
          <c:showVal val="1"/>
          <c:showCatName val="0"/>
          <c:showSerName val="0"/>
          <c:showPercent val="0"/>
          <c:showBubbleSize val="0"/>
        </c:dLbls>
        <c:gapWidth val="50"/>
        <c:overlap val="1"/>
        <c:axId val="196132352"/>
        <c:axId val="196658304"/>
      </c:barChart>
      <c:catAx>
        <c:axId val="196132352"/>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96658304"/>
        <c:crosses val="autoZero"/>
        <c:auto val="1"/>
        <c:lblAlgn val="ctr"/>
        <c:lblOffset val="100"/>
        <c:noMultiLvlLbl val="0"/>
      </c:catAx>
      <c:valAx>
        <c:axId val="196658304"/>
        <c:scaling>
          <c:orientation val="minMax"/>
          <c:max val="0.8"/>
          <c:min val="0"/>
        </c:scaling>
        <c:delete val="0"/>
        <c:axPos val="l"/>
        <c:numFmt formatCode="0%" sourceLinked="1"/>
        <c:majorTickMark val="none"/>
        <c:minorTickMark val="none"/>
        <c:tickLblPos val="none"/>
        <c:crossAx val="196132352"/>
        <c:crosses val="autoZero"/>
        <c:crossBetween val="between"/>
      </c:valAx>
      <c:spPr>
        <a:ln w="12700">
          <a:solidFill>
            <a:srgbClr val="A6A6A6"/>
          </a:solidFill>
        </a:ln>
      </c:spPr>
    </c:plotArea>
    <c:legend>
      <c:legendPos val="t"/>
      <c:layout>
        <c:manualLayout>
          <c:xMode val="edge"/>
          <c:yMode val="edge"/>
          <c:x val="0.20317117894509801"/>
          <c:y val="0.20239094547570699"/>
          <c:w val="0.62734872182073098"/>
          <c:h val="0.119732069690384"/>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a:t>
            </a:r>
            <a:r>
              <a:rPr lang="cs-CZ" sz="800"/>
              <a:t>38</a:t>
            </a:r>
            <a:r>
              <a:rPr lang="en-US" sz="800"/>
              <a:t> Enterprises in EU countries providing training</a:t>
            </a:r>
            <a:r>
              <a:rPr lang="cs-CZ" sz="800"/>
              <a:t> </a:t>
            </a:r>
            <a:r>
              <a:rPr lang="en-US" sz="800"/>
              <a:t>for employees to develop </a:t>
            </a:r>
            <a:endParaRPr lang="cs-CZ" sz="800"/>
          </a:p>
          <a:p>
            <a:pPr>
              <a:defRPr sz="800"/>
            </a:pPr>
            <a:r>
              <a:rPr lang="en-US" sz="800"/>
              <a:t>their ICT related skills</a:t>
            </a:r>
            <a:r>
              <a:rPr lang="cs-CZ" sz="800"/>
              <a:t>;</a:t>
            </a:r>
            <a:r>
              <a:rPr lang="cs-CZ" sz="800" baseline="0"/>
              <a:t> </a:t>
            </a:r>
            <a:r>
              <a:rPr lang="en-US" sz="800"/>
              <a:t>2016</a:t>
            </a:r>
            <a:r>
              <a:rPr lang="cs-CZ" sz="800"/>
              <a:t> </a:t>
            </a:r>
            <a:r>
              <a:rPr lang="en-US" sz="800"/>
              <a:t>(%)</a:t>
            </a:r>
            <a:r>
              <a:rPr lang="cs-CZ" sz="800"/>
              <a:t>*</a:t>
            </a:r>
            <a:endParaRPr lang="en-US" sz="800"/>
          </a:p>
        </c:rich>
      </c:tx>
      <c:layout>
        <c:manualLayout>
          <c:xMode val="edge"/>
          <c:yMode val="edge"/>
          <c:x val="0.165895598607124"/>
          <c:y val="1.9598765432098798E-2"/>
        </c:manualLayout>
      </c:layout>
      <c:overlay val="0"/>
    </c:title>
    <c:autoTitleDeleted val="0"/>
    <c:plotArea>
      <c:layout>
        <c:manualLayout>
          <c:layoutTarget val="inner"/>
          <c:xMode val="edge"/>
          <c:yMode val="edge"/>
          <c:x val="6.5949831649831703E-2"/>
          <c:y val="0.117962654320988"/>
          <c:w val="0.90411750841750804"/>
          <c:h val="0.588580555555555"/>
        </c:manualLayout>
      </c:layout>
      <c:barChart>
        <c:barDir val="col"/>
        <c:grouping val="clustered"/>
        <c:varyColors val="0"/>
        <c:ser>
          <c:idx val="0"/>
          <c:order val="0"/>
          <c:tx>
            <c:strRef>
              <c:f>D_ENG!$L$616</c:f>
              <c:strCache>
                <c:ptCount val="1"/>
                <c:pt idx="0">
                  <c:v> All enterprises (10+ employees)</c:v>
                </c:pt>
              </c:strCache>
            </c:strRef>
          </c:tx>
          <c:spPr>
            <a:solidFill>
              <a:srgbClr val="009BB4"/>
            </a:solidFill>
            <a:ln>
              <a:noFill/>
            </a:ln>
          </c:spPr>
          <c:invertIfNegative val="0"/>
          <c:dPt>
            <c:idx val="4"/>
            <c:invertIfNegative val="0"/>
            <c:bubble3D val="0"/>
            <c:spPr>
              <a:solidFill>
                <a:srgbClr val="009BB4"/>
              </a:solidFill>
              <a:ln w="19050">
                <a:noFill/>
              </a:ln>
            </c:spPr>
            <c:extLst>
              <c:ext xmlns:c16="http://schemas.microsoft.com/office/drawing/2014/chart" uri="{C3380CC4-5D6E-409C-BE32-E72D297353CC}">
                <c16:uniqueId val="{00000001-1501-49E9-90A6-BFC49F29C1A1}"/>
              </c:ext>
            </c:extLst>
          </c:dPt>
          <c:dPt>
            <c:idx val="6"/>
            <c:invertIfNegative val="0"/>
            <c:bubble3D val="0"/>
            <c:spPr>
              <a:solidFill>
                <a:srgbClr val="009BB4"/>
              </a:solidFill>
              <a:ln w="19050">
                <a:noFill/>
              </a:ln>
            </c:spPr>
            <c:extLst>
              <c:ext xmlns:c16="http://schemas.microsoft.com/office/drawing/2014/chart" uri="{C3380CC4-5D6E-409C-BE32-E72D297353CC}">
                <c16:uniqueId val="{00000003-1501-49E9-90A6-BFC49F29C1A1}"/>
              </c:ext>
            </c:extLst>
          </c:dPt>
          <c:dPt>
            <c:idx val="8"/>
            <c:invertIfNegative val="0"/>
            <c:bubble3D val="0"/>
            <c:spPr>
              <a:solidFill>
                <a:srgbClr val="009BB4"/>
              </a:solidFill>
              <a:ln w="19050">
                <a:noFill/>
              </a:ln>
            </c:spPr>
            <c:extLst>
              <c:ext xmlns:c16="http://schemas.microsoft.com/office/drawing/2014/chart" uri="{C3380CC4-5D6E-409C-BE32-E72D297353CC}">
                <c16:uniqueId val="{00000005-1501-49E9-90A6-BFC49F29C1A1}"/>
              </c:ext>
            </c:extLst>
          </c:dPt>
          <c:dPt>
            <c:idx val="9"/>
            <c:invertIfNegative val="0"/>
            <c:bubble3D val="0"/>
            <c:spPr>
              <a:solidFill>
                <a:srgbClr val="009BB4"/>
              </a:solidFill>
              <a:ln>
                <a:solidFill>
                  <a:srgbClr val="FF0000"/>
                </a:solidFill>
              </a:ln>
            </c:spPr>
            <c:extLst>
              <c:ext xmlns:c16="http://schemas.microsoft.com/office/drawing/2014/chart" uri="{C3380CC4-5D6E-409C-BE32-E72D297353CC}">
                <c16:uniqueId val="{00000007-1501-49E9-90A6-BFC49F29C1A1}"/>
              </c:ext>
            </c:extLst>
          </c:dPt>
          <c:dPt>
            <c:idx val="11"/>
            <c:invertIfNegative val="0"/>
            <c:bubble3D val="0"/>
            <c:spPr>
              <a:solidFill>
                <a:srgbClr val="009BB4"/>
              </a:solidFill>
              <a:ln w="19050">
                <a:noFill/>
              </a:ln>
            </c:spPr>
            <c:extLst>
              <c:ext xmlns:c16="http://schemas.microsoft.com/office/drawing/2014/chart" uri="{C3380CC4-5D6E-409C-BE32-E72D297353CC}">
                <c16:uniqueId val="{00000009-1501-49E9-90A6-BFC49F29C1A1}"/>
              </c:ext>
            </c:extLst>
          </c:dPt>
          <c:dPt>
            <c:idx val="13"/>
            <c:invertIfNegative val="0"/>
            <c:bubble3D val="0"/>
            <c:spPr>
              <a:solidFill>
                <a:srgbClr val="009BB4"/>
              </a:solidFill>
              <a:ln w="19050">
                <a:noFill/>
              </a:ln>
            </c:spPr>
            <c:extLst>
              <c:ext xmlns:c16="http://schemas.microsoft.com/office/drawing/2014/chart" uri="{C3380CC4-5D6E-409C-BE32-E72D297353CC}">
                <c16:uniqueId val="{0000000B-1501-49E9-90A6-BFC49F29C1A1}"/>
              </c:ext>
            </c:extLst>
          </c:dPt>
          <c:dPt>
            <c:idx val="14"/>
            <c:invertIfNegative val="0"/>
            <c:bubble3D val="0"/>
            <c:spPr>
              <a:solidFill>
                <a:srgbClr val="009BB4"/>
              </a:solidFill>
              <a:ln w="19050">
                <a:solidFill>
                  <a:srgbClr val="FF0000"/>
                </a:solidFill>
              </a:ln>
            </c:spPr>
            <c:extLst>
              <c:ext xmlns:c16="http://schemas.microsoft.com/office/drawing/2014/chart" uri="{C3380CC4-5D6E-409C-BE32-E72D297353CC}">
                <c16:uniqueId val="{0000000D-1501-49E9-90A6-BFC49F29C1A1}"/>
              </c:ext>
            </c:extLst>
          </c:dPt>
          <c:dPt>
            <c:idx val="15"/>
            <c:invertIfNegative val="0"/>
            <c:bubble3D val="0"/>
            <c:spPr>
              <a:solidFill>
                <a:srgbClr val="009BB4"/>
              </a:solidFill>
              <a:ln w="19050">
                <a:noFill/>
              </a:ln>
            </c:spPr>
            <c:extLst>
              <c:ext xmlns:c16="http://schemas.microsoft.com/office/drawing/2014/chart" uri="{C3380CC4-5D6E-409C-BE32-E72D297353CC}">
                <c16:uniqueId val="{0000000F-1501-49E9-90A6-BFC49F29C1A1}"/>
              </c:ext>
            </c:extLst>
          </c:dPt>
          <c:dPt>
            <c:idx val="16"/>
            <c:invertIfNegative val="0"/>
            <c:bubble3D val="0"/>
            <c:spPr>
              <a:solidFill>
                <a:srgbClr val="009BB4"/>
              </a:solidFill>
              <a:ln w="19050">
                <a:noFill/>
              </a:ln>
            </c:spPr>
            <c:extLst>
              <c:ext xmlns:c16="http://schemas.microsoft.com/office/drawing/2014/chart" uri="{C3380CC4-5D6E-409C-BE32-E72D297353CC}">
                <c16:uniqueId val="{00000011-1501-49E9-90A6-BFC49F29C1A1}"/>
              </c:ext>
            </c:extLst>
          </c:dPt>
          <c:dPt>
            <c:idx val="18"/>
            <c:invertIfNegative val="0"/>
            <c:bubble3D val="0"/>
            <c:spPr>
              <a:solidFill>
                <a:srgbClr val="009BB4"/>
              </a:solidFill>
              <a:ln w="19050">
                <a:noFill/>
              </a:ln>
            </c:spPr>
            <c:extLst>
              <c:ext xmlns:c16="http://schemas.microsoft.com/office/drawing/2014/chart" uri="{C3380CC4-5D6E-409C-BE32-E72D297353CC}">
                <c16:uniqueId val="{00000013-1501-49E9-90A6-BFC49F29C1A1}"/>
              </c:ext>
            </c:extLst>
          </c:dPt>
          <c:dLbls>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D_ENG!$K$617:$K$645</c:f>
              <c:strCache>
                <c:ptCount val="29"/>
                <c:pt idx="0">
                  <c:v>Finland</c:v>
                </c:pt>
                <c:pt idx="1">
                  <c:v>Belgium</c:v>
                </c:pt>
                <c:pt idx="2">
                  <c:v>Austria</c:v>
                </c:pt>
                <c:pt idx="3">
                  <c:v>Ireland</c:v>
                </c:pt>
                <c:pt idx="4">
                  <c:v>Sweden</c:v>
                </c:pt>
                <c:pt idx="5">
                  <c:v>Germany</c:v>
                </c:pt>
                <c:pt idx="6">
                  <c:v>United Kingdom</c:v>
                </c:pt>
                <c:pt idx="7">
                  <c:v>Luxembourg </c:v>
                </c:pt>
                <c:pt idx="8">
                  <c:v>Malta</c:v>
                </c:pt>
                <c:pt idx="9">
                  <c:v>Czech Republic</c:v>
                </c:pt>
                <c:pt idx="10">
                  <c:v>Slovenia</c:v>
                </c:pt>
                <c:pt idx="11">
                  <c:v>Cyprus</c:v>
                </c:pt>
                <c:pt idx="12">
                  <c:v>Denmark</c:v>
                </c:pt>
                <c:pt idx="13">
                  <c:v>Croatia</c:v>
                </c:pt>
                <c:pt idx="14">
                  <c:v>EU28</c:v>
                </c:pt>
                <c:pt idx="15">
                  <c:v>Spain</c:v>
                </c:pt>
                <c:pt idx="16">
                  <c:v>Portugal</c:v>
                </c:pt>
                <c:pt idx="17">
                  <c:v>Netherlands</c:v>
                </c:pt>
                <c:pt idx="18">
                  <c:v>France</c:v>
                </c:pt>
                <c:pt idx="19">
                  <c:v>Slovakia</c:v>
                </c:pt>
                <c:pt idx="20">
                  <c:v>Hungary</c:v>
                </c:pt>
                <c:pt idx="21">
                  <c:v>Italy</c:v>
                </c:pt>
                <c:pt idx="22">
                  <c:v>Estonia</c:v>
                </c:pt>
                <c:pt idx="23">
                  <c:v>Poland</c:v>
                </c:pt>
                <c:pt idx="24">
                  <c:v>Greece</c:v>
                </c:pt>
                <c:pt idx="25">
                  <c:v>Latvia</c:v>
                </c:pt>
                <c:pt idx="26">
                  <c:v>Lithuania</c:v>
                </c:pt>
                <c:pt idx="27">
                  <c:v>Bulgaria</c:v>
                </c:pt>
                <c:pt idx="28">
                  <c:v>Romania</c:v>
                </c:pt>
              </c:strCache>
            </c:strRef>
          </c:cat>
          <c:val>
            <c:numRef>
              <c:f>D_ENG!$L$617:$L$645</c:f>
              <c:numCache>
                <c:formatCode>0%</c:formatCode>
                <c:ptCount val="29"/>
                <c:pt idx="0">
                  <c:v>0.34</c:v>
                </c:pt>
                <c:pt idx="1">
                  <c:v>0.32</c:v>
                </c:pt>
                <c:pt idx="2">
                  <c:v>0.27</c:v>
                </c:pt>
                <c:pt idx="3">
                  <c:v>0.27</c:v>
                </c:pt>
                <c:pt idx="4">
                  <c:v>0.25</c:v>
                </c:pt>
                <c:pt idx="5">
                  <c:v>0.25</c:v>
                </c:pt>
                <c:pt idx="6">
                  <c:v>0.24</c:v>
                </c:pt>
                <c:pt idx="7">
                  <c:v>0.24</c:v>
                </c:pt>
                <c:pt idx="8">
                  <c:v>0.24</c:v>
                </c:pt>
                <c:pt idx="9">
                  <c:v>0.23</c:v>
                </c:pt>
                <c:pt idx="10">
                  <c:v>0.23</c:v>
                </c:pt>
                <c:pt idx="11">
                  <c:v>0.22</c:v>
                </c:pt>
                <c:pt idx="12">
                  <c:v>0.21</c:v>
                </c:pt>
                <c:pt idx="13">
                  <c:v>0.2</c:v>
                </c:pt>
                <c:pt idx="14">
                  <c:v>0.19</c:v>
                </c:pt>
                <c:pt idx="15">
                  <c:v>0.19</c:v>
                </c:pt>
                <c:pt idx="16">
                  <c:v>0.18</c:v>
                </c:pt>
                <c:pt idx="17">
                  <c:v>0.17</c:v>
                </c:pt>
                <c:pt idx="18">
                  <c:v>0.16</c:v>
                </c:pt>
                <c:pt idx="19">
                  <c:v>0.15</c:v>
                </c:pt>
                <c:pt idx="20">
                  <c:v>0.13</c:v>
                </c:pt>
                <c:pt idx="21">
                  <c:v>0.11</c:v>
                </c:pt>
                <c:pt idx="22">
                  <c:v>0.11</c:v>
                </c:pt>
                <c:pt idx="23">
                  <c:v>0.1</c:v>
                </c:pt>
                <c:pt idx="24">
                  <c:v>0.08</c:v>
                </c:pt>
                <c:pt idx="25">
                  <c:v>0.08</c:v>
                </c:pt>
                <c:pt idx="26">
                  <c:v>0.08</c:v>
                </c:pt>
                <c:pt idx="27">
                  <c:v>0.05</c:v>
                </c:pt>
                <c:pt idx="28">
                  <c:v>0.03</c:v>
                </c:pt>
              </c:numCache>
            </c:numRef>
          </c:val>
          <c:extLst>
            <c:ext xmlns:c16="http://schemas.microsoft.com/office/drawing/2014/chart" uri="{C3380CC4-5D6E-409C-BE32-E72D297353CC}">
              <c16:uniqueId val="{00000019-1501-49E9-90A6-BFC49F29C1A1}"/>
            </c:ext>
          </c:extLst>
        </c:ser>
        <c:ser>
          <c:idx val="1"/>
          <c:order val="1"/>
          <c:tx>
            <c:strRef>
              <c:f>D_ENG!$M$616</c:f>
              <c:strCache>
                <c:ptCount val="1"/>
                <c:pt idx="0">
                  <c:v> Large enterprises (250+ employees)</c:v>
                </c:pt>
              </c:strCache>
            </c:strRef>
          </c:tx>
          <c:spPr>
            <a:solidFill>
              <a:srgbClr val="47E5FF"/>
            </a:solidFill>
            <a:ln>
              <a:noFill/>
            </a:ln>
          </c:spPr>
          <c:invertIfNegative val="0"/>
          <c:dPt>
            <c:idx val="8"/>
            <c:invertIfNegative val="0"/>
            <c:bubble3D val="0"/>
            <c:spPr>
              <a:solidFill>
                <a:srgbClr val="47E5FF"/>
              </a:solidFill>
              <a:ln w="19050">
                <a:noFill/>
              </a:ln>
            </c:spPr>
            <c:extLst>
              <c:ext xmlns:c16="http://schemas.microsoft.com/office/drawing/2014/chart" uri="{C3380CC4-5D6E-409C-BE32-E72D297353CC}">
                <c16:uniqueId val="{0000001B-1501-49E9-90A6-BFC49F29C1A1}"/>
              </c:ext>
            </c:extLst>
          </c:dPt>
          <c:dPt>
            <c:idx val="9"/>
            <c:invertIfNegative val="0"/>
            <c:bubble3D val="0"/>
            <c:spPr>
              <a:solidFill>
                <a:srgbClr val="47E5FF"/>
              </a:solidFill>
              <a:ln>
                <a:solidFill>
                  <a:srgbClr val="FF0000"/>
                </a:solidFill>
              </a:ln>
            </c:spPr>
            <c:extLst>
              <c:ext xmlns:c16="http://schemas.microsoft.com/office/drawing/2014/chart" uri="{C3380CC4-5D6E-409C-BE32-E72D297353CC}">
                <c16:uniqueId val="{0000001D-1501-49E9-90A6-BFC49F29C1A1}"/>
              </c:ext>
            </c:extLst>
          </c:dPt>
          <c:dPt>
            <c:idx val="13"/>
            <c:invertIfNegative val="0"/>
            <c:bubble3D val="0"/>
            <c:spPr>
              <a:solidFill>
                <a:srgbClr val="47E5FF"/>
              </a:solidFill>
              <a:ln w="19050">
                <a:noFill/>
              </a:ln>
            </c:spPr>
            <c:extLst>
              <c:ext xmlns:c16="http://schemas.microsoft.com/office/drawing/2014/chart" uri="{C3380CC4-5D6E-409C-BE32-E72D297353CC}">
                <c16:uniqueId val="{0000001F-1501-49E9-90A6-BFC49F29C1A1}"/>
              </c:ext>
            </c:extLst>
          </c:dPt>
          <c:dPt>
            <c:idx val="14"/>
            <c:invertIfNegative val="0"/>
            <c:bubble3D val="0"/>
            <c:spPr>
              <a:solidFill>
                <a:srgbClr val="47E5FF"/>
              </a:solidFill>
              <a:ln w="9525">
                <a:solidFill>
                  <a:srgbClr val="FF0000"/>
                </a:solidFill>
              </a:ln>
            </c:spPr>
            <c:extLst>
              <c:ext xmlns:c16="http://schemas.microsoft.com/office/drawing/2014/chart" uri="{C3380CC4-5D6E-409C-BE32-E72D297353CC}">
                <c16:uniqueId val="{00000021-1501-49E9-90A6-BFC49F29C1A1}"/>
              </c:ext>
            </c:extLst>
          </c:dPt>
          <c:dPt>
            <c:idx val="18"/>
            <c:invertIfNegative val="0"/>
            <c:bubble3D val="0"/>
            <c:spPr>
              <a:solidFill>
                <a:srgbClr val="47E5FF"/>
              </a:solidFill>
              <a:ln w="19050">
                <a:noFill/>
              </a:ln>
            </c:spPr>
            <c:extLst>
              <c:ext xmlns:c16="http://schemas.microsoft.com/office/drawing/2014/chart" uri="{C3380CC4-5D6E-409C-BE32-E72D297353CC}">
                <c16:uniqueId val="{00000023-1501-49E9-90A6-BFC49F29C1A1}"/>
              </c:ext>
            </c:extLst>
          </c:dPt>
          <c:dLbls>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D_ENG!$K$617:$K$645</c:f>
              <c:strCache>
                <c:ptCount val="29"/>
                <c:pt idx="0">
                  <c:v>Finland</c:v>
                </c:pt>
                <c:pt idx="1">
                  <c:v>Belgium</c:v>
                </c:pt>
                <c:pt idx="2">
                  <c:v>Austria</c:v>
                </c:pt>
                <c:pt idx="3">
                  <c:v>Ireland</c:v>
                </c:pt>
                <c:pt idx="4">
                  <c:v>Sweden</c:v>
                </c:pt>
                <c:pt idx="5">
                  <c:v>Germany</c:v>
                </c:pt>
                <c:pt idx="6">
                  <c:v>United Kingdom</c:v>
                </c:pt>
                <c:pt idx="7">
                  <c:v>Luxembourg </c:v>
                </c:pt>
                <c:pt idx="8">
                  <c:v>Malta</c:v>
                </c:pt>
                <c:pt idx="9">
                  <c:v>Czech Republic</c:v>
                </c:pt>
                <c:pt idx="10">
                  <c:v>Slovenia</c:v>
                </c:pt>
                <c:pt idx="11">
                  <c:v>Cyprus</c:v>
                </c:pt>
                <c:pt idx="12">
                  <c:v>Denmark</c:v>
                </c:pt>
                <c:pt idx="13">
                  <c:v>Croatia</c:v>
                </c:pt>
                <c:pt idx="14">
                  <c:v>EU28</c:v>
                </c:pt>
                <c:pt idx="15">
                  <c:v>Spain</c:v>
                </c:pt>
                <c:pt idx="16">
                  <c:v>Portugal</c:v>
                </c:pt>
                <c:pt idx="17">
                  <c:v>Netherlands</c:v>
                </c:pt>
                <c:pt idx="18">
                  <c:v>France</c:v>
                </c:pt>
                <c:pt idx="19">
                  <c:v>Slovakia</c:v>
                </c:pt>
                <c:pt idx="20">
                  <c:v>Hungary</c:v>
                </c:pt>
                <c:pt idx="21">
                  <c:v>Italy</c:v>
                </c:pt>
                <c:pt idx="22">
                  <c:v>Estonia</c:v>
                </c:pt>
                <c:pt idx="23">
                  <c:v>Poland</c:v>
                </c:pt>
                <c:pt idx="24">
                  <c:v>Greece</c:v>
                </c:pt>
                <c:pt idx="25">
                  <c:v>Latvia</c:v>
                </c:pt>
                <c:pt idx="26">
                  <c:v>Lithuania</c:v>
                </c:pt>
                <c:pt idx="27">
                  <c:v>Bulgaria</c:v>
                </c:pt>
                <c:pt idx="28">
                  <c:v>Romania</c:v>
                </c:pt>
              </c:strCache>
            </c:strRef>
          </c:cat>
          <c:val>
            <c:numRef>
              <c:f>D_ENG!$M$617:$M$645</c:f>
              <c:numCache>
                <c:formatCode>0%</c:formatCode>
                <c:ptCount val="29"/>
                <c:pt idx="0">
                  <c:v>0.79</c:v>
                </c:pt>
                <c:pt idx="1">
                  <c:v>0.75</c:v>
                </c:pt>
                <c:pt idx="2">
                  <c:v>0.75</c:v>
                </c:pt>
                <c:pt idx="3">
                  <c:v>0.67</c:v>
                </c:pt>
                <c:pt idx="4">
                  <c:v>0.67</c:v>
                </c:pt>
                <c:pt idx="5">
                  <c:v>0.72</c:v>
                </c:pt>
                <c:pt idx="6">
                  <c:v>0.67</c:v>
                </c:pt>
                <c:pt idx="7">
                  <c:v>0.63</c:v>
                </c:pt>
                <c:pt idx="8">
                  <c:v>0.62</c:v>
                </c:pt>
                <c:pt idx="9">
                  <c:v>0.78</c:v>
                </c:pt>
                <c:pt idx="10">
                  <c:v>0.7</c:v>
                </c:pt>
                <c:pt idx="11">
                  <c:v>0.71</c:v>
                </c:pt>
                <c:pt idx="12">
                  <c:v>0.62</c:v>
                </c:pt>
                <c:pt idx="13">
                  <c:v>0.59</c:v>
                </c:pt>
                <c:pt idx="14">
                  <c:v>0.6</c:v>
                </c:pt>
                <c:pt idx="15">
                  <c:v>0.55000000000000004</c:v>
                </c:pt>
                <c:pt idx="16">
                  <c:v>0.57999999999999996</c:v>
                </c:pt>
                <c:pt idx="17">
                  <c:v>0.56000000000000005</c:v>
                </c:pt>
                <c:pt idx="18">
                  <c:v>0.56000000000000005</c:v>
                </c:pt>
                <c:pt idx="19">
                  <c:v>0.56999999999999995</c:v>
                </c:pt>
                <c:pt idx="20">
                  <c:v>0.51</c:v>
                </c:pt>
                <c:pt idx="21">
                  <c:v>0.42</c:v>
                </c:pt>
                <c:pt idx="22">
                  <c:v>0.53</c:v>
                </c:pt>
                <c:pt idx="23">
                  <c:v>0.52</c:v>
                </c:pt>
                <c:pt idx="24">
                  <c:v>0.46</c:v>
                </c:pt>
                <c:pt idx="25">
                  <c:v>0.44</c:v>
                </c:pt>
                <c:pt idx="26">
                  <c:v>0.36</c:v>
                </c:pt>
                <c:pt idx="27">
                  <c:v>0.25</c:v>
                </c:pt>
                <c:pt idx="28">
                  <c:v>0.21</c:v>
                </c:pt>
              </c:numCache>
            </c:numRef>
          </c:val>
          <c:extLst>
            <c:ext xmlns:c16="http://schemas.microsoft.com/office/drawing/2014/chart" uri="{C3380CC4-5D6E-409C-BE32-E72D297353CC}">
              <c16:uniqueId val="{00000024-1501-49E9-90A6-BFC49F29C1A1}"/>
            </c:ext>
          </c:extLst>
        </c:ser>
        <c:dLbls>
          <c:showLegendKey val="0"/>
          <c:showVal val="0"/>
          <c:showCatName val="0"/>
          <c:showSerName val="0"/>
          <c:showPercent val="0"/>
          <c:showBubbleSize val="0"/>
        </c:dLbls>
        <c:gapWidth val="39"/>
        <c:axId val="196689920"/>
        <c:axId val="196660608"/>
      </c:barChart>
      <c:catAx>
        <c:axId val="196689920"/>
        <c:scaling>
          <c:orientation val="minMax"/>
        </c:scaling>
        <c:delete val="0"/>
        <c:axPos val="b"/>
        <c:numFmt formatCode="General" sourceLinked="0"/>
        <c:majorTickMark val="out"/>
        <c:minorTickMark val="none"/>
        <c:tickLblPos val="nextTo"/>
        <c:spPr>
          <a:ln w="3175">
            <a:solidFill>
              <a:schemeClr val="tx1"/>
            </a:solidFill>
          </a:ln>
        </c:spPr>
        <c:crossAx val="196660608"/>
        <c:crosses val="autoZero"/>
        <c:auto val="1"/>
        <c:lblAlgn val="ctr"/>
        <c:lblOffset val="100"/>
        <c:noMultiLvlLbl val="0"/>
      </c:catAx>
      <c:valAx>
        <c:axId val="196660608"/>
        <c:scaling>
          <c:orientation val="minMax"/>
          <c:max val="1"/>
          <c:min val="0"/>
        </c:scaling>
        <c:delete val="1"/>
        <c:axPos val="l"/>
        <c:majorGridlines>
          <c:spPr>
            <a:ln>
              <a:noFill/>
              <a:prstDash val="dash"/>
            </a:ln>
          </c:spPr>
        </c:majorGridlines>
        <c:numFmt formatCode="0%" sourceLinked="1"/>
        <c:majorTickMark val="out"/>
        <c:minorTickMark val="none"/>
        <c:tickLblPos val="nextTo"/>
        <c:crossAx val="196689920"/>
        <c:crosses val="autoZero"/>
        <c:crossBetween val="between"/>
        <c:majorUnit val="0.25"/>
        <c:minorUnit val="0.05"/>
      </c:valAx>
      <c:spPr>
        <a:ln>
          <a:solidFill>
            <a:schemeClr val="tx1">
              <a:tint val="75000"/>
              <a:shade val="95000"/>
              <a:satMod val="105000"/>
            </a:schemeClr>
          </a:solidFill>
        </a:ln>
      </c:spPr>
    </c:plotArea>
    <c:legend>
      <c:legendPos val="r"/>
      <c:layout>
        <c:manualLayout>
          <c:xMode val="edge"/>
          <c:yMode val="edge"/>
          <c:x val="0.60358593291354001"/>
          <c:y val="0.14428981481481501"/>
          <c:w val="0.349432636090939"/>
          <c:h val="0.13598086419753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807817009299201"/>
          <c:w val="0.96494603737260098"/>
          <c:h val="0.57878790038123096"/>
        </c:manualLayout>
      </c:layout>
      <c:barChart>
        <c:barDir val="col"/>
        <c:grouping val="clustered"/>
        <c:varyColors val="0"/>
        <c:ser>
          <c:idx val="0"/>
          <c:order val="0"/>
          <c:tx>
            <c:strRef>
              <c:f>D_ENG!$H$680</c:f>
              <c:strCache>
                <c:ptCount val="1"/>
                <c:pt idx="0">
                  <c:v> 2011</c:v>
                </c:pt>
              </c:strCache>
            </c:strRef>
          </c:tx>
          <c:spPr>
            <a:solidFill>
              <a:srgbClr val="ABF3FF"/>
            </a:solidFill>
          </c:spPr>
          <c:invertIfNegative val="0"/>
          <c:dLbls>
            <c:dLbl>
              <c:idx val="0"/>
              <c:layout>
                <c:manualLayout>
                  <c:x val="-5.2320552361726003E-18"/>
                  <c:y val="7.2398190045248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78-4A92-9852-233F9F260C0E}"/>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78-4A92-9852-233F9F260C0E}"/>
                </c:ext>
              </c:extLst>
            </c:dLbl>
            <c:dLbl>
              <c:idx val="2"/>
              <c:layout>
                <c:manualLayout>
                  <c:x val="0"/>
                  <c:y val="7.2398190045248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78-4A92-9852-233F9F260C0E}"/>
                </c:ext>
              </c:extLst>
            </c:dLbl>
            <c:dLbl>
              <c:idx val="3"/>
              <c:layout>
                <c:manualLayout>
                  <c:x val="0"/>
                  <c:y val="3.61990950226244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78-4A92-9852-233F9F260C0E}"/>
                </c:ext>
              </c:extLst>
            </c:dLbl>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D_ENG!$G$681:$G$684</c:f>
              <c:strCache>
                <c:ptCount val="4"/>
                <c:pt idx="0">
                  <c:v>Total</c:v>
                </c:pt>
                <c:pt idx="1">
                  <c:v>Small</c:v>
                </c:pt>
                <c:pt idx="2">
                  <c:v>Medium</c:v>
                </c:pt>
                <c:pt idx="3">
                  <c:v>Large</c:v>
                </c:pt>
              </c:strCache>
            </c:strRef>
          </c:cat>
          <c:val>
            <c:numRef>
              <c:f>D_ENG!$H$681:$H$684</c:f>
              <c:numCache>
                <c:formatCode>0.00%</c:formatCode>
                <c:ptCount val="4"/>
                <c:pt idx="0">
                  <c:v>3.7999999999999999E-2</c:v>
                </c:pt>
                <c:pt idx="1">
                  <c:v>0.14299999999999999</c:v>
                </c:pt>
                <c:pt idx="2">
                  <c:v>4.3999999999999997E-2</c:v>
                </c:pt>
                <c:pt idx="3">
                  <c:v>2.4E-2</c:v>
                </c:pt>
              </c:numCache>
            </c:numRef>
          </c:val>
          <c:extLst>
            <c:ext xmlns:c16="http://schemas.microsoft.com/office/drawing/2014/chart" uri="{C3380CC4-5D6E-409C-BE32-E72D297353CC}">
              <c16:uniqueId val="{00000004-9A78-4A92-9852-233F9F260C0E}"/>
            </c:ext>
          </c:extLst>
        </c:ser>
        <c:ser>
          <c:idx val="1"/>
          <c:order val="1"/>
          <c:tx>
            <c:strRef>
              <c:f>D_ENG!$I$680</c:f>
              <c:strCache>
                <c:ptCount val="1"/>
                <c:pt idx="0">
                  <c:v> 2014</c:v>
                </c:pt>
              </c:strCache>
            </c:strRef>
          </c:tx>
          <c:spPr>
            <a:solidFill>
              <a:srgbClr val="47E5FF"/>
            </a:solidFill>
          </c:spPr>
          <c:invertIfNegative val="0"/>
          <c:dLbls>
            <c:dLbl>
              <c:idx val="0"/>
              <c:layout>
                <c:manualLayout>
                  <c:x val="-2.0928220944690401E-17"/>
                  <c:y val="6.6365007541478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78-4A92-9852-233F9F260C0E}"/>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78-4A92-9852-233F9F260C0E}"/>
                </c:ext>
              </c:extLst>
            </c:dLbl>
            <c:dLbl>
              <c:idx val="2"/>
              <c:layout>
                <c:manualLayout>
                  <c:x val="0"/>
                  <c:y val="9.65309200603317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78-4A92-9852-233F9F260C0E}"/>
                </c:ext>
              </c:extLst>
            </c:dLbl>
            <c:dLbl>
              <c:idx val="3"/>
              <c:layout>
                <c:manualLayout>
                  <c:x val="0"/>
                  <c:y val="4.8265460030165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78-4A92-9852-233F9F260C0E}"/>
                </c:ext>
              </c:extLst>
            </c:dLbl>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D_ENG!$G$681:$G$684</c:f>
              <c:strCache>
                <c:ptCount val="4"/>
                <c:pt idx="0">
                  <c:v>Total</c:v>
                </c:pt>
                <c:pt idx="1">
                  <c:v>Small</c:v>
                </c:pt>
                <c:pt idx="2">
                  <c:v>Medium</c:v>
                </c:pt>
                <c:pt idx="3">
                  <c:v>Large</c:v>
                </c:pt>
              </c:strCache>
            </c:strRef>
          </c:cat>
          <c:val>
            <c:numRef>
              <c:f>D_ENG!$I$681:$I$684</c:f>
              <c:numCache>
                <c:formatCode>0.00%</c:formatCode>
                <c:ptCount val="4"/>
                <c:pt idx="0">
                  <c:v>4.1000000000000002E-2</c:v>
                </c:pt>
                <c:pt idx="1">
                  <c:v>0.154</c:v>
                </c:pt>
                <c:pt idx="2">
                  <c:v>5.2999999999999999E-2</c:v>
                </c:pt>
                <c:pt idx="3">
                  <c:v>2.7E-2</c:v>
                </c:pt>
              </c:numCache>
            </c:numRef>
          </c:val>
          <c:extLst>
            <c:ext xmlns:c16="http://schemas.microsoft.com/office/drawing/2014/chart" uri="{C3380CC4-5D6E-409C-BE32-E72D297353CC}">
              <c16:uniqueId val="{00000009-9A78-4A92-9852-233F9F260C0E}"/>
            </c:ext>
          </c:extLst>
        </c:ser>
        <c:ser>
          <c:idx val="2"/>
          <c:order val="2"/>
          <c:tx>
            <c:strRef>
              <c:f>D_ENG!$J$680</c:f>
              <c:strCache>
                <c:ptCount val="1"/>
                <c:pt idx="0">
                  <c:v> 2017</c:v>
                </c:pt>
              </c:strCache>
            </c:strRef>
          </c:tx>
          <c:spPr>
            <a:solidFill>
              <a:srgbClr val="009BB4"/>
            </a:solidFill>
          </c:spPr>
          <c:invertIfNegative val="0"/>
          <c:dLbls>
            <c:dLbl>
              <c:idx val="0"/>
              <c:layout>
                <c:manualLayout>
                  <c:x val="-2.0928220944690401E-17"/>
                  <c:y val="7.2398190045248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78-4A92-9852-233F9F260C0E}"/>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78-4A92-9852-233F9F260C0E}"/>
                </c:ext>
              </c:extLst>
            </c:dLbl>
            <c:dLbl>
              <c:idx val="2"/>
              <c:layout>
                <c:manualLayout>
                  <c:x val="0"/>
                  <c:y val="9.0497737556561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78-4A92-9852-233F9F260C0E}"/>
                </c:ext>
              </c:extLst>
            </c:dLbl>
            <c:dLbl>
              <c:idx val="3"/>
              <c:layout>
                <c:manualLayout>
                  <c:x val="0"/>
                  <c:y val="5.4298642533936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78-4A92-9852-233F9F260C0E}"/>
                </c:ext>
              </c:extLst>
            </c:dLbl>
            <c:numFmt formatCode="0.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D_ENG!$G$681:$G$684</c:f>
              <c:strCache>
                <c:ptCount val="4"/>
                <c:pt idx="0">
                  <c:v>Total</c:v>
                </c:pt>
                <c:pt idx="1">
                  <c:v>Small</c:v>
                </c:pt>
                <c:pt idx="2">
                  <c:v>Medium</c:v>
                </c:pt>
                <c:pt idx="3">
                  <c:v>Large</c:v>
                </c:pt>
              </c:strCache>
            </c:strRef>
          </c:cat>
          <c:val>
            <c:numRef>
              <c:f>D_ENG!$J$681:$J$684</c:f>
              <c:numCache>
                <c:formatCode>0.00%</c:formatCode>
                <c:ptCount val="4"/>
                <c:pt idx="0">
                  <c:v>4.9000000000000002E-2</c:v>
                </c:pt>
                <c:pt idx="1">
                  <c:v>0.19500000000000001</c:v>
                </c:pt>
                <c:pt idx="2">
                  <c:v>5.8000000000000003E-2</c:v>
                </c:pt>
                <c:pt idx="3">
                  <c:v>3.3000000000000002E-2</c:v>
                </c:pt>
              </c:numCache>
            </c:numRef>
          </c:val>
          <c:extLst>
            <c:ext xmlns:c16="http://schemas.microsoft.com/office/drawing/2014/chart" uri="{C3380CC4-5D6E-409C-BE32-E72D297353CC}">
              <c16:uniqueId val="{0000000E-9A78-4A92-9852-233F9F260C0E}"/>
            </c:ext>
          </c:extLst>
        </c:ser>
        <c:dLbls>
          <c:showLegendKey val="0"/>
          <c:showVal val="1"/>
          <c:showCatName val="0"/>
          <c:showSerName val="0"/>
          <c:showPercent val="0"/>
          <c:showBubbleSize val="0"/>
        </c:dLbls>
        <c:gapWidth val="40"/>
        <c:overlap val="1"/>
        <c:axId val="196497408"/>
        <c:axId val="196663488"/>
      </c:barChart>
      <c:catAx>
        <c:axId val="196497408"/>
        <c:scaling>
          <c:orientation val="minMax"/>
        </c:scaling>
        <c:delete val="0"/>
        <c:axPos val="b"/>
        <c:numFmt formatCode="General" sourceLinked="1"/>
        <c:majorTickMark val="out"/>
        <c:minorTickMark val="none"/>
        <c:tickLblPos val="nextTo"/>
        <c:spPr>
          <a:ln w="3175">
            <a:solidFill>
              <a:schemeClr val="tx1"/>
            </a:solidFill>
          </a:ln>
        </c:spPr>
        <c:crossAx val="196663488"/>
        <c:crosses val="autoZero"/>
        <c:auto val="1"/>
        <c:lblAlgn val="ctr"/>
        <c:lblOffset val="100"/>
        <c:noMultiLvlLbl val="0"/>
      </c:catAx>
      <c:valAx>
        <c:axId val="196663488"/>
        <c:scaling>
          <c:orientation val="minMax"/>
          <c:max val="0.3"/>
          <c:min val="0"/>
        </c:scaling>
        <c:delete val="0"/>
        <c:axPos val="l"/>
        <c:numFmt formatCode="0.00%" sourceLinked="1"/>
        <c:majorTickMark val="none"/>
        <c:minorTickMark val="none"/>
        <c:tickLblPos val="none"/>
        <c:crossAx val="196497408"/>
        <c:crosses val="autoZero"/>
        <c:crossBetween val="between"/>
      </c:valAx>
      <c:spPr>
        <a:ln w="12700">
          <a:solidFill>
            <a:srgbClr val="A6A6A6"/>
          </a:solidFill>
        </a:ln>
      </c:spPr>
    </c:plotArea>
    <c:legend>
      <c:legendPos val="t"/>
      <c:layout>
        <c:manualLayout>
          <c:xMode val="edge"/>
          <c:yMode val="edge"/>
          <c:x val="0.216869809082084"/>
          <c:y val="0.20842412797947801"/>
          <c:w val="0.62734872182073098"/>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807817009299201"/>
          <c:w val="0.96494603737260098"/>
          <c:h val="0.58482108288500101"/>
        </c:manualLayout>
      </c:layout>
      <c:barChart>
        <c:barDir val="col"/>
        <c:grouping val="clustered"/>
        <c:varyColors val="0"/>
        <c:ser>
          <c:idx val="0"/>
          <c:order val="0"/>
          <c:tx>
            <c:strRef>
              <c:f>D_ENG!$H$668</c:f>
              <c:strCache>
                <c:ptCount val="1"/>
                <c:pt idx="0">
                  <c:v> 2011</c:v>
                </c:pt>
              </c:strCache>
            </c:strRef>
          </c:tx>
          <c:spPr>
            <a:solidFill>
              <a:srgbClr val="ABF3FF"/>
            </a:solidFill>
          </c:spPr>
          <c:invertIfNegative val="0"/>
          <c:dLbls>
            <c:numFmt formatCode="0.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D_ENG!$G$669:$G$672</c:f>
              <c:strCache>
                <c:ptCount val="4"/>
                <c:pt idx="0">
                  <c:v>Total</c:v>
                </c:pt>
                <c:pt idx="1">
                  <c:v>Small</c:v>
                </c:pt>
                <c:pt idx="2">
                  <c:v>Medium</c:v>
                </c:pt>
                <c:pt idx="3">
                  <c:v>Large</c:v>
                </c:pt>
              </c:strCache>
            </c:strRef>
          </c:cat>
          <c:val>
            <c:numRef>
              <c:f>D_ENG!$H$669:$H$672</c:f>
              <c:numCache>
                <c:formatCode>0.00%</c:formatCode>
                <c:ptCount val="4"/>
                <c:pt idx="0">
                  <c:v>2.5000000000000001E-2</c:v>
                </c:pt>
                <c:pt idx="1">
                  <c:v>2.9000000000000001E-2</c:v>
                </c:pt>
                <c:pt idx="2">
                  <c:v>2.7E-2</c:v>
                </c:pt>
                <c:pt idx="3">
                  <c:v>2.1000000000000001E-2</c:v>
                </c:pt>
              </c:numCache>
            </c:numRef>
          </c:val>
          <c:extLst>
            <c:ext xmlns:c16="http://schemas.microsoft.com/office/drawing/2014/chart" uri="{C3380CC4-5D6E-409C-BE32-E72D297353CC}">
              <c16:uniqueId val="{00000000-99C0-46F0-AB91-DA65BD54908A}"/>
            </c:ext>
          </c:extLst>
        </c:ser>
        <c:ser>
          <c:idx val="1"/>
          <c:order val="1"/>
          <c:tx>
            <c:strRef>
              <c:f>D_ENG!$I$668</c:f>
              <c:strCache>
                <c:ptCount val="1"/>
                <c:pt idx="0">
                  <c:v> 2014</c:v>
                </c:pt>
              </c:strCache>
            </c:strRef>
          </c:tx>
          <c:spPr>
            <a:solidFill>
              <a:srgbClr val="47E5FF"/>
            </a:solidFill>
          </c:spPr>
          <c:invertIfNegative val="0"/>
          <c:dLbls>
            <c:numFmt formatCode="0.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D_ENG!$G$669:$G$672</c:f>
              <c:strCache>
                <c:ptCount val="4"/>
                <c:pt idx="0">
                  <c:v>Total</c:v>
                </c:pt>
                <c:pt idx="1">
                  <c:v>Small</c:v>
                </c:pt>
                <c:pt idx="2">
                  <c:v>Medium</c:v>
                </c:pt>
                <c:pt idx="3">
                  <c:v>Large</c:v>
                </c:pt>
              </c:strCache>
            </c:strRef>
          </c:cat>
          <c:val>
            <c:numRef>
              <c:f>D_ENG!$I$669:$I$672</c:f>
              <c:numCache>
                <c:formatCode>0.00%</c:formatCode>
                <c:ptCount val="4"/>
                <c:pt idx="0">
                  <c:v>2.4E-2</c:v>
                </c:pt>
                <c:pt idx="1">
                  <c:v>2.5999999999999999E-2</c:v>
                </c:pt>
                <c:pt idx="2">
                  <c:v>2.5999999999999999E-2</c:v>
                </c:pt>
                <c:pt idx="3">
                  <c:v>2.3E-2</c:v>
                </c:pt>
              </c:numCache>
            </c:numRef>
          </c:val>
          <c:extLst>
            <c:ext xmlns:c16="http://schemas.microsoft.com/office/drawing/2014/chart" uri="{C3380CC4-5D6E-409C-BE32-E72D297353CC}">
              <c16:uniqueId val="{00000001-99C0-46F0-AB91-DA65BD54908A}"/>
            </c:ext>
          </c:extLst>
        </c:ser>
        <c:ser>
          <c:idx val="2"/>
          <c:order val="2"/>
          <c:tx>
            <c:strRef>
              <c:f>D_ENG!$J$668</c:f>
              <c:strCache>
                <c:ptCount val="1"/>
                <c:pt idx="0">
                  <c:v> 2017</c:v>
                </c:pt>
              </c:strCache>
            </c:strRef>
          </c:tx>
          <c:spPr>
            <a:solidFill>
              <a:srgbClr val="009BB4"/>
            </a:solidFill>
          </c:spPr>
          <c:invertIfNegative val="0"/>
          <c:dLbls>
            <c:numFmt formatCode="0.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D_ENG!$G$669:$G$672</c:f>
              <c:strCache>
                <c:ptCount val="4"/>
                <c:pt idx="0">
                  <c:v>Total</c:v>
                </c:pt>
                <c:pt idx="1">
                  <c:v>Small</c:v>
                </c:pt>
                <c:pt idx="2">
                  <c:v>Medium</c:v>
                </c:pt>
                <c:pt idx="3">
                  <c:v>Large</c:v>
                </c:pt>
              </c:strCache>
            </c:strRef>
          </c:cat>
          <c:val>
            <c:numRef>
              <c:f>D_ENG!$J$669:$J$672</c:f>
              <c:numCache>
                <c:formatCode>0.00%</c:formatCode>
                <c:ptCount val="4"/>
                <c:pt idx="0">
                  <c:v>2.8000000000000001E-2</c:v>
                </c:pt>
                <c:pt idx="1">
                  <c:v>2.9000000000000001E-2</c:v>
                </c:pt>
                <c:pt idx="2">
                  <c:v>2.7E-2</c:v>
                </c:pt>
                <c:pt idx="3">
                  <c:v>2.9000000000000001E-2</c:v>
                </c:pt>
              </c:numCache>
            </c:numRef>
          </c:val>
          <c:extLst>
            <c:ext xmlns:c16="http://schemas.microsoft.com/office/drawing/2014/chart" uri="{C3380CC4-5D6E-409C-BE32-E72D297353CC}">
              <c16:uniqueId val="{00000002-99C0-46F0-AB91-DA65BD54908A}"/>
            </c:ext>
          </c:extLst>
        </c:ser>
        <c:dLbls>
          <c:showLegendKey val="0"/>
          <c:showVal val="1"/>
          <c:showCatName val="0"/>
          <c:showSerName val="0"/>
          <c:showPercent val="0"/>
          <c:showBubbleSize val="0"/>
        </c:dLbls>
        <c:gapWidth val="40"/>
        <c:overlap val="1"/>
        <c:axId val="196692480"/>
        <c:axId val="196661760"/>
      </c:barChart>
      <c:catAx>
        <c:axId val="196692480"/>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96661760"/>
        <c:crosses val="autoZero"/>
        <c:auto val="1"/>
        <c:lblAlgn val="ctr"/>
        <c:lblOffset val="100"/>
        <c:noMultiLvlLbl val="0"/>
      </c:catAx>
      <c:valAx>
        <c:axId val="196661760"/>
        <c:scaling>
          <c:orientation val="minMax"/>
          <c:max val="0.1"/>
          <c:min val="0"/>
        </c:scaling>
        <c:delete val="0"/>
        <c:axPos val="l"/>
        <c:numFmt formatCode="0.00%" sourceLinked="1"/>
        <c:majorTickMark val="none"/>
        <c:minorTickMark val="none"/>
        <c:tickLblPos val="none"/>
        <c:crossAx val="196692480"/>
        <c:crosses val="autoZero"/>
        <c:crossBetween val="between"/>
      </c:valAx>
      <c:spPr>
        <a:ln w="12700">
          <a:solidFill>
            <a:srgbClr val="A6A6A6"/>
          </a:solidFill>
        </a:ln>
      </c:spPr>
    </c:plotArea>
    <c:legend>
      <c:legendPos val="t"/>
      <c:layout>
        <c:manualLayout>
          <c:xMode val="edge"/>
          <c:yMode val="edge"/>
          <c:x val="0.15750907848847701"/>
          <c:y val="0.20842412797947801"/>
          <c:w val="0.62734872182073098"/>
          <c:h val="9.5599339675300807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807817009299201"/>
          <c:w val="0.96494603737260098"/>
          <c:h val="0.59085426538877195"/>
        </c:manualLayout>
      </c:layout>
      <c:barChart>
        <c:barDir val="col"/>
        <c:grouping val="clustered"/>
        <c:varyColors val="0"/>
        <c:ser>
          <c:idx val="0"/>
          <c:order val="0"/>
          <c:tx>
            <c:strRef>
              <c:f>D_ENG!$H$646</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D_ENG!$G$647:$G$650</c:f>
              <c:strCache>
                <c:ptCount val="4"/>
                <c:pt idx="0">
                  <c:v>Total</c:v>
                </c:pt>
                <c:pt idx="1">
                  <c:v>Small</c:v>
                </c:pt>
                <c:pt idx="2">
                  <c:v>Medium</c:v>
                </c:pt>
                <c:pt idx="3">
                  <c:v>Large</c:v>
                </c:pt>
              </c:strCache>
            </c:strRef>
          </c:cat>
          <c:val>
            <c:numRef>
              <c:f>D_ENG!$H$647:$H$650</c:f>
              <c:numCache>
                <c:formatCode>0%</c:formatCode>
                <c:ptCount val="4"/>
                <c:pt idx="0">
                  <c:v>0.21</c:v>
                </c:pt>
                <c:pt idx="1">
                  <c:v>0.24</c:v>
                </c:pt>
                <c:pt idx="2">
                  <c:v>0.17</c:v>
                </c:pt>
                <c:pt idx="3">
                  <c:v>0.23</c:v>
                </c:pt>
              </c:numCache>
            </c:numRef>
          </c:val>
          <c:extLst>
            <c:ext xmlns:c16="http://schemas.microsoft.com/office/drawing/2014/chart" uri="{C3380CC4-5D6E-409C-BE32-E72D297353CC}">
              <c16:uniqueId val="{00000000-949D-43F5-85EE-E94BE88A77EF}"/>
            </c:ext>
          </c:extLst>
        </c:ser>
        <c:ser>
          <c:idx val="1"/>
          <c:order val="1"/>
          <c:tx>
            <c:strRef>
              <c:f>D_ENG!$I$646</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D_ENG!$G$647:$G$650</c:f>
              <c:strCache>
                <c:ptCount val="4"/>
                <c:pt idx="0">
                  <c:v>Total</c:v>
                </c:pt>
                <c:pt idx="1">
                  <c:v>Small</c:v>
                </c:pt>
                <c:pt idx="2">
                  <c:v>Medium</c:v>
                </c:pt>
                <c:pt idx="3">
                  <c:v>Large</c:v>
                </c:pt>
              </c:strCache>
            </c:strRef>
          </c:cat>
          <c:val>
            <c:numRef>
              <c:f>D_ENG!$I$647:$I$650</c:f>
              <c:numCache>
                <c:formatCode>0%</c:formatCode>
                <c:ptCount val="4"/>
                <c:pt idx="0">
                  <c:v>0.26</c:v>
                </c:pt>
                <c:pt idx="1">
                  <c:v>0.3</c:v>
                </c:pt>
                <c:pt idx="2">
                  <c:v>0.19</c:v>
                </c:pt>
                <c:pt idx="3">
                  <c:v>0.28999999999999998</c:v>
                </c:pt>
              </c:numCache>
            </c:numRef>
          </c:val>
          <c:extLst>
            <c:ext xmlns:c16="http://schemas.microsoft.com/office/drawing/2014/chart" uri="{C3380CC4-5D6E-409C-BE32-E72D297353CC}">
              <c16:uniqueId val="{00000001-949D-43F5-85EE-E94BE88A77EF}"/>
            </c:ext>
          </c:extLst>
        </c:ser>
        <c:ser>
          <c:idx val="2"/>
          <c:order val="2"/>
          <c:tx>
            <c:strRef>
              <c:f>D_ENG!$J$646</c:f>
              <c:strCache>
                <c:ptCount val="1"/>
                <c:pt idx="0">
                  <c:v> 2016</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D_ENG!$G$647:$G$650</c:f>
              <c:strCache>
                <c:ptCount val="4"/>
                <c:pt idx="0">
                  <c:v>Total</c:v>
                </c:pt>
                <c:pt idx="1">
                  <c:v>Small</c:v>
                </c:pt>
                <c:pt idx="2">
                  <c:v>Medium</c:v>
                </c:pt>
                <c:pt idx="3">
                  <c:v>Large</c:v>
                </c:pt>
              </c:strCache>
            </c:strRef>
          </c:cat>
          <c:val>
            <c:numRef>
              <c:f>D_ENG!$J$647:$J$650</c:f>
              <c:numCache>
                <c:formatCode>0%</c:formatCode>
                <c:ptCount val="4"/>
                <c:pt idx="0">
                  <c:v>0.28999999999999998</c:v>
                </c:pt>
                <c:pt idx="1">
                  <c:v>0.32</c:v>
                </c:pt>
                <c:pt idx="2">
                  <c:v>0.22</c:v>
                </c:pt>
                <c:pt idx="3">
                  <c:v>0.35</c:v>
                </c:pt>
              </c:numCache>
            </c:numRef>
          </c:val>
          <c:extLst>
            <c:ext xmlns:c16="http://schemas.microsoft.com/office/drawing/2014/chart" uri="{C3380CC4-5D6E-409C-BE32-E72D297353CC}">
              <c16:uniqueId val="{00000002-949D-43F5-85EE-E94BE88A77EF}"/>
            </c:ext>
          </c:extLst>
        </c:ser>
        <c:dLbls>
          <c:showLegendKey val="0"/>
          <c:showVal val="1"/>
          <c:showCatName val="0"/>
          <c:showSerName val="0"/>
          <c:showPercent val="0"/>
          <c:showBubbleSize val="0"/>
        </c:dLbls>
        <c:gapWidth val="50"/>
        <c:overlap val="1"/>
        <c:axId val="196499968"/>
        <c:axId val="196665344"/>
      </c:barChart>
      <c:catAx>
        <c:axId val="196499968"/>
        <c:scaling>
          <c:orientation val="minMax"/>
        </c:scaling>
        <c:delete val="0"/>
        <c:axPos val="b"/>
        <c:numFmt formatCode="General" sourceLinked="1"/>
        <c:majorTickMark val="out"/>
        <c:minorTickMark val="none"/>
        <c:tickLblPos val="nextTo"/>
        <c:spPr>
          <a:ln w="3175">
            <a:solidFill>
              <a:schemeClr val="tx1"/>
            </a:solidFill>
          </a:ln>
        </c:spPr>
        <c:crossAx val="196665344"/>
        <c:crosses val="autoZero"/>
        <c:auto val="1"/>
        <c:lblAlgn val="ctr"/>
        <c:lblOffset val="100"/>
        <c:noMultiLvlLbl val="0"/>
      </c:catAx>
      <c:valAx>
        <c:axId val="196665344"/>
        <c:scaling>
          <c:orientation val="minMax"/>
          <c:max val="0.8"/>
          <c:min val="0"/>
        </c:scaling>
        <c:delete val="0"/>
        <c:axPos val="l"/>
        <c:numFmt formatCode="0%" sourceLinked="1"/>
        <c:majorTickMark val="none"/>
        <c:minorTickMark val="none"/>
        <c:tickLblPos val="none"/>
        <c:crossAx val="196499968"/>
        <c:crosses val="autoZero"/>
        <c:crossBetween val="between"/>
      </c:valAx>
      <c:spPr>
        <a:ln w="12700">
          <a:solidFill>
            <a:srgbClr val="A6A6A6"/>
          </a:solidFill>
        </a:ln>
      </c:spPr>
    </c:plotArea>
    <c:legend>
      <c:legendPos val="t"/>
      <c:layout>
        <c:manualLayout>
          <c:xMode val="edge"/>
          <c:yMode val="edge"/>
          <c:x val="0.15750907848847701"/>
          <c:y val="0.24462322300210201"/>
          <c:w val="0.62734872182073098"/>
          <c:h val="0.119732069690384"/>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20310354062885"/>
          <c:w val="0.96494603737260098"/>
          <c:h val="0.54952166693449001"/>
        </c:manualLayout>
      </c:layout>
      <c:barChart>
        <c:barDir val="col"/>
        <c:grouping val="clustered"/>
        <c:varyColors val="0"/>
        <c:ser>
          <c:idx val="0"/>
          <c:order val="0"/>
          <c:tx>
            <c:strRef>
              <c:f>D_ENG!$H$658</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D_ENG!$G$659:$G$662</c:f>
              <c:strCache>
                <c:ptCount val="4"/>
                <c:pt idx="0">
                  <c:v>Total</c:v>
                </c:pt>
                <c:pt idx="1">
                  <c:v>Small</c:v>
                </c:pt>
                <c:pt idx="2">
                  <c:v>Medium</c:v>
                </c:pt>
                <c:pt idx="3">
                  <c:v>Large</c:v>
                </c:pt>
              </c:strCache>
            </c:strRef>
          </c:cat>
          <c:val>
            <c:numRef>
              <c:f>D_ENG!$H$659:$H$662</c:f>
              <c:numCache>
                <c:formatCode>0%</c:formatCode>
                <c:ptCount val="4"/>
                <c:pt idx="0">
                  <c:v>0.48</c:v>
                </c:pt>
                <c:pt idx="1">
                  <c:v>0.37</c:v>
                </c:pt>
                <c:pt idx="2">
                  <c:v>0.52</c:v>
                </c:pt>
                <c:pt idx="3">
                  <c:v>0.71</c:v>
                </c:pt>
              </c:numCache>
            </c:numRef>
          </c:val>
          <c:extLst>
            <c:ext xmlns:c16="http://schemas.microsoft.com/office/drawing/2014/chart" uri="{C3380CC4-5D6E-409C-BE32-E72D297353CC}">
              <c16:uniqueId val="{00000000-4E4E-42E2-97C0-181EA01DC489}"/>
            </c:ext>
          </c:extLst>
        </c:ser>
        <c:ser>
          <c:idx val="1"/>
          <c:order val="1"/>
          <c:tx>
            <c:strRef>
              <c:f>D_ENG!$I$658</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D_ENG!$G$659:$G$662</c:f>
              <c:strCache>
                <c:ptCount val="4"/>
                <c:pt idx="0">
                  <c:v>Total</c:v>
                </c:pt>
                <c:pt idx="1">
                  <c:v>Small</c:v>
                </c:pt>
                <c:pt idx="2">
                  <c:v>Medium</c:v>
                </c:pt>
                <c:pt idx="3">
                  <c:v>Large</c:v>
                </c:pt>
              </c:strCache>
            </c:strRef>
          </c:cat>
          <c:val>
            <c:numRef>
              <c:f>D_ENG!$I$659:$I$662</c:f>
              <c:numCache>
                <c:formatCode>0%</c:formatCode>
                <c:ptCount val="4"/>
                <c:pt idx="0">
                  <c:v>0.5</c:v>
                </c:pt>
                <c:pt idx="1">
                  <c:v>0.4</c:v>
                </c:pt>
                <c:pt idx="2">
                  <c:v>0.54</c:v>
                </c:pt>
                <c:pt idx="3">
                  <c:v>0.72</c:v>
                </c:pt>
              </c:numCache>
            </c:numRef>
          </c:val>
          <c:extLst>
            <c:ext xmlns:c16="http://schemas.microsoft.com/office/drawing/2014/chart" uri="{C3380CC4-5D6E-409C-BE32-E72D297353CC}">
              <c16:uniqueId val="{00000001-4E4E-42E2-97C0-181EA01DC489}"/>
            </c:ext>
          </c:extLst>
        </c:ser>
        <c:ser>
          <c:idx val="2"/>
          <c:order val="2"/>
          <c:tx>
            <c:strRef>
              <c:f>D_ENG!$J$658</c:f>
              <c:strCache>
                <c:ptCount val="1"/>
                <c:pt idx="0">
                  <c:v> 2016</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D_ENG!$G$659:$G$662</c:f>
              <c:strCache>
                <c:ptCount val="4"/>
                <c:pt idx="0">
                  <c:v>Total</c:v>
                </c:pt>
                <c:pt idx="1">
                  <c:v>Small</c:v>
                </c:pt>
                <c:pt idx="2">
                  <c:v>Medium</c:v>
                </c:pt>
                <c:pt idx="3">
                  <c:v>Large</c:v>
                </c:pt>
              </c:strCache>
            </c:strRef>
          </c:cat>
          <c:val>
            <c:numRef>
              <c:f>D_ENG!$J$659:$J$662</c:f>
              <c:numCache>
                <c:formatCode>0%</c:formatCode>
                <c:ptCount val="4"/>
                <c:pt idx="0">
                  <c:v>0.53</c:v>
                </c:pt>
                <c:pt idx="1">
                  <c:v>0.42</c:v>
                </c:pt>
                <c:pt idx="2">
                  <c:v>0.59</c:v>
                </c:pt>
                <c:pt idx="3">
                  <c:v>0.74</c:v>
                </c:pt>
              </c:numCache>
            </c:numRef>
          </c:val>
          <c:extLst>
            <c:ext xmlns:c16="http://schemas.microsoft.com/office/drawing/2014/chart" uri="{C3380CC4-5D6E-409C-BE32-E72D297353CC}">
              <c16:uniqueId val="{00000002-4E4E-42E2-97C0-181EA01DC489}"/>
            </c:ext>
          </c:extLst>
        </c:ser>
        <c:dLbls>
          <c:showLegendKey val="0"/>
          <c:showVal val="1"/>
          <c:showCatName val="0"/>
          <c:showSerName val="0"/>
          <c:showPercent val="0"/>
          <c:showBubbleSize val="0"/>
        </c:dLbls>
        <c:gapWidth val="50"/>
        <c:overlap val="1"/>
        <c:axId val="197166592"/>
        <c:axId val="196667072"/>
      </c:barChart>
      <c:catAx>
        <c:axId val="197166592"/>
        <c:scaling>
          <c:orientation val="minMax"/>
        </c:scaling>
        <c:delete val="0"/>
        <c:axPos val="b"/>
        <c:numFmt formatCode="General" sourceLinked="1"/>
        <c:majorTickMark val="out"/>
        <c:minorTickMark val="none"/>
        <c:tickLblPos val="nextTo"/>
        <c:spPr>
          <a:ln w="3175">
            <a:solidFill>
              <a:schemeClr val="tx1"/>
            </a:solidFill>
          </a:ln>
        </c:spPr>
        <c:crossAx val="196667072"/>
        <c:crosses val="autoZero"/>
        <c:auto val="1"/>
        <c:lblAlgn val="ctr"/>
        <c:lblOffset val="100"/>
        <c:noMultiLvlLbl val="0"/>
      </c:catAx>
      <c:valAx>
        <c:axId val="196667072"/>
        <c:scaling>
          <c:orientation val="minMax"/>
          <c:max val="1"/>
          <c:min val="0"/>
        </c:scaling>
        <c:delete val="0"/>
        <c:axPos val="l"/>
        <c:numFmt formatCode="0%" sourceLinked="1"/>
        <c:majorTickMark val="none"/>
        <c:minorTickMark val="none"/>
        <c:tickLblPos val="none"/>
        <c:crossAx val="197166592"/>
        <c:crosses val="autoZero"/>
        <c:crossBetween val="between"/>
      </c:valAx>
      <c:spPr>
        <a:ln w="12700">
          <a:solidFill>
            <a:srgbClr val="A6A6A6"/>
          </a:solidFill>
        </a:ln>
      </c:spPr>
    </c:plotArea>
    <c:legend>
      <c:legendPos val="t"/>
      <c:layout>
        <c:manualLayout>
          <c:xMode val="edge"/>
          <c:yMode val="edge"/>
          <c:x val="0.134556430446194"/>
          <c:y val="0.22664684771546401"/>
          <c:w val="0.51573123359580098"/>
          <c:h val="0.121398575178103"/>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52535232459E-2"/>
          <c:y val="0.17694644804891199"/>
          <c:w val="0.96885976842926902"/>
          <c:h val="0.66102274504039904"/>
        </c:manualLayout>
      </c:layout>
      <c:barChart>
        <c:barDir val="col"/>
        <c:grouping val="clustered"/>
        <c:varyColors val="0"/>
        <c:ser>
          <c:idx val="0"/>
          <c:order val="0"/>
          <c:tx>
            <c:strRef>
              <c:f>E_EN!$I$4</c:f>
              <c:strCache>
                <c:ptCount val="1"/>
                <c:pt idx="0">
                  <c:v> Criminal register</c:v>
                </c:pt>
              </c:strCache>
            </c:strRef>
          </c:tx>
          <c:spPr>
            <a:solidFill>
              <a:srgbClr val="009BB4"/>
            </a:solidFill>
            <a:ln w="25400">
              <a:noFill/>
            </a:ln>
          </c:spPr>
          <c:invertIfNegative val="0"/>
          <c:dLbls>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E_EN!$J$3:$Q$3</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E_EN!$J$4:$Q$4</c:f>
              <c:numCache>
                <c:formatCode>#,##0</c:formatCode>
                <c:ptCount val="8"/>
                <c:pt idx="0">
                  <c:v>790.13</c:v>
                </c:pt>
                <c:pt idx="1">
                  <c:v>818.88400000000001</c:v>
                </c:pt>
                <c:pt idx="2">
                  <c:v>749.15</c:v>
                </c:pt>
                <c:pt idx="3">
                  <c:v>752.01800000000003</c:v>
                </c:pt>
                <c:pt idx="4">
                  <c:v>776.35699999999827</c:v>
                </c:pt>
                <c:pt idx="5">
                  <c:v>828.95499999999936</c:v>
                </c:pt>
                <c:pt idx="6">
                  <c:v>920.60400000000004</c:v>
                </c:pt>
                <c:pt idx="7">
                  <c:v>901.83399999999938</c:v>
                </c:pt>
              </c:numCache>
            </c:numRef>
          </c:val>
          <c:extLst>
            <c:ext xmlns:c16="http://schemas.microsoft.com/office/drawing/2014/chart" uri="{C3380CC4-5D6E-409C-BE32-E72D297353CC}">
              <c16:uniqueId val="{00000000-A7A1-4B36-9447-05956F7F6BB0}"/>
            </c:ext>
          </c:extLst>
        </c:ser>
        <c:ser>
          <c:idx val="1"/>
          <c:order val="1"/>
          <c:tx>
            <c:strRef>
              <c:f>E_EN!$I$5</c:f>
              <c:strCache>
                <c:ptCount val="1"/>
                <c:pt idx="0">
                  <c:v> Land register</c:v>
                </c:pt>
              </c:strCache>
            </c:strRef>
          </c:tx>
          <c:spPr>
            <a:solidFill>
              <a:srgbClr val="47E5FF"/>
            </a:solidFill>
            <a:ln w="25400">
              <a:noFill/>
            </a:ln>
          </c:spPr>
          <c:invertIfNegative val="0"/>
          <c:dLbls>
            <c:dLbl>
              <c:idx val="4"/>
              <c:layout>
                <c:manualLayout>
                  <c:x val="0"/>
                  <c:y val="0.240576409004564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1-4B36-9447-05956F7F6BB0}"/>
                </c:ext>
              </c:extLst>
            </c:dLbl>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E_EN!$J$3:$Q$3</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E_EN!$J$5:$Q$5</c:f>
              <c:numCache>
                <c:formatCode>#,##0</c:formatCode>
                <c:ptCount val="8"/>
                <c:pt idx="0">
                  <c:v>441.72599999999898</c:v>
                </c:pt>
                <c:pt idx="1">
                  <c:v>414.63299999999992</c:v>
                </c:pt>
                <c:pt idx="2">
                  <c:v>407.47800000000001</c:v>
                </c:pt>
                <c:pt idx="3">
                  <c:v>399.92500000000001</c:v>
                </c:pt>
                <c:pt idx="4">
                  <c:v>376.37799999999999</c:v>
                </c:pt>
                <c:pt idx="5">
                  <c:v>349.21800000000002</c:v>
                </c:pt>
                <c:pt idx="6">
                  <c:v>320.41199999999901</c:v>
                </c:pt>
                <c:pt idx="7">
                  <c:v>282.36799999999999</c:v>
                </c:pt>
              </c:numCache>
            </c:numRef>
          </c:val>
          <c:extLst>
            <c:ext xmlns:c16="http://schemas.microsoft.com/office/drawing/2014/chart" uri="{C3380CC4-5D6E-409C-BE32-E72D297353CC}">
              <c16:uniqueId val="{00000002-A7A1-4B36-9447-05956F7F6BB0}"/>
            </c:ext>
          </c:extLst>
        </c:ser>
        <c:ser>
          <c:idx val="2"/>
          <c:order val="2"/>
          <c:tx>
            <c:strRef>
              <c:f>E_EN!$I$6</c:f>
              <c:strCache>
                <c:ptCount val="1"/>
                <c:pt idx="0">
                  <c:v> Commercial register</c:v>
                </c:pt>
              </c:strCache>
            </c:strRef>
          </c:tx>
          <c:spPr>
            <a:solidFill>
              <a:srgbClr val="ABF3FF"/>
            </a:solidFill>
            <a:ln w="25400">
              <a:noFill/>
            </a:ln>
          </c:spPr>
          <c:invertIfNegative val="0"/>
          <c:dLbls>
            <c:dLbl>
              <c:idx val="3"/>
              <c:layout>
                <c:manualLayout>
                  <c:x val="0"/>
                  <c:y val="9.4452111011896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1-4B36-9447-05956F7F6BB0}"/>
                </c:ext>
              </c:extLst>
            </c:dLbl>
            <c:dLbl>
              <c:idx val="4"/>
              <c:layout>
                <c:manualLayout>
                  <c:x val="1.03796866511246E-16"/>
                  <c:y val="9.05531653904089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A1-4B36-9447-05956F7F6BB0}"/>
                </c:ext>
              </c:extLst>
            </c:dLbl>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E_EN!$J$3:$Q$3</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E_EN!$J$6:$Q$6</c:f>
              <c:numCache>
                <c:formatCode>#,##0</c:formatCode>
                <c:ptCount val="8"/>
                <c:pt idx="0">
                  <c:v>327.22500000000002</c:v>
                </c:pt>
                <c:pt idx="1">
                  <c:v>326.45499999999993</c:v>
                </c:pt>
                <c:pt idx="2">
                  <c:v>348.49200000000002</c:v>
                </c:pt>
                <c:pt idx="3">
                  <c:v>297.11799999999999</c:v>
                </c:pt>
                <c:pt idx="4">
                  <c:v>295.39100000000002</c:v>
                </c:pt>
                <c:pt idx="5">
                  <c:v>241.304</c:v>
                </c:pt>
                <c:pt idx="6">
                  <c:v>210.72</c:v>
                </c:pt>
                <c:pt idx="7">
                  <c:v>179.60400000000001</c:v>
                </c:pt>
              </c:numCache>
            </c:numRef>
          </c:val>
          <c:extLst>
            <c:ext xmlns:c16="http://schemas.microsoft.com/office/drawing/2014/chart" uri="{C3380CC4-5D6E-409C-BE32-E72D297353CC}">
              <c16:uniqueId val="{00000005-A7A1-4B36-9447-05956F7F6BB0}"/>
            </c:ext>
          </c:extLst>
        </c:ser>
        <c:dLbls>
          <c:showLegendKey val="0"/>
          <c:showVal val="1"/>
          <c:showCatName val="0"/>
          <c:showSerName val="0"/>
          <c:showPercent val="0"/>
          <c:showBubbleSize val="0"/>
        </c:dLbls>
        <c:gapWidth val="70"/>
        <c:axId val="197167104"/>
        <c:axId val="196668800"/>
      </c:barChart>
      <c:catAx>
        <c:axId val="197167104"/>
        <c:scaling>
          <c:orientation val="minMax"/>
        </c:scaling>
        <c:delete val="0"/>
        <c:axPos val="b"/>
        <c:numFmt formatCode="0" sourceLinked="0"/>
        <c:majorTickMark val="out"/>
        <c:minorTickMark val="none"/>
        <c:tickLblPos val="nextTo"/>
        <c:spPr>
          <a:ln w="3175">
            <a:solidFill>
              <a:schemeClr val="tx1"/>
            </a:solidFill>
          </a:ln>
        </c:spPr>
        <c:txPr>
          <a:bodyPr rot="0" vert="horz"/>
          <a:lstStyle/>
          <a:p>
            <a:pPr>
              <a:defRPr sz="800" b="0" i="0" u="none" strike="noStrike" baseline="0">
                <a:solidFill>
                  <a:srgbClr val="000000"/>
                </a:solidFill>
                <a:latin typeface="Arial CE"/>
                <a:ea typeface="Arial CE"/>
                <a:cs typeface="Arial CE"/>
              </a:defRPr>
            </a:pPr>
            <a:endParaRPr lang="cs-CZ"/>
          </a:p>
        </c:txPr>
        <c:crossAx val="196668800"/>
        <c:crosses val="autoZero"/>
        <c:auto val="1"/>
        <c:lblAlgn val="ctr"/>
        <c:lblOffset val="100"/>
        <c:noMultiLvlLbl val="0"/>
      </c:catAx>
      <c:valAx>
        <c:axId val="196668800"/>
        <c:scaling>
          <c:orientation val="minMax"/>
          <c:max val="1150"/>
          <c:min val="0"/>
        </c:scaling>
        <c:delete val="0"/>
        <c:axPos val="l"/>
        <c:numFmt formatCode="#,##0" sourceLinked="0"/>
        <c:majorTickMark val="none"/>
        <c:minorTickMark val="none"/>
        <c:tickLblPos val="none"/>
        <c:spPr>
          <a:ln w="3175">
            <a:solidFill>
              <a:srgbClr val="808080"/>
            </a:solidFill>
            <a:prstDash val="solid"/>
          </a:ln>
        </c:spPr>
        <c:crossAx val="197167104"/>
        <c:crosses val="autoZero"/>
        <c:crossBetween val="between"/>
        <c:majorUnit val="200"/>
        <c:minorUnit val="10"/>
      </c:valAx>
      <c:spPr>
        <a:noFill/>
        <a:ln w="12700">
          <a:solidFill>
            <a:srgbClr val="A6A6A6"/>
          </a:solidFill>
          <a:prstDash val="solid"/>
        </a:ln>
      </c:spPr>
    </c:plotArea>
    <c:legend>
      <c:legendPos val="t"/>
      <c:layout>
        <c:manualLayout>
          <c:xMode val="edge"/>
          <c:yMode val="edge"/>
          <c:x val="4.8124557678697798E-2"/>
          <c:y val="0.19781409741810899"/>
          <c:w val="0.89401706720679497"/>
          <c:h val="9.61267702012637E-2"/>
        </c:manualLayout>
      </c:layout>
      <c:overlay val="0"/>
      <c:spPr>
        <a:ln>
          <a:solidFill>
            <a:schemeClr val="bg1">
              <a:lumMod val="50000"/>
            </a:schemeClr>
          </a:solidFill>
        </a:ln>
      </c:spPr>
      <c:txPr>
        <a:bodyPr/>
        <a:lstStyle/>
        <a:p>
          <a:pPr>
            <a:defRPr sz="800" b="0" i="0" u="none" strike="noStrike" baseline="0">
              <a:solidFill>
                <a:srgbClr val="000000"/>
              </a:solidFill>
              <a:latin typeface="Arial CE"/>
              <a:ea typeface="Arial CE"/>
              <a:cs typeface="Arial CE"/>
            </a:defRPr>
          </a:pPr>
          <a:endParaRPr lang="cs-CZ"/>
        </a:p>
      </c:txPr>
    </c:legend>
    <c:plotVisOnly val="1"/>
    <c:dispBlanksAs val="gap"/>
    <c:showDLblsOverMax val="0"/>
  </c:chart>
  <c:spPr>
    <a:ln>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4343354963948E-2"/>
          <c:y val="0.17225896762904599"/>
          <c:w val="0.95496995571899601"/>
          <c:h val="0.673976060452121"/>
        </c:manualLayout>
      </c:layout>
      <c:barChart>
        <c:barDir val="col"/>
        <c:grouping val="clustered"/>
        <c:varyColors val="0"/>
        <c:ser>
          <c:idx val="0"/>
          <c:order val="0"/>
          <c:tx>
            <c:strRef>
              <c:f>E_EN!$G$23</c:f>
              <c:strCache>
                <c:ptCount val="1"/>
                <c:pt idx="0">
                  <c:v> from electronic to paper form</c:v>
                </c:pt>
              </c:strCache>
            </c:strRef>
          </c:tx>
          <c:spPr>
            <a:solidFill>
              <a:srgbClr val="009BB4"/>
            </a:solidFill>
            <a:ln w="25400">
              <a:noFill/>
            </a:ln>
          </c:spPr>
          <c:invertIfNegative val="0"/>
          <c:dLbls>
            <c:numFmt formatCode="#,##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E_EN!$H$22:$O$22</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E_EN!$H$23:$O$23</c:f>
              <c:numCache>
                <c:formatCode>#,##0</c:formatCode>
                <c:ptCount val="8"/>
                <c:pt idx="0">
                  <c:v>83.483999999999995</c:v>
                </c:pt>
                <c:pt idx="1">
                  <c:v>97.775999999999982</c:v>
                </c:pt>
                <c:pt idx="2">
                  <c:v>165.26300000000001</c:v>
                </c:pt>
                <c:pt idx="3" formatCode="#,##0.0">
                  <c:v>302.66899999999993</c:v>
                </c:pt>
                <c:pt idx="4" formatCode="#,##0.0">
                  <c:v>310.07299999999992</c:v>
                </c:pt>
                <c:pt idx="5" formatCode="#,##0.0">
                  <c:v>301.92500000000001</c:v>
                </c:pt>
                <c:pt idx="6" formatCode="#,##0.0">
                  <c:v>283.97899999999902</c:v>
                </c:pt>
                <c:pt idx="7" formatCode="#,##0.0">
                  <c:v>274.80599999999993</c:v>
                </c:pt>
              </c:numCache>
            </c:numRef>
          </c:val>
          <c:extLst>
            <c:ext xmlns:c16="http://schemas.microsoft.com/office/drawing/2014/chart" uri="{C3380CC4-5D6E-409C-BE32-E72D297353CC}">
              <c16:uniqueId val="{00000000-13BE-4A58-B34C-C6467ECC8FCD}"/>
            </c:ext>
          </c:extLst>
        </c:ser>
        <c:ser>
          <c:idx val="2"/>
          <c:order val="1"/>
          <c:tx>
            <c:strRef>
              <c:f>E_EN!$G$24</c:f>
              <c:strCache>
                <c:ptCount val="1"/>
                <c:pt idx="0">
                  <c:v> from paper to electronic form</c:v>
                </c:pt>
              </c:strCache>
            </c:strRef>
          </c:tx>
          <c:spPr>
            <a:solidFill>
              <a:srgbClr val="47E5FF"/>
            </a:solidFill>
          </c:spPr>
          <c:invertIfNegative val="0"/>
          <c:dLbls>
            <c:numFmt formatCode="#,##0" sourceLinked="0"/>
            <c:spPr>
              <a:noFill/>
              <a:ln>
                <a:noFill/>
              </a:ln>
              <a:effectLst/>
            </c:spPr>
            <c:txPr>
              <a:bodyPr rot="-5400000" vert="horz" anchor="t" anchorCtr="1"/>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E_EN!$H$22:$O$22</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E_EN!$H$24:$O$24</c:f>
              <c:numCache>
                <c:formatCode>#,##0</c:formatCode>
                <c:ptCount val="8"/>
                <c:pt idx="0">
                  <c:v>7.6949999999999887</c:v>
                </c:pt>
                <c:pt idx="1">
                  <c:v>24.678999999999991</c:v>
                </c:pt>
                <c:pt idx="2">
                  <c:v>50.821000000000012</c:v>
                </c:pt>
                <c:pt idx="3" formatCode="#,##0.0">
                  <c:v>94.200999999999993</c:v>
                </c:pt>
                <c:pt idx="4" formatCode="#,##0.0">
                  <c:v>95.851999999999975</c:v>
                </c:pt>
                <c:pt idx="5" formatCode="#,##0.0">
                  <c:v>139.35499999999999</c:v>
                </c:pt>
                <c:pt idx="6" formatCode="#,##0.0">
                  <c:v>160.298</c:v>
                </c:pt>
                <c:pt idx="7" formatCode="#,##0.0">
                  <c:v>198.08199999999999</c:v>
                </c:pt>
              </c:numCache>
            </c:numRef>
          </c:val>
          <c:extLst>
            <c:ext xmlns:c16="http://schemas.microsoft.com/office/drawing/2014/chart" uri="{C3380CC4-5D6E-409C-BE32-E72D297353CC}">
              <c16:uniqueId val="{00000001-13BE-4A58-B34C-C6467ECC8FCD}"/>
            </c:ext>
          </c:extLst>
        </c:ser>
        <c:dLbls>
          <c:showLegendKey val="0"/>
          <c:showVal val="0"/>
          <c:showCatName val="0"/>
          <c:showSerName val="0"/>
          <c:showPercent val="0"/>
          <c:showBubbleSize val="0"/>
        </c:dLbls>
        <c:gapWidth val="40"/>
        <c:axId val="197382144"/>
        <c:axId val="196670528"/>
      </c:barChart>
      <c:catAx>
        <c:axId val="197382144"/>
        <c:scaling>
          <c:orientation val="minMax"/>
        </c:scaling>
        <c:delete val="0"/>
        <c:axPos val="b"/>
        <c:numFmt formatCode="General" sourceLinked="1"/>
        <c:majorTickMark val="out"/>
        <c:minorTickMark val="none"/>
        <c:tickLblPos val="nextTo"/>
        <c:spPr>
          <a:ln w="3175">
            <a:solidFill>
              <a:schemeClr val="tx1"/>
            </a:solidFill>
          </a:ln>
        </c:spPr>
        <c:txPr>
          <a:bodyPr rot="0" vert="horz"/>
          <a:lstStyle/>
          <a:p>
            <a:pPr>
              <a:defRPr sz="800" b="0" i="0" u="none" strike="noStrike" baseline="0">
                <a:solidFill>
                  <a:srgbClr val="000000"/>
                </a:solidFill>
                <a:latin typeface="Arial CE"/>
                <a:ea typeface="Arial CE"/>
                <a:cs typeface="Arial CE"/>
              </a:defRPr>
            </a:pPr>
            <a:endParaRPr lang="cs-CZ"/>
          </a:p>
        </c:txPr>
        <c:crossAx val="196670528"/>
        <c:crosses val="autoZero"/>
        <c:auto val="1"/>
        <c:lblAlgn val="ctr"/>
        <c:lblOffset val="100"/>
        <c:noMultiLvlLbl val="0"/>
      </c:catAx>
      <c:valAx>
        <c:axId val="196670528"/>
        <c:scaling>
          <c:orientation val="minMax"/>
          <c:max val="400"/>
          <c:min val="0"/>
        </c:scaling>
        <c:delete val="0"/>
        <c:axPos val="l"/>
        <c:numFmt formatCode="#,##0" sourceLinked="0"/>
        <c:majorTickMark val="none"/>
        <c:minorTickMark val="none"/>
        <c:tickLblPos val="none"/>
        <c:crossAx val="197382144"/>
        <c:crosses val="autoZero"/>
        <c:crossBetween val="between"/>
        <c:majorUnit val="50"/>
        <c:minorUnit val="10"/>
      </c:valAx>
      <c:spPr>
        <a:noFill/>
        <a:ln w="12700">
          <a:solidFill>
            <a:srgbClr val="A6A6A6"/>
          </a:solidFill>
          <a:prstDash val="solid"/>
        </a:ln>
      </c:spPr>
    </c:plotArea>
    <c:legend>
      <c:legendPos val="t"/>
      <c:layout>
        <c:manualLayout>
          <c:xMode val="edge"/>
          <c:yMode val="edge"/>
          <c:x val="0.155535456220009"/>
          <c:y val="0.180518810148731"/>
          <c:w val="0.64763357261730303"/>
          <c:h val="0.11674055770085701"/>
        </c:manualLayout>
      </c:layout>
      <c:overlay val="0"/>
      <c:spPr>
        <a:noFill/>
        <a:ln w="9525">
          <a:solidFill>
            <a:schemeClr val="bg1">
              <a:lumMod val="50000"/>
            </a:schemeClr>
          </a:solidFill>
        </a:ln>
      </c:spPr>
      <c:txPr>
        <a:bodyPr/>
        <a:lstStyle/>
        <a:p>
          <a:pPr>
            <a:defRPr sz="800" b="0" i="0" u="none" strike="noStrike" baseline="0">
              <a:solidFill>
                <a:srgbClr val="000000"/>
              </a:solidFill>
              <a:latin typeface="Arial CE"/>
              <a:ea typeface="Arial CE"/>
              <a:cs typeface="Arial CE"/>
            </a:defRPr>
          </a:pPr>
          <a:endParaRPr lang="cs-CZ"/>
        </a:p>
      </c:tx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 A12 Fixed broadband internet subscriptions in the Czech Republic</a:t>
            </a:r>
            <a:endParaRPr lang="en-US" sz="800" b="1"/>
          </a:p>
        </c:rich>
      </c:tx>
      <c:layout/>
      <c:overlay val="1"/>
    </c:title>
    <c:autoTitleDeleted val="0"/>
    <c:plotArea>
      <c:layout>
        <c:manualLayout>
          <c:layoutTarget val="inner"/>
          <c:xMode val="edge"/>
          <c:yMode val="edge"/>
          <c:x val="2.2538872296135399E-2"/>
          <c:y val="0.15293293650793699"/>
          <c:w val="0.95492225540772901"/>
          <c:h val="0.64734206349206302"/>
        </c:manualLayout>
      </c:layout>
      <c:barChart>
        <c:barDir val="col"/>
        <c:grouping val="clustered"/>
        <c:varyColors val="0"/>
        <c:ser>
          <c:idx val="2"/>
          <c:order val="0"/>
          <c:tx>
            <c:strRef>
              <c:f>A_EN!$A$150</c:f>
              <c:strCache>
                <c:ptCount val="1"/>
                <c:pt idx="0">
                  <c:v> thousands</c:v>
                </c:pt>
              </c:strCache>
            </c:strRef>
          </c:tx>
          <c:spPr>
            <a:solidFill>
              <a:srgbClr val="009BB4"/>
            </a:solidFill>
            <a:ln w="25400">
              <a:noFill/>
            </a:ln>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A_EN!$B$149:$G$149</c:f>
              <c:numCache>
                <c:formatCode>General</c:formatCode>
                <c:ptCount val="6"/>
                <c:pt idx="0">
                  <c:v>2006</c:v>
                </c:pt>
                <c:pt idx="1">
                  <c:v>2008</c:v>
                </c:pt>
                <c:pt idx="2">
                  <c:v>2010</c:v>
                </c:pt>
                <c:pt idx="3">
                  <c:v>2012</c:v>
                </c:pt>
                <c:pt idx="4" formatCode="@">
                  <c:v>2014</c:v>
                </c:pt>
                <c:pt idx="5">
                  <c:v>2016</c:v>
                </c:pt>
              </c:numCache>
            </c:numRef>
          </c:cat>
          <c:val>
            <c:numRef>
              <c:f>A_EN!$B$150:$G$150</c:f>
              <c:numCache>
                <c:formatCode>#,##0.00</c:formatCode>
                <c:ptCount val="6"/>
                <c:pt idx="0">
                  <c:v>1108.275182069307</c:v>
                </c:pt>
                <c:pt idx="1">
                  <c:v>1759.5840000000001</c:v>
                </c:pt>
                <c:pt idx="2">
                  <c:v>2214.7359999999999</c:v>
                </c:pt>
                <c:pt idx="3">
                  <c:v>2644.8090000000002</c:v>
                </c:pt>
                <c:pt idx="4">
                  <c:v>2943.422</c:v>
                </c:pt>
                <c:pt idx="5">
                  <c:v>3057.7840000000001</c:v>
                </c:pt>
              </c:numCache>
            </c:numRef>
          </c:val>
          <c:extLst>
            <c:ext xmlns:c16="http://schemas.microsoft.com/office/drawing/2014/chart" uri="{C3380CC4-5D6E-409C-BE32-E72D297353CC}">
              <c16:uniqueId val="{00000000-A656-4EF2-950F-735152D06AE9}"/>
            </c:ext>
          </c:extLst>
        </c:ser>
        <c:dLbls>
          <c:showLegendKey val="0"/>
          <c:showVal val="0"/>
          <c:showCatName val="0"/>
          <c:showSerName val="0"/>
          <c:showPercent val="0"/>
          <c:showBubbleSize val="0"/>
        </c:dLbls>
        <c:gapWidth val="40"/>
        <c:axId val="161232896"/>
        <c:axId val="151108928"/>
      </c:barChart>
      <c:lineChart>
        <c:grouping val="standard"/>
        <c:varyColors val="0"/>
        <c:ser>
          <c:idx val="0"/>
          <c:order val="1"/>
          <c:tx>
            <c:strRef>
              <c:f>A_EN!$A$151</c:f>
              <c:strCache>
                <c:ptCount val="1"/>
                <c:pt idx="0">
                  <c:v> per 100 inhabitants</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A_EN!$B$149:$G$149</c:f>
              <c:numCache>
                <c:formatCode>General</c:formatCode>
                <c:ptCount val="6"/>
                <c:pt idx="0">
                  <c:v>2006</c:v>
                </c:pt>
                <c:pt idx="1">
                  <c:v>2008</c:v>
                </c:pt>
                <c:pt idx="2">
                  <c:v>2010</c:v>
                </c:pt>
                <c:pt idx="3">
                  <c:v>2012</c:v>
                </c:pt>
                <c:pt idx="4" formatCode="@">
                  <c:v>2014</c:v>
                </c:pt>
                <c:pt idx="5">
                  <c:v>2016</c:v>
                </c:pt>
              </c:numCache>
            </c:numRef>
          </c:cat>
          <c:val>
            <c:numRef>
              <c:f>A_EN!$B$151:$G$151</c:f>
              <c:numCache>
                <c:formatCode>#,##0.00</c:formatCode>
                <c:ptCount val="6"/>
                <c:pt idx="0">
                  <c:v>10.77335297396896</c:v>
                </c:pt>
                <c:pt idx="1">
                  <c:v>16.809906279812392</c:v>
                </c:pt>
                <c:pt idx="2">
                  <c:v>21.027099234104611</c:v>
                </c:pt>
                <c:pt idx="3">
                  <c:v>25.150033876546729</c:v>
                </c:pt>
                <c:pt idx="4">
                  <c:v>27.930776146950041</c:v>
                </c:pt>
                <c:pt idx="5">
                  <c:v>28.904773878372069</c:v>
                </c:pt>
              </c:numCache>
            </c:numRef>
          </c:val>
          <c:smooth val="0"/>
          <c:extLst>
            <c:ext xmlns:c16="http://schemas.microsoft.com/office/drawing/2014/chart" uri="{C3380CC4-5D6E-409C-BE32-E72D297353CC}">
              <c16:uniqueId val="{00000001-A656-4EF2-950F-735152D06AE9}"/>
            </c:ext>
          </c:extLst>
        </c:ser>
        <c:dLbls>
          <c:showLegendKey val="0"/>
          <c:showVal val="0"/>
          <c:showCatName val="0"/>
          <c:showSerName val="0"/>
          <c:showPercent val="0"/>
          <c:showBubbleSize val="0"/>
        </c:dLbls>
        <c:marker val="1"/>
        <c:smooth val="0"/>
        <c:axId val="161234432"/>
        <c:axId val="161357824"/>
      </c:lineChart>
      <c:catAx>
        <c:axId val="161232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1108928"/>
        <c:crosses val="autoZero"/>
        <c:auto val="1"/>
        <c:lblAlgn val="ctr"/>
        <c:lblOffset val="140"/>
        <c:tickLblSkip val="1"/>
        <c:tickMarkSkip val="1"/>
        <c:noMultiLvlLbl val="0"/>
      </c:catAx>
      <c:valAx>
        <c:axId val="151108928"/>
        <c:scaling>
          <c:orientation val="minMax"/>
          <c:max val="4500"/>
          <c:min val="0"/>
        </c:scaling>
        <c:delete val="0"/>
        <c:axPos val="l"/>
        <c:numFmt formatCode="#,##0.00" sourceLinked="1"/>
        <c:majorTickMark val="none"/>
        <c:minorTickMark val="none"/>
        <c:tickLblPos val="none"/>
        <c:spPr>
          <a:ln w="9525">
            <a:noFill/>
          </a:ln>
        </c:spPr>
        <c:crossAx val="161232896"/>
        <c:crosses val="autoZero"/>
        <c:crossBetween val="between"/>
        <c:majorUnit val="500"/>
        <c:minorUnit val="0.1"/>
      </c:valAx>
      <c:catAx>
        <c:axId val="161234432"/>
        <c:scaling>
          <c:orientation val="minMax"/>
        </c:scaling>
        <c:delete val="1"/>
        <c:axPos val="b"/>
        <c:numFmt formatCode="General" sourceLinked="1"/>
        <c:majorTickMark val="out"/>
        <c:minorTickMark val="none"/>
        <c:tickLblPos val="none"/>
        <c:crossAx val="161357824"/>
        <c:crosses val="autoZero"/>
        <c:auto val="1"/>
        <c:lblAlgn val="ctr"/>
        <c:lblOffset val="100"/>
        <c:noMultiLvlLbl val="0"/>
      </c:catAx>
      <c:valAx>
        <c:axId val="161357824"/>
        <c:scaling>
          <c:orientation val="minMax"/>
          <c:max val="35"/>
          <c:min val="0"/>
        </c:scaling>
        <c:delete val="0"/>
        <c:axPos val="r"/>
        <c:numFmt formatCode="#,##0.00" sourceLinked="1"/>
        <c:majorTickMark val="none"/>
        <c:minorTickMark val="none"/>
        <c:tickLblPos val="none"/>
        <c:crossAx val="161234432"/>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6577050264550298E-2"/>
          <c:y val="0.175384126984127"/>
          <c:w val="0.48753888888888902"/>
          <c:h val="0.12228925925925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t>Figure E3 Verified copies/extracts issued </a:t>
            </a:r>
          </a:p>
          <a:p>
            <a:pPr>
              <a:defRPr/>
            </a:pPr>
            <a:r>
              <a:rPr lang="cs-CZ" sz="800" b="1"/>
              <a:t>from the CzechPoint@office interface </a:t>
            </a:r>
          </a:p>
          <a:p>
            <a:pPr>
              <a:defRPr/>
            </a:pPr>
            <a:r>
              <a:rPr lang="cs-CZ" sz="800" b="1"/>
              <a:t>for selected services (thous.)</a:t>
            </a:r>
          </a:p>
        </c:rich>
      </c:tx>
      <c:overlay val="0"/>
    </c:title>
    <c:autoTitleDeleted val="0"/>
    <c:plotArea>
      <c:layout>
        <c:manualLayout>
          <c:layoutTarget val="inner"/>
          <c:xMode val="edge"/>
          <c:yMode val="edge"/>
          <c:x val="1.2694396089388899E-2"/>
          <c:y val="0.17892457782399801"/>
          <c:w val="0.94601223742931195"/>
          <c:h val="0.62359426593853196"/>
        </c:manualLayout>
      </c:layout>
      <c:barChart>
        <c:barDir val="col"/>
        <c:grouping val="clustered"/>
        <c:varyColors val="0"/>
        <c:ser>
          <c:idx val="0"/>
          <c:order val="0"/>
          <c:tx>
            <c:strRef>
              <c:f>E_EN!$B$37</c:f>
              <c:strCache>
                <c:ptCount val="1"/>
                <c:pt idx="0">
                  <c:v> Register of vital records</c:v>
                </c:pt>
              </c:strCache>
            </c:strRef>
          </c:tx>
          <c:spPr>
            <a:solidFill>
              <a:srgbClr val="009BB4"/>
            </a:solidFill>
            <a:ln w="25400">
              <a:noFill/>
            </a:ln>
          </c:spPr>
          <c:invertIfNegative val="0"/>
          <c:dLbls>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E_EN!$C$36:$J$36</c:f>
              <c:numCache>
                <c:formatCode>General</c:formatCode>
                <c:ptCount val="8"/>
                <c:pt idx="0">
                  <c:v>2010</c:v>
                </c:pt>
                <c:pt idx="1">
                  <c:v>2011</c:v>
                </c:pt>
                <c:pt idx="2">
                  <c:v>2012</c:v>
                </c:pt>
                <c:pt idx="3">
                  <c:v>2013</c:v>
                </c:pt>
                <c:pt idx="4">
                  <c:v>2014</c:v>
                </c:pt>
                <c:pt idx="5">
                  <c:v>2015</c:v>
                </c:pt>
                <c:pt idx="6">
                  <c:v>2016</c:v>
                </c:pt>
                <c:pt idx="7">
                  <c:v>2017</c:v>
                </c:pt>
              </c:numCache>
            </c:numRef>
          </c:cat>
          <c:val>
            <c:numRef>
              <c:f>E_EN!$C$37:$J$37</c:f>
              <c:numCache>
                <c:formatCode>#,##0</c:formatCode>
                <c:ptCount val="8"/>
                <c:pt idx="0">
                  <c:v>196.89599999999999</c:v>
                </c:pt>
                <c:pt idx="1">
                  <c:v>392.834</c:v>
                </c:pt>
                <c:pt idx="2">
                  <c:v>401.54199999999992</c:v>
                </c:pt>
                <c:pt idx="3">
                  <c:v>402.14299999999997</c:v>
                </c:pt>
                <c:pt idx="4">
                  <c:v>406.42500000000001</c:v>
                </c:pt>
                <c:pt idx="5">
                  <c:v>420.49799999999902</c:v>
                </c:pt>
                <c:pt idx="6">
                  <c:v>426.017</c:v>
                </c:pt>
                <c:pt idx="7">
                  <c:v>434.24099999999999</c:v>
                </c:pt>
              </c:numCache>
            </c:numRef>
          </c:val>
          <c:extLst>
            <c:ext xmlns:c16="http://schemas.microsoft.com/office/drawing/2014/chart" uri="{C3380CC4-5D6E-409C-BE32-E72D297353CC}">
              <c16:uniqueId val="{00000000-5339-4CB4-94EE-9D47CB7789AA}"/>
            </c:ext>
          </c:extLst>
        </c:ser>
        <c:ser>
          <c:idx val="1"/>
          <c:order val="1"/>
          <c:tx>
            <c:strRef>
              <c:f>E_EN!$B$38</c:f>
              <c:strCache>
                <c:ptCount val="1"/>
                <c:pt idx="0">
                  <c:v> Register of residents</c:v>
                </c:pt>
              </c:strCache>
            </c:strRef>
          </c:tx>
          <c:spPr>
            <a:solidFill>
              <a:srgbClr val="47E5FF"/>
            </a:solidFill>
            <a:ln w="25400">
              <a:noFill/>
            </a:ln>
          </c:spPr>
          <c:invertIfNegative val="0"/>
          <c:dLbls>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E_EN!$C$36:$J$36</c:f>
              <c:numCache>
                <c:formatCode>General</c:formatCode>
                <c:ptCount val="8"/>
                <c:pt idx="0">
                  <c:v>2010</c:v>
                </c:pt>
                <c:pt idx="1">
                  <c:v>2011</c:v>
                </c:pt>
                <c:pt idx="2">
                  <c:v>2012</c:v>
                </c:pt>
                <c:pt idx="3">
                  <c:v>2013</c:v>
                </c:pt>
                <c:pt idx="4">
                  <c:v>2014</c:v>
                </c:pt>
                <c:pt idx="5">
                  <c:v>2015</c:v>
                </c:pt>
                <c:pt idx="6">
                  <c:v>2016</c:v>
                </c:pt>
                <c:pt idx="7">
                  <c:v>2017</c:v>
                </c:pt>
              </c:numCache>
            </c:numRef>
          </c:cat>
          <c:val>
            <c:numRef>
              <c:f>E_EN!$C$38:$J$38</c:f>
              <c:numCache>
                <c:formatCode>#,##0</c:formatCode>
                <c:ptCount val="8"/>
                <c:pt idx="0">
                  <c:v>134.82900000000001</c:v>
                </c:pt>
                <c:pt idx="1">
                  <c:v>285.65499999999997</c:v>
                </c:pt>
                <c:pt idx="2">
                  <c:v>317.154</c:v>
                </c:pt>
                <c:pt idx="3">
                  <c:v>384.78399999999903</c:v>
                </c:pt>
                <c:pt idx="4">
                  <c:v>398.52199999999903</c:v>
                </c:pt>
                <c:pt idx="5">
                  <c:v>423.54899999999992</c:v>
                </c:pt>
                <c:pt idx="6">
                  <c:v>455.61599999999999</c:v>
                </c:pt>
                <c:pt idx="7">
                  <c:v>448.86799999999999</c:v>
                </c:pt>
              </c:numCache>
            </c:numRef>
          </c:val>
          <c:extLst>
            <c:ext xmlns:c16="http://schemas.microsoft.com/office/drawing/2014/chart" uri="{C3380CC4-5D6E-409C-BE32-E72D297353CC}">
              <c16:uniqueId val="{00000001-5339-4CB4-94EE-9D47CB7789AA}"/>
            </c:ext>
          </c:extLst>
        </c:ser>
        <c:ser>
          <c:idx val="2"/>
          <c:order val="2"/>
          <c:tx>
            <c:strRef>
              <c:f>E_EN!$B$39</c:f>
              <c:strCache>
                <c:ptCount val="1"/>
                <c:pt idx="0">
                  <c:v> Register of persons</c:v>
                </c:pt>
              </c:strCache>
            </c:strRef>
          </c:tx>
          <c:spPr>
            <a:solidFill>
              <a:srgbClr val="ABF3FF"/>
            </a:solidFill>
            <a:ln w="25400">
              <a:noFill/>
            </a:ln>
          </c:spPr>
          <c:invertIfNegative val="0"/>
          <c:dLbls>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E_EN!$C$36:$J$36</c:f>
              <c:numCache>
                <c:formatCode>General</c:formatCode>
                <c:ptCount val="8"/>
                <c:pt idx="0">
                  <c:v>2010</c:v>
                </c:pt>
                <c:pt idx="1">
                  <c:v>2011</c:v>
                </c:pt>
                <c:pt idx="2">
                  <c:v>2012</c:v>
                </c:pt>
                <c:pt idx="3">
                  <c:v>2013</c:v>
                </c:pt>
                <c:pt idx="4">
                  <c:v>2014</c:v>
                </c:pt>
                <c:pt idx="5">
                  <c:v>2015</c:v>
                </c:pt>
                <c:pt idx="6">
                  <c:v>2016</c:v>
                </c:pt>
                <c:pt idx="7">
                  <c:v>2017</c:v>
                </c:pt>
              </c:numCache>
            </c:numRef>
          </c:cat>
          <c:val>
            <c:numRef>
              <c:f>E_EN!$C$39:$J$39</c:f>
              <c:numCache>
                <c:formatCode>#,##0</c:formatCode>
                <c:ptCount val="8"/>
                <c:pt idx="0">
                  <c:v>12.73</c:v>
                </c:pt>
                <c:pt idx="1">
                  <c:v>28.988</c:v>
                </c:pt>
                <c:pt idx="2">
                  <c:v>27.933</c:v>
                </c:pt>
                <c:pt idx="3">
                  <c:v>207.703</c:v>
                </c:pt>
                <c:pt idx="4">
                  <c:v>305.209</c:v>
                </c:pt>
                <c:pt idx="5">
                  <c:v>271.67899999999992</c:v>
                </c:pt>
                <c:pt idx="6">
                  <c:v>237.816</c:v>
                </c:pt>
                <c:pt idx="7">
                  <c:v>225.87299999999999</c:v>
                </c:pt>
              </c:numCache>
            </c:numRef>
          </c:val>
          <c:extLst>
            <c:ext xmlns:c16="http://schemas.microsoft.com/office/drawing/2014/chart" uri="{C3380CC4-5D6E-409C-BE32-E72D297353CC}">
              <c16:uniqueId val="{00000002-5339-4CB4-94EE-9D47CB7789AA}"/>
            </c:ext>
          </c:extLst>
        </c:ser>
        <c:dLbls>
          <c:showLegendKey val="0"/>
          <c:showVal val="1"/>
          <c:showCatName val="0"/>
          <c:showSerName val="0"/>
          <c:showPercent val="0"/>
          <c:showBubbleSize val="0"/>
        </c:dLbls>
        <c:gapWidth val="70"/>
        <c:axId val="197383680"/>
        <c:axId val="196672832"/>
      </c:barChart>
      <c:catAx>
        <c:axId val="197383680"/>
        <c:scaling>
          <c:orientation val="minMax"/>
        </c:scaling>
        <c:delete val="0"/>
        <c:axPos val="b"/>
        <c:numFmt formatCode="0" sourceLinked="0"/>
        <c:majorTickMark val="out"/>
        <c:minorTickMark val="none"/>
        <c:tickLblPos val="nextTo"/>
        <c:spPr>
          <a:ln w="3175">
            <a:solidFill>
              <a:schemeClr val="tx1"/>
            </a:solidFill>
          </a:ln>
        </c:spPr>
        <c:txPr>
          <a:bodyPr rot="0" vert="horz"/>
          <a:lstStyle/>
          <a:p>
            <a:pPr>
              <a:defRPr sz="800" b="0" i="0" u="none" strike="noStrike" baseline="0">
                <a:solidFill>
                  <a:srgbClr val="000000"/>
                </a:solidFill>
                <a:latin typeface="Arial CE"/>
                <a:ea typeface="Arial CE"/>
                <a:cs typeface="Arial CE"/>
              </a:defRPr>
            </a:pPr>
            <a:endParaRPr lang="cs-CZ"/>
          </a:p>
        </c:txPr>
        <c:crossAx val="196672832"/>
        <c:crosses val="autoZero"/>
        <c:auto val="1"/>
        <c:lblAlgn val="ctr"/>
        <c:lblOffset val="100"/>
        <c:noMultiLvlLbl val="0"/>
      </c:catAx>
      <c:valAx>
        <c:axId val="196672832"/>
        <c:scaling>
          <c:orientation val="minMax"/>
          <c:max val="600"/>
          <c:min val="0"/>
        </c:scaling>
        <c:delete val="0"/>
        <c:axPos val="l"/>
        <c:numFmt formatCode="#,##0" sourceLinked="0"/>
        <c:majorTickMark val="none"/>
        <c:minorTickMark val="none"/>
        <c:tickLblPos val="none"/>
        <c:spPr>
          <a:ln w="3175">
            <a:solidFill>
              <a:srgbClr val="808080"/>
            </a:solidFill>
            <a:prstDash val="solid"/>
          </a:ln>
        </c:spPr>
        <c:crossAx val="197383680"/>
        <c:crosses val="autoZero"/>
        <c:crossBetween val="between"/>
        <c:majorUnit val="100"/>
        <c:minorUnit val="10"/>
      </c:valAx>
      <c:spPr>
        <a:noFill/>
        <a:ln w="12700">
          <a:solidFill>
            <a:srgbClr val="A6A6A6"/>
          </a:solidFill>
          <a:prstDash val="solid"/>
        </a:ln>
      </c:spPr>
    </c:plotArea>
    <c:legend>
      <c:legendPos val="t"/>
      <c:layout>
        <c:manualLayout>
          <c:xMode val="edge"/>
          <c:yMode val="edge"/>
          <c:x val="2.2381413679756899E-2"/>
          <c:y val="0.204597409194818"/>
          <c:w val="0.91512357485282803"/>
          <c:h val="0.10556626984127"/>
        </c:manualLayout>
      </c:layout>
      <c:overlay val="0"/>
      <c:spPr>
        <a:ln>
          <a:solidFill>
            <a:schemeClr val="bg1">
              <a:lumMod val="50000"/>
            </a:schemeClr>
          </a:solidFill>
        </a:ln>
      </c:spPr>
      <c:txPr>
        <a:bodyPr/>
        <a:lstStyle/>
        <a:p>
          <a:pPr>
            <a:defRPr sz="800" b="0" i="0" u="none" strike="noStrike" baseline="0">
              <a:solidFill>
                <a:srgbClr val="000000"/>
              </a:solidFill>
              <a:latin typeface="Arial CE"/>
              <a:ea typeface="Arial CE"/>
              <a:cs typeface="Arial CE"/>
            </a:defRPr>
          </a:pPr>
          <a:endParaRPr lang="cs-CZ"/>
        </a:p>
      </c:txPr>
    </c:legend>
    <c:plotVisOnly val="1"/>
    <c:dispBlanksAs val="gap"/>
    <c:showDLblsOverMax val="0"/>
  </c:chart>
  <c:spPr>
    <a:ln>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i="0" u="none" strike="noStrike" baseline="0">
                <a:effectLst/>
              </a:rPr>
              <a:t>Figure E4 Number of authorized conversions of documents issued from </a:t>
            </a:r>
          </a:p>
          <a:p>
            <a:pPr>
              <a:defRPr/>
            </a:pPr>
            <a:r>
              <a:rPr lang="cs-CZ" sz="800" b="1" i="0" u="none" strike="noStrike" baseline="0">
                <a:effectLst/>
              </a:rPr>
              <a:t>the CzechPoint@office interface (thous.)</a:t>
            </a:r>
            <a:r>
              <a:rPr lang="cs-CZ" sz="800" b="1" i="0" u="none" strike="noStrike" baseline="0"/>
              <a:t> </a:t>
            </a:r>
            <a:endParaRPr lang="cs-CZ" sz="800" b="1"/>
          </a:p>
        </c:rich>
      </c:tx>
      <c:overlay val="0"/>
    </c:title>
    <c:autoTitleDeleted val="0"/>
    <c:plotArea>
      <c:layout>
        <c:manualLayout>
          <c:layoutTarget val="inner"/>
          <c:xMode val="edge"/>
          <c:yMode val="edge"/>
          <c:x val="2.22221118259271E-2"/>
          <c:y val="0.182716666666667"/>
          <c:w val="0.94518481283917699"/>
          <c:h val="0.61157726377952804"/>
        </c:manualLayout>
      </c:layout>
      <c:barChart>
        <c:barDir val="col"/>
        <c:grouping val="clustered"/>
        <c:varyColors val="0"/>
        <c:ser>
          <c:idx val="0"/>
          <c:order val="0"/>
          <c:tx>
            <c:strRef>
              <c:f>E_EN!$A$43</c:f>
              <c:strCache>
                <c:ptCount val="1"/>
                <c:pt idx="0">
                  <c:v> from electronic to paper form</c:v>
                </c:pt>
              </c:strCache>
            </c:strRef>
          </c:tx>
          <c:spPr>
            <a:solidFill>
              <a:srgbClr val="009BB4"/>
            </a:solidFill>
            <a:ln w="25400">
              <a:noFill/>
            </a:ln>
          </c:spPr>
          <c:invertIfNegative val="0"/>
          <c:dLbls>
            <c:numFmt formatCode="#,##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E_EN!$B$42:$I$42</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E_EN!$B$43:$I$43</c:f>
              <c:numCache>
                <c:formatCode>#,##0</c:formatCode>
                <c:ptCount val="8"/>
                <c:pt idx="0">
                  <c:v>1008.2670000000001</c:v>
                </c:pt>
                <c:pt idx="1">
                  <c:v>1555.415</c:v>
                </c:pt>
                <c:pt idx="2">
                  <c:v>1712.84</c:v>
                </c:pt>
                <c:pt idx="3">
                  <c:v>1219.6869999999999</c:v>
                </c:pt>
                <c:pt idx="4">
                  <c:v>1009.792</c:v>
                </c:pt>
                <c:pt idx="5">
                  <c:v>891.90300000000002</c:v>
                </c:pt>
                <c:pt idx="6">
                  <c:v>739.81199999999887</c:v>
                </c:pt>
                <c:pt idx="7">
                  <c:v>624.10299999999938</c:v>
                </c:pt>
              </c:numCache>
            </c:numRef>
          </c:val>
          <c:extLst>
            <c:ext xmlns:c16="http://schemas.microsoft.com/office/drawing/2014/chart" uri="{C3380CC4-5D6E-409C-BE32-E72D297353CC}">
              <c16:uniqueId val="{00000000-9237-45EC-9535-964FDCEFE579}"/>
            </c:ext>
          </c:extLst>
        </c:ser>
        <c:ser>
          <c:idx val="2"/>
          <c:order val="1"/>
          <c:tx>
            <c:strRef>
              <c:f>E_EN!$A$44</c:f>
              <c:strCache>
                <c:ptCount val="1"/>
                <c:pt idx="0">
                  <c:v> from paper to electronic form</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E_EN!$B$42:$I$42</c:f>
              <c:numCache>
                <c:formatCode>General</c:formatCode>
                <c:ptCount val="8"/>
                <c:pt idx="0">
                  <c:v>2010</c:v>
                </c:pt>
                <c:pt idx="1">
                  <c:v>2011</c:v>
                </c:pt>
                <c:pt idx="2">
                  <c:v>2012</c:v>
                </c:pt>
                <c:pt idx="3" formatCode="@">
                  <c:v>2013</c:v>
                </c:pt>
                <c:pt idx="4" formatCode="@">
                  <c:v>2014</c:v>
                </c:pt>
                <c:pt idx="5" formatCode="@">
                  <c:v>2015</c:v>
                </c:pt>
                <c:pt idx="6">
                  <c:v>2016</c:v>
                </c:pt>
                <c:pt idx="7">
                  <c:v>2017</c:v>
                </c:pt>
              </c:numCache>
            </c:numRef>
          </c:cat>
          <c:val>
            <c:numRef>
              <c:f>E_EN!$B$44:$I$44</c:f>
              <c:numCache>
                <c:formatCode>#,##0</c:formatCode>
                <c:ptCount val="8"/>
                <c:pt idx="0">
                  <c:v>4587.09</c:v>
                </c:pt>
                <c:pt idx="1">
                  <c:v>6247.6949999999997</c:v>
                </c:pt>
                <c:pt idx="2">
                  <c:v>7183.1109999999999</c:v>
                </c:pt>
                <c:pt idx="3">
                  <c:v>6005.7120000000004</c:v>
                </c:pt>
                <c:pt idx="4">
                  <c:v>6248.1660000000002</c:v>
                </c:pt>
                <c:pt idx="5">
                  <c:v>5662.3860000000004</c:v>
                </c:pt>
                <c:pt idx="6">
                  <c:v>5136.4970000000003</c:v>
                </c:pt>
                <c:pt idx="7">
                  <c:v>4402.125</c:v>
                </c:pt>
              </c:numCache>
            </c:numRef>
          </c:val>
          <c:extLst>
            <c:ext xmlns:c16="http://schemas.microsoft.com/office/drawing/2014/chart" uri="{C3380CC4-5D6E-409C-BE32-E72D297353CC}">
              <c16:uniqueId val="{00000001-9237-45EC-9535-964FDCEFE579}"/>
            </c:ext>
          </c:extLst>
        </c:ser>
        <c:dLbls>
          <c:showLegendKey val="0"/>
          <c:showVal val="0"/>
          <c:showCatName val="0"/>
          <c:showSerName val="0"/>
          <c:showPercent val="0"/>
          <c:showBubbleSize val="0"/>
        </c:dLbls>
        <c:gapWidth val="40"/>
        <c:axId val="197124096"/>
        <c:axId val="196764224"/>
      </c:barChart>
      <c:catAx>
        <c:axId val="197124096"/>
        <c:scaling>
          <c:orientation val="minMax"/>
        </c:scaling>
        <c:delete val="0"/>
        <c:axPos val="b"/>
        <c:numFmt formatCode="General" sourceLinked="1"/>
        <c:majorTickMark val="out"/>
        <c:minorTickMark val="none"/>
        <c:tickLblPos val="nextTo"/>
        <c:spPr>
          <a:ln w="3175">
            <a:solidFill>
              <a:schemeClr val="tx1"/>
            </a:solidFill>
          </a:ln>
        </c:spPr>
        <c:txPr>
          <a:bodyPr rot="0" vert="horz"/>
          <a:lstStyle/>
          <a:p>
            <a:pPr>
              <a:defRPr/>
            </a:pPr>
            <a:endParaRPr lang="cs-CZ"/>
          </a:p>
        </c:txPr>
        <c:crossAx val="196764224"/>
        <c:crosses val="autoZero"/>
        <c:auto val="1"/>
        <c:lblAlgn val="ctr"/>
        <c:lblOffset val="100"/>
        <c:noMultiLvlLbl val="0"/>
      </c:catAx>
      <c:valAx>
        <c:axId val="196764224"/>
        <c:scaling>
          <c:orientation val="minMax"/>
          <c:max val="10000"/>
          <c:min val="0"/>
        </c:scaling>
        <c:delete val="0"/>
        <c:axPos val="l"/>
        <c:numFmt formatCode="#,##0" sourceLinked="0"/>
        <c:majorTickMark val="none"/>
        <c:minorTickMark val="none"/>
        <c:tickLblPos val="none"/>
        <c:crossAx val="197124096"/>
        <c:crosses val="autoZero"/>
        <c:crossBetween val="between"/>
        <c:majorUnit val="1000"/>
        <c:minorUnit val="10"/>
      </c:valAx>
      <c:spPr>
        <a:noFill/>
        <a:ln w="12700">
          <a:solidFill>
            <a:srgbClr val="A6A6A6"/>
          </a:solidFill>
          <a:prstDash val="solid"/>
        </a:ln>
      </c:spPr>
    </c:plotArea>
    <c:legend>
      <c:legendPos val="t"/>
      <c:layout>
        <c:manualLayout>
          <c:xMode val="edge"/>
          <c:yMode val="edge"/>
          <c:x val="0.25887047994740298"/>
          <c:y val="0.21273095238095199"/>
          <c:w val="0.52001183431952702"/>
          <c:h val="0.12191587301587301"/>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17746345055284"/>
          <c:w val="0.96863945111332705"/>
          <c:h val="0.68135200294533305"/>
        </c:manualLayout>
      </c:layout>
      <c:barChart>
        <c:barDir val="col"/>
        <c:grouping val="clustered"/>
        <c:varyColors val="0"/>
        <c:ser>
          <c:idx val="0"/>
          <c:order val="0"/>
          <c:tx>
            <c:strRef>
              <c:f>E_EN!$G$63</c:f>
              <c:strCache>
                <c:ptCount val="1"/>
                <c:pt idx="0">
                  <c:v> By law</c:v>
                </c:pt>
              </c:strCache>
            </c:strRef>
          </c:tx>
          <c:spPr>
            <a:solidFill>
              <a:srgbClr val="009BB4"/>
            </a:solidFill>
          </c:spPr>
          <c:invertIfNegative val="0"/>
          <c:dLbls>
            <c:dLbl>
              <c:idx val="0"/>
              <c:numFmt formatCode="#,##0" sourceLinked="0"/>
              <c:spPr>
                <a:noFill/>
                <a:ln>
                  <a:noFill/>
                </a:ln>
                <a:effectLst/>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5-4E87-BAD7-42853F8EC487}"/>
                </c:ext>
              </c:extLst>
            </c:dLbl>
            <c:numFmt formatCode="#,##0" sourceLinked="0"/>
            <c:spPr>
              <a:noFill/>
              <a:ln>
                <a:noFill/>
              </a:ln>
              <a:effectLst/>
            </c:spPr>
            <c:txPr>
              <a:bodyPr rot="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E_EN!$H$62:$P$62</c:f>
              <c:numCache>
                <c:formatCode>@</c:formatCode>
                <c:ptCount val="9"/>
                <c:pt idx="0">
                  <c:v>2009</c:v>
                </c:pt>
                <c:pt idx="1">
                  <c:v>2010</c:v>
                </c:pt>
                <c:pt idx="2">
                  <c:v>2011</c:v>
                </c:pt>
                <c:pt idx="3">
                  <c:v>2012</c:v>
                </c:pt>
                <c:pt idx="4" formatCode="General">
                  <c:v>2013</c:v>
                </c:pt>
                <c:pt idx="5">
                  <c:v>2014</c:v>
                </c:pt>
                <c:pt idx="6" formatCode="General">
                  <c:v>2015</c:v>
                </c:pt>
                <c:pt idx="7" formatCode="General">
                  <c:v>2016</c:v>
                </c:pt>
                <c:pt idx="8" formatCode="General">
                  <c:v>2017</c:v>
                </c:pt>
              </c:numCache>
            </c:numRef>
          </c:cat>
          <c:val>
            <c:numRef>
              <c:f>E_EN!$H$63:$P$63</c:f>
              <c:numCache>
                <c:formatCode>#,##0</c:formatCode>
                <c:ptCount val="9"/>
                <c:pt idx="0">
                  <c:v>360.52699999999902</c:v>
                </c:pt>
                <c:pt idx="1">
                  <c:v>27.620999999999999</c:v>
                </c:pt>
                <c:pt idx="2">
                  <c:v>24.806999999999999</c:v>
                </c:pt>
                <c:pt idx="3">
                  <c:v>36.664999999999999</c:v>
                </c:pt>
                <c:pt idx="4" formatCode="#,##0.0">
                  <c:v>25.210999999999999</c:v>
                </c:pt>
                <c:pt idx="5" formatCode="#,##0.0">
                  <c:v>30.954000000000001</c:v>
                </c:pt>
                <c:pt idx="6" formatCode="#,##0.0">
                  <c:v>28.548999999999999</c:v>
                </c:pt>
                <c:pt idx="7" formatCode="#,##0.0">
                  <c:v>30.349</c:v>
                </c:pt>
                <c:pt idx="8" formatCode="#,##0.0">
                  <c:v>35.464000000000013</c:v>
                </c:pt>
              </c:numCache>
            </c:numRef>
          </c:val>
          <c:extLst>
            <c:ext xmlns:c16="http://schemas.microsoft.com/office/drawing/2014/chart" uri="{C3380CC4-5D6E-409C-BE32-E72D297353CC}">
              <c16:uniqueId val="{00000001-A6A5-4E87-BAD7-42853F8EC487}"/>
            </c:ext>
          </c:extLst>
        </c:ser>
        <c:ser>
          <c:idx val="1"/>
          <c:order val="1"/>
          <c:tx>
            <c:strRef>
              <c:f>E_EN!$G$64</c:f>
              <c:strCache>
                <c:ptCount val="1"/>
                <c:pt idx="0">
                  <c:v> Upon request</c:v>
                </c:pt>
              </c:strCache>
            </c:strRef>
          </c:tx>
          <c:spPr>
            <a:solidFill>
              <a:srgbClr val="47E5FF"/>
            </a:solidFill>
          </c:spPr>
          <c:invertIfNegative val="0"/>
          <c:dLbls>
            <c:numFmt formatCode="#,##0" sourceLinked="0"/>
            <c:spPr>
              <a:noFill/>
              <a:ln>
                <a:noFill/>
              </a:ln>
              <a:effectLst/>
            </c:spPr>
            <c:txPr>
              <a:bodyPr rot="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E_EN!$H$62:$P$62</c:f>
              <c:numCache>
                <c:formatCode>@</c:formatCode>
                <c:ptCount val="9"/>
                <c:pt idx="0">
                  <c:v>2009</c:v>
                </c:pt>
                <c:pt idx="1">
                  <c:v>2010</c:v>
                </c:pt>
                <c:pt idx="2">
                  <c:v>2011</c:v>
                </c:pt>
                <c:pt idx="3">
                  <c:v>2012</c:v>
                </c:pt>
                <c:pt idx="4" formatCode="General">
                  <c:v>2013</c:v>
                </c:pt>
                <c:pt idx="5">
                  <c:v>2014</c:v>
                </c:pt>
                <c:pt idx="6" formatCode="General">
                  <c:v>2015</c:v>
                </c:pt>
                <c:pt idx="7" formatCode="General">
                  <c:v>2016</c:v>
                </c:pt>
                <c:pt idx="8" formatCode="General">
                  <c:v>2017</c:v>
                </c:pt>
              </c:numCache>
            </c:numRef>
          </c:cat>
          <c:val>
            <c:numRef>
              <c:f>E_EN!$H$64:$P$64</c:f>
              <c:numCache>
                <c:formatCode>#,##0</c:formatCode>
                <c:ptCount val="9"/>
                <c:pt idx="0">
                  <c:v>18.303000000000001</c:v>
                </c:pt>
                <c:pt idx="1">
                  <c:v>13.798</c:v>
                </c:pt>
                <c:pt idx="2">
                  <c:v>7.1369999999999996</c:v>
                </c:pt>
                <c:pt idx="3">
                  <c:v>13.769</c:v>
                </c:pt>
                <c:pt idx="4" formatCode="#,##0.0">
                  <c:v>30.669</c:v>
                </c:pt>
                <c:pt idx="5" formatCode="#,##0.0">
                  <c:v>35.719000000000001</c:v>
                </c:pt>
                <c:pt idx="6" formatCode="#,##0.0">
                  <c:v>36.82</c:v>
                </c:pt>
                <c:pt idx="7" formatCode="#,##0.0">
                  <c:v>60.185000000000002</c:v>
                </c:pt>
                <c:pt idx="8" formatCode="#,##0.0">
                  <c:v>44.436</c:v>
                </c:pt>
              </c:numCache>
            </c:numRef>
          </c:val>
          <c:extLst>
            <c:ext xmlns:c16="http://schemas.microsoft.com/office/drawing/2014/chart" uri="{C3380CC4-5D6E-409C-BE32-E72D297353CC}">
              <c16:uniqueId val="{00000002-A6A5-4E87-BAD7-42853F8EC487}"/>
            </c:ext>
          </c:extLst>
        </c:ser>
        <c:dLbls>
          <c:showLegendKey val="0"/>
          <c:showVal val="1"/>
          <c:showCatName val="0"/>
          <c:showSerName val="0"/>
          <c:showPercent val="0"/>
          <c:showBubbleSize val="0"/>
        </c:dLbls>
        <c:gapWidth val="79"/>
        <c:overlap val="1"/>
        <c:axId val="197382656"/>
        <c:axId val="196765952"/>
      </c:barChart>
      <c:catAx>
        <c:axId val="197382656"/>
        <c:scaling>
          <c:orientation val="minMax"/>
        </c:scaling>
        <c:delete val="0"/>
        <c:axPos val="b"/>
        <c:numFmt formatCode="@" sourceLinked="1"/>
        <c:majorTickMark val="out"/>
        <c:minorTickMark val="none"/>
        <c:tickLblPos val="nextTo"/>
        <c:spPr>
          <a:ln w="3175">
            <a:solidFill>
              <a:schemeClr val="tx1"/>
            </a:solidFill>
          </a:ln>
        </c:spPr>
        <c:txPr>
          <a:bodyPr/>
          <a:lstStyle/>
          <a:p>
            <a:pPr>
              <a:defRPr sz="800"/>
            </a:pPr>
            <a:endParaRPr lang="cs-CZ"/>
          </a:p>
        </c:txPr>
        <c:crossAx val="196765952"/>
        <c:crosses val="autoZero"/>
        <c:auto val="1"/>
        <c:lblAlgn val="ctr"/>
        <c:lblOffset val="100"/>
        <c:noMultiLvlLbl val="0"/>
      </c:catAx>
      <c:valAx>
        <c:axId val="196765952"/>
        <c:scaling>
          <c:orientation val="minMax"/>
          <c:max val="80"/>
        </c:scaling>
        <c:delete val="0"/>
        <c:axPos val="l"/>
        <c:numFmt formatCode="#,##0" sourceLinked="1"/>
        <c:majorTickMark val="none"/>
        <c:minorTickMark val="none"/>
        <c:tickLblPos val="none"/>
        <c:crossAx val="197382656"/>
        <c:crosses val="autoZero"/>
        <c:crossBetween val="between"/>
        <c:majorUnit val="10"/>
        <c:minorUnit val="5"/>
      </c:valAx>
      <c:spPr>
        <a:ln w="12700">
          <a:solidFill>
            <a:srgbClr val="A6A6A6"/>
          </a:solidFill>
        </a:ln>
      </c:spPr>
    </c:plotArea>
    <c:legend>
      <c:legendPos val="t"/>
      <c:layout>
        <c:manualLayout>
          <c:xMode val="edge"/>
          <c:yMode val="edge"/>
          <c:x val="9.9913862541712556E-2"/>
          <c:y val="0.14576426568509146"/>
          <c:w val="0.63402960107301898"/>
          <c:h val="8.6570071795049858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3552546659803E-2"/>
          <c:y val="0.118525368300737"/>
          <c:w val="0.97019526080366703"/>
          <c:h val="0.68372366661714501"/>
        </c:manualLayout>
      </c:layout>
      <c:barChart>
        <c:barDir val="col"/>
        <c:grouping val="clustered"/>
        <c:varyColors val="0"/>
        <c:ser>
          <c:idx val="2"/>
          <c:order val="0"/>
          <c:tx>
            <c:strRef>
              <c:f>E_EN!$B$79</c:f>
              <c:strCache>
                <c:ptCount val="1"/>
                <c:pt idx="0">
                  <c:v> Citizens</c:v>
                </c:pt>
              </c:strCache>
            </c:strRef>
          </c:tx>
          <c:spPr>
            <a:solidFill>
              <a:srgbClr val="009BB4"/>
            </a:solidFill>
          </c:spPr>
          <c:invertIfNegative val="0"/>
          <c:dLbls>
            <c:spPr>
              <a:noFill/>
              <a:ln>
                <a:noFill/>
              </a:ln>
              <a:effectLst/>
            </c:spPr>
            <c:txPr>
              <a:bodyPr rot="-5400000" vert="horz"/>
              <a:lstStyle/>
              <a:p>
                <a:pPr>
                  <a:defRPr sz="800" b="1">
                    <a:solidFill>
                      <a:schemeClr val="bg1"/>
                    </a:solidFill>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E_EN!$C$76:$G$76</c:f>
              <c:numCache>
                <c:formatCode>General</c:formatCode>
                <c:ptCount val="5"/>
                <c:pt idx="0">
                  <c:v>2013</c:v>
                </c:pt>
                <c:pt idx="1">
                  <c:v>2014</c:v>
                </c:pt>
                <c:pt idx="2">
                  <c:v>2015</c:v>
                </c:pt>
                <c:pt idx="3">
                  <c:v>2016</c:v>
                </c:pt>
                <c:pt idx="4">
                  <c:v>2017</c:v>
                </c:pt>
              </c:numCache>
            </c:numRef>
          </c:cat>
          <c:val>
            <c:numRef>
              <c:f>E_EN!$C$79:$G$79</c:f>
              <c:numCache>
                <c:formatCode>0.0</c:formatCode>
                <c:ptCount val="5"/>
                <c:pt idx="0">
                  <c:v>12.119</c:v>
                </c:pt>
                <c:pt idx="1">
                  <c:v>13.95</c:v>
                </c:pt>
                <c:pt idx="2">
                  <c:v>17.204999999999991</c:v>
                </c:pt>
                <c:pt idx="3">
                  <c:v>26.234000000000009</c:v>
                </c:pt>
                <c:pt idx="4">
                  <c:v>22.869</c:v>
                </c:pt>
              </c:numCache>
            </c:numRef>
          </c:val>
          <c:extLst>
            <c:ext xmlns:c16="http://schemas.microsoft.com/office/drawing/2014/chart" uri="{C3380CC4-5D6E-409C-BE32-E72D297353CC}">
              <c16:uniqueId val="{00000000-9567-4AD6-8C2E-32A2A0A423FE}"/>
            </c:ext>
          </c:extLst>
        </c:ser>
        <c:ser>
          <c:idx val="1"/>
          <c:order val="1"/>
          <c:tx>
            <c:strRef>
              <c:f>E_EN!$B$78</c:f>
              <c:strCache>
                <c:ptCount val="1"/>
                <c:pt idx="0">
                  <c:v> Self-employed persons</c:v>
                </c:pt>
              </c:strCache>
            </c:strRef>
          </c:tx>
          <c:spPr>
            <a:solidFill>
              <a:srgbClr val="47E5FF"/>
            </a:solidFill>
            <a:ln w="12700">
              <a:noFill/>
            </a:ln>
          </c:spPr>
          <c:invertIfNegative val="0"/>
          <c:dLbls>
            <c:dLbl>
              <c:idx val="1"/>
              <c:layout>
                <c:manualLayout>
                  <c:x val="-2.95737680711668E-7"/>
                  <c:y val="0.15249941858533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7-4AD6-8C2E-32A2A0A423FE}"/>
                </c:ext>
              </c:extLst>
            </c:dLbl>
            <c:spPr>
              <a:noFill/>
              <a:ln>
                <a:noFill/>
              </a:ln>
              <a:effectLst/>
            </c:spPr>
            <c:txPr>
              <a:bodyPr rot="-5400000" vert="horz"/>
              <a:lstStyle/>
              <a:p>
                <a:pPr>
                  <a:defRPr sz="800" b="1">
                    <a:latin typeface="Arial" panose="020B0604020202020204" pitchFamily="34" charset="0"/>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E_EN!$C$76:$G$76</c:f>
              <c:numCache>
                <c:formatCode>General</c:formatCode>
                <c:ptCount val="5"/>
                <c:pt idx="0">
                  <c:v>2013</c:v>
                </c:pt>
                <c:pt idx="1">
                  <c:v>2014</c:v>
                </c:pt>
                <c:pt idx="2">
                  <c:v>2015</c:v>
                </c:pt>
                <c:pt idx="3">
                  <c:v>2016</c:v>
                </c:pt>
                <c:pt idx="4">
                  <c:v>2017</c:v>
                </c:pt>
              </c:numCache>
            </c:numRef>
          </c:cat>
          <c:val>
            <c:numRef>
              <c:f>E_EN!$C$78:$G$78</c:f>
              <c:numCache>
                <c:formatCode>0.0</c:formatCode>
                <c:ptCount val="5"/>
                <c:pt idx="0">
                  <c:v>17.684999999999999</c:v>
                </c:pt>
                <c:pt idx="1">
                  <c:v>20.126000000000001</c:v>
                </c:pt>
                <c:pt idx="2">
                  <c:v>17.663</c:v>
                </c:pt>
                <c:pt idx="3">
                  <c:v>34.683999999999997</c:v>
                </c:pt>
                <c:pt idx="4">
                  <c:v>20.018000000000001</c:v>
                </c:pt>
              </c:numCache>
            </c:numRef>
          </c:val>
          <c:extLst>
            <c:ext xmlns:c16="http://schemas.microsoft.com/office/drawing/2014/chart" uri="{C3380CC4-5D6E-409C-BE32-E72D297353CC}">
              <c16:uniqueId val="{00000002-9567-4AD6-8C2E-32A2A0A423FE}"/>
            </c:ext>
          </c:extLst>
        </c:ser>
        <c:ser>
          <c:idx val="0"/>
          <c:order val="2"/>
          <c:tx>
            <c:strRef>
              <c:f>E_EN!$B$77</c:f>
              <c:strCache>
                <c:ptCount val="1"/>
                <c:pt idx="0">
                  <c:v> Enterprises</c:v>
                </c:pt>
              </c:strCache>
            </c:strRef>
          </c:tx>
          <c:spPr>
            <a:solidFill>
              <a:srgbClr val="ABF3FF"/>
            </a:solidFill>
          </c:spPr>
          <c:invertIfNegative val="0"/>
          <c:dLbls>
            <c:spPr>
              <a:noFill/>
              <a:ln>
                <a:noFill/>
              </a:ln>
              <a:effectLst/>
            </c:spPr>
            <c:txPr>
              <a:bodyPr rot="-5400000" vert="horz"/>
              <a:lstStyle/>
              <a:p>
                <a:pPr>
                  <a:defRPr sz="800" b="1">
                    <a:solidFill>
                      <a:sysClr val="windowText" lastClr="000000"/>
                    </a:solidFill>
                    <a:latin typeface="Arial CE" pitchFamily="34" charset="0"/>
                    <a:cs typeface="Arial CE"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E_EN!$C$76:$G$76</c:f>
              <c:numCache>
                <c:formatCode>General</c:formatCode>
                <c:ptCount val="5"/>
                <c:pt idx="0">
                  <c:v>2013</c:v>
                </c:pt>
                <c:pt idx="1">
                  <c:v>2014</c:v>
                </c:pt>
                <c:pt idx="2">
                  <c:v>2015</c:v>
                </c:pt>
                <c:pt idx="3">
                  <c:v>2016</c:v>
                </c:pt>
                <c:pt idx="4">
                  <c:v>2017</c:v>
                </c:pt>
              </c:numCache>
            </c:numRef>
          </c:cat>
          <c:val>
            <c:numRef>
              <c:f>E_EN!$C$77:$G$77</c:f>
              <c:numCache>
                <c:formatCode>0.0</c:formatCode>
                <c:ptCount val="5"/>
                <c:pt idx="0">
                  <c:v>26.038</c:v>
                </c:pt>
                <c:pt idx="1">
                  <c:v>32.546999999999997</c:v>
                </c:pt>
                <c:pt idx="2">
                  <c:v>30.408999999999999</c:v>
                </c:pt>
                <c:pt idx="3">
                  <c:v>29.501000000000001</c:v>
                </c:pt>
                <c:pt idx="4">
                  <c:v>36.368000000000002</c:v>
                </c:pt>
              </c:numCache>
            </c:numRef>
          </c:val>
          <c:extLst>
            <c:ext xmlns:c16="http://schemas.microsoft.com/office/drawing/2014/chart" uri="{C3380CC4-5D6E-409C-BE32-E72D297353CC}">
              <c16:uniqueId val="{00000003-9567-4AD6-8C2E-32A2A0A423FE}"/>
            </c:ext>
          </c:extLst>
        </c:ser>
        <c:dLbls>
          <c:showLegendKey val="0"/>
          <c:showVal val="0"/>
          <c:showCatName val="0"/>
          <c:showSerName val="0"/>
          <c:showPercent val="0"/>
          <c:showBubbleSize val="0"/>
        </c:dLbls>
        <c:gapWidth val="37"/>
        <c:axId val="197127168"/>
        <c:axId val="196767680"/>
      </c:barChart>
      <c:catAx>
        <c:axId val="197127168"/>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latin typeface="Arial CE" pitchFamily="34" charset="0"/>
                <a:cs typeface="Arial CE" pitchFamily="34" charset="0"/>
              </a:defRPr>
            </a:pPr>
            <a:endParaRPr lang="cs-CZ"/>
          </a:p>
        </c:txPr>
        <c:crossAx val="196767680"/>
        <c:crosses val="autoZero"/>
        <c:auto val="1"/>
        <c:lblAlgn val="ctr"/>
        <c:lblOffset val="100"/>
        <c:noMultiLvlLbl val="0"/>
      </c:catAx>
      <c:valAx>
        <c:axId val="196767680"/>
        <c:scaling>
          <c:orientation val="minMax"/>
          <c:max val="60"/>
          <c:min val="0"/>
        </c:scaling>
        <c:delete val="0"/>
        <c:axPos val="l"/>
        <c:numFmt formatCode="0.0" sourceLinked="1"/>
        <c:majorTickMark val="none"/>
        <c:minorTickMark val="none"/>
        <c:tickLblPos val="none"/>
        <c:spPr>
          <a:ln w="9525">
            <a:noFill/>
          </a:ln>
        </c:spPr>
        <c:crossAx val="197127168"/>
        <c:crosses val="autoZero"/>
        <c:crossBetween val="between"/>
        <c:majorUnit val="10"/>
      </c:valAx>
      <c:spPr>
        <a:noFill/>
        <a:ln w="12700">
          <a:solidFill>
            <a:srgbClr val="A6A6A6"/>
          </a:solidFill>
        </a:ln>
      </c:spPr>
    </c:plotArea>
    <c:legend>
      <c:legendPos val="t"/>
      <c:layout>
        <c:manualLayout>
          <c:xMode val="edge"/>
          <c:yMode val="edge"/>
          <c:x val="9.2215935208854877E-2"/>
          <c:y val="0.16572450494404847"/>
          <c:w val="0.81823222801375195"/>
          <c:h val="8.3519496771764304E-2"/>
        </c:manualLayout>
      </c:layout>
      <c:overlay val="0"/>
      <c:spPr>
        <a:ln>
          <a:solidFill>
            <a:schemeClr val="bg1">
              <a:lumMod val="50000"/>
            </a:schemeClr>
          </a:solidFill>
        </a:ln>
      </c:spPr>
      <c:txPr>
        <a:bodyPr/>
        <a:lstStyle/>
        <a:p>
          <a:pPr>
            <a:defRPr sz="800">
              <a:latin typeface="Arial CE" pitchFamily="34" charset="0"/>
              <a:cs typeface="Arial CE" pitchFamily="34" charset="0"/>
            </a:defRPr>
          </a:pPr>
          <a:endParaRPr lang="cs-CZ"/>
        </a:p>
      </c:txPr>
    </c:legend>
    <c:plotVisOnly val="1"/>
    <c:dispBlanksAs val="gap"/>
    <c:showDLblsOverMax val="0"/>
  </c:chart>
  <c:spPr>
    <a:ln>
      <a:noFill/>
    </a:ln>
  </c:spPr>
  <c:txPr>
    <a:bodyPr/>
    <a:lstStyle/>
    <a:p>
      <a:pPr>
        <a:defRPr sz="550" baseline="0"/>
      </a:pPr>
      <a:endParaRPr lang="cs-CZ"/>
    </a:p>
  </c:txPr>
  <c:externalData r:id="rId1">
    <c:autoUpdate val="0"/>
  </c:externalData>
  <c:userShapes r:id="rId2"/>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800" b="1"/>
              <a:t>201</a:t>
            </a:r>
            <a:r>
              <a:rPr lang="cs-CZ" sz="800" b="1"/>
              <a:t>7</a:t>
            </a:r>
            <a:endParaRPr lang="en-US" sz="800" b="1"/>
          </a:p>
        </c:rich>
      </c:tx>
      <c:layout>
        <c:manualLayout>
          <c:xMode val="edge"/>
          <c:yMode val="edge"/>
          <c:x val="0.11671847301809785"/>
          <c:y val="0.13513123359580048"/>
        </c:manualLayout>
      </c:layout>
      <c:overlay val="0"/>
    </c:title>
    <c:autoTitleDeleted val="0"/>
    <c:plotArea>
      <c:layout>
        <c:manualLayout>
          <c:layoutTarget val="inner"/>
          <c:xMode val="edge"/>
          <c:yMode val="edge"/>
          <c:x val="0.18372813345975733"/>
          <c:y val="9.514435695538058E-2"/>
          <c:w val="0.80253899095111803"/>
          <c:h val="0.85204577106039103"/>
        </c:manualLayout>
      </c:layout>
      <c:doughnutChart>
        <c:varyColors val="1"/>
        <c:ser>
          <c:idx val="0"/>
          <c:order val="0"/>
          <c:tx>
            <c:strRef>
              <c:f>E_EN!$L$87</c:f>
              <c:strCache>
                <c:ptCount val="1"/>
                <c:pt idx="0">
                  <c:v>2017</c:v>
                </c:pt>
              </c:strCache>
            </c:strRef>
          </c:tx>
          <c:spPr>
            <a:solidFill>
              <a:srgbClr val="000080"/>
            </a:solidFill>
            <a:ln w="12700">
              <a:noFill/>
              <a:prstDash val="solid"/>
            </a:ln>
          </c:spPr>
          <c:dPt>
            <c:idx val="0"/>
            <c:bubble3D val="0"/>
            <c:spPr>
              <a:solidFill>
                <a:srgbClr val="009BB4"/>
              </a:solidFill>
              <a:ln w="25400">
                <a:noFill/>
              </a:ln>
            </c:spPr>
            <c:extLst>
              <c:ext xmlns:c16="http://schemas.microsoft.com/office/drawing/2014/chart" uri="{C3380CC4-5D6E-409C-BE32-E72D297353CC}">
                <c16:uniqueId val="{00000001-E323-44E9-9468-04463AD60B7D}"/>
              </c:ext>
            </c:extLst>
          </c:dPt>
          <c:dPt>
            <c:idx val="1"/>
            <c:bubble3D val="0"/>
            <c:spPr>
              <a:solidFill>
                <a:srgbClr val="47E5FF"/>
              </a:solidFill>
              <a:ln w="25400">
                <a:noFill/>
              </a:ln>
            </c:spPr>
            <c:extLst>
              <c:ext xmlns:c16="http://schemas.microsoft.com/office/drawing/2014/chart" uri="{C3380CC4-5D6E-409C-BE32-E72D297353CC}">
                <c16:uniqueId val="{00000003-E323-44E9-9468-04463AD60B7D}"/>
              </c:ext>
            </c:extLst>
          </c:dPt>
          <c:dPt>
            <c:idx val="2"/>
            <c:bubble3D val="0"/>
            <c:spPr>
              <a:solidFill>
                <a:srgbClr val="ABF3FF"/>
              </a:solidFill>
              <a:ln w="25400">
                <a:noFill/>
              </a:ln>
            </c:spPr>
            <c:extLst>
              <c:ext xmlns:c16="http://schemas.microsoft.com/office/drawing/2014/chart" uri="{C3380CC4-5D6E-409C-BE32-E72D297353CC}">
                <c16:uniqueId val="{00000005-E323-44E9-9468-04463AD60B7D}"/>
              </c:ext>
            </c:extLst>
          </c:dPt>
          <c:dPt>
            <c:idx val="3"/>
            <c:bubble3D val="0"/>
            <c:spPr>
              <a:solidFill>
                <a:schemeClr val="tx1"/>
              </a:solidFill>
              <a:ln w="25400">
                <a:noFill/>
              </a:ln>
            </c:spPr>
            <c:extLst>
              <c:ext xmlns:c16="http://schemas.microsoft.com/office/drawing/2014/chart" uri="{C3380CC4-5D6E-409C-BE32-E72D297353CC}">
                <c16:uniqueId val="{00000007-E323-44E9-9468-04463AD60B7D}"/>
              </c:ext>
            </c:extLst>
          </c:dPt>
          <c:dPt>
            <c:idx val="4"/>
            <c:bubble3D val="0"/>
            <c:spPr>
              <a:solidFill>
                <a:srgbClr val="ABF3FF"/>
              </a:solidFill>
              <a:ln w="12700">
                <a:noFill/>
                <a:prstDash val="solid"/>
              </a:ln>
            </c:spPr>
            <c:extLst>
              <c:ext xmlns:c16="http://schemas.microsoft.com/office/drawing/2014/chart" uri="{C3380CC4-5D6E-409C-BE32-E72D297353CC}">
                <c16:uniqueId val="{00000009-E323-44E9-9468-04463AD60B7D}"/>
              </c:ext>
            </c:extLst>
          </c:dPt>
          <c:dLbls>
            <c:dLbl>
              <c:idx val="0"/>
              <c:spPr/>
              <c:txPr>
                <a:bodyPr/>
                <a:lstStyle/>
                <a:p>
                  <a:pPr>
                    <a:defRPr sz="800" b="1">
                      <a:solidFill>
                        <a:schemeClr val="bg1"/>
                      </a:solidFill>
                    </a:defRPr>
                  </a:pPr>
                  <a:endParaRPr lang="cs-CZ"/>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23-44E9-9468-04463AD60B7D}"/>
                </c:ext>
              </c:extLst>
            </c:dLbl>
            <c:dLbl>
              <c:idx val="1"/>
              <c:spPr/>
              <c:txPr>
                <a:bodyPr/>
                <a:lstStyle/>
                <a:p>
                  <a:pPr>
                    <a:defRPr sz="800" b="1">
                      <a:solidFill>
                        <a:schemeClr val="tx1"/>
                      </a:solidFill>
                    </a:defRPr>
                  </a:pPr>
                  <a:endParaRPr lang="cs-CZ"/>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23-44E9-9468-04463AD60B7D}"/>
                </c:ext>
              </c:extLst>
            </c:dLbl>
            <c:dLbl>
              <c:idx val="2"/>
              <c:layout>
                <c:manualLayout>
                  <c:x val="-1.06302214685274E-2"/>
                  <c:y val="-1.07899702553655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323-44E9-9468-04463AD60B7D}"/>
                </c:ext>
              </c:extLst>
            </c:dLbl>
            <c:dLbl>
              <c:idx val="3"/>
              <c:delete val="1"/>
              <c:extLst>
                <c:ext xmlns:c15="http://schemas.microsoft.com/office/drawing/2012/chart" uri="{CE6537A1-D6FC-4f65-9D91-7224C49458BB}"/>
                <c:ext xmlns:c16="http://schemas.microsoft.com/office/drawing/2014/chart" uri="{C3380CC4-5D6E-409C-BE32-E72D297353CC}">
                  <c16:uniqueId val="{00000007-E323-44E9-9468-04463AD60B7D}"/>
                </c:ext>
              </c:extLst>
            </c:dLbl>
            <c:dLbl>
              <c:idx val="4"/>
              <c:tx>
                <c:rich>
                  <a:bodyPr/>
                  <a:lstStyle/>
                  <a:p>
                    <a:r>
                      <a:rPr lang="en-US" sz="800"/>
                      <a:t>1</a:t>
                    </a:r>
                    <a:r>
                      <a:rPr lang="en-US"/>
                      <a:t>068
35%</a:t>
                    </a:r>
                  </a:p>
                </c:rich>
              </c:tx>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323-44E9-9468-04463AD60B7D}"/>
                </c:ext>
              </c:extLst>
            </c:dLbl>
            <c:spPr>
              <a:noFill/>
              <a:ln>
                <a:noFill/>
              </a:ln>
              <a:effectLst/>
            </c:spPr>
            <c:txPr>
              <a:bodyPr/>
              <a:lstStyle/>
              <a:p>
                <a:pPr>
                  <a:defRPr sz="800" b="1"/>
                </a:pPr>
                <a:endParaRPr lang="cs-CZ"/>
              </a:p>
            </c:tx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E_EN!$J$88:$J$91</c:f>
              <c:strCache>
                <c:ptCount val="4"/>
                <c:pt idx="0">
                  <c:v> Public authorities</c:v>
                </c:pt>
                <c:pt idx="1">
                  <c:v> Enterprises</c:v>
                </c:pt>
                <c:pt idx="2">
                  <c:v> Self-employed persons</c:v>
                </c:pt>
                <c:pt idx="3">
                  <c:v> Citizens</c:v>
                </c:pt>
              </c:strCache>
            </c:strRef>
          </c:cat>
          <c:val>
            <c:numRef>
              <c:f>E_EN!$L$88:$L$91</c:f>
              <c:numCache>
                <c:formatCode>#,##0.0</c:formatCode>
                <c:ptCount val="4"/>
                <c:pt idx="0">
                  <c:v>71.494517000000002</c:v>
                </c:pt>
                <c:pt idx="1">
                  <c:v>26.65436200000001</c:v>
                </c:pt>
                <c:pt idx="2">
                  <c:v>4.1513590000000002</c:v>
                </c:pt>
                <c:pt idx="3">
                  <c:v>0.53007800000000005</c:v>
                </c:pt>
              </c:numCache>
            </c:numRef>
          </c:val>
          <c:extLst>
            <c:ext xmlns:c16="http://schemas.microsoft.com/office/drawing/2014/chart" uri="{C3380CC4-5D6E-409C-BE32-E72D297353CC}">
              <c16:uniqueId val="{0000000A-E323-44E9-9468-04463AD60B7D}"/>
            </c:ext>
          </c:extLst>
        </c:ser>
        <c:dLbls>
          <c:showLegendKey val="0"/>
          <c:showVal val="1"/>
          <c:showCatName val="0"/>
          <c:showSerName val="0"/>
          <c:showPercent val="0"/>
          <c:showBubbleSize val="0"/>
          <c:showLeaderLines val="0"/>
        </c:dLbls>
        <c:firstSliceAng val="0"/>
        <c:holeSize val="50"/>
      </c:doughnutChart>
    </c:plotArea>
    <c:plotVisOnly val="1"/>
    <c:dispBlanksAs val="zero"/>
    <c:showDLblsOverMax val="0"/>
  </c:chart>
  <c:spPr>
    <a:noFill/>
    <a:ln w="9525">
      <a:noFill/>
    </a:ln>
  </c:spPr>
  <c:txPr>
    <a:bodyPr/>
    <a:lstStyle/>
    <a:p>
      <a:pPr>
        <a:defRPr sz="500" b="0" i="0" u="none" strike="noStrike" baseline="0">
          <a:solidFill>
            <a:srgbClr val="000000"/>
          </a:solidFill>
          <a:latin typeface="Arial CE"/>
          <a:ea typeface="Arial CE"/>
          <a:cs typeface="Arial CE"/>
        </a:defRPr>
      </a:pPr>
      <a:endParaRPr lang="cs-CZ"/>
    </a:p>
  </c:txPr>
  <c:externalData r:id="rId2">
    <c:autoUpdate val="0"/>
  </c:externalData>
  <c:userShapes r:id="rId3"/>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en-US" sz="800"/>
              <a:t>2012</a:t>
            </a:r>
          </a:p>
        </c:rich>
      </c:tx>
      <c:layout>
        <c:manualLayout>
          <c:xMode val="edge"/>
          <c:yMode val="edge"/>
          <c:x val="5.5840789787640184E-2"/>
          <c:y val="0.30600667444589358"/>
        </c:manualLayout>
      </c:layout>
      <c:overlay val="1"/>
    </c:title>
    <c:autoTitleDeleted val="0"/>
    <c:plotArea>
      <c:layout>
        <c:manualLayout>
          <c:layoutTarget val="inner"/>
          <c:xMode val="edge"/>
          <c:yMode val="edge"/>
          <c:x val="8.6500277777777801E-2"/>
          <c:y val="0.30555869049996098"/>
          <c:w val="0.43729867573371511"/>
          <c:h val="0.50913715719382924"/>
        </c:manualLayout>
      </c:layout>
      <c:doughnutChart>
        <c:varyColors val="1"/>
        <c:ser>
          <c:idx val="0"/>
          <c:order val="0"/>
          <c:tx>
            <c:strRef>
              <c:f>E_EN!$K$87</c:f>
              <c:strCache>
                <c:ptCount val="1"/>
                <c:pt idx="0">
                  <c:v>2012</c:v>
                </c:pt>
              </c:strCache>
            </c:strRef>
          </c:tx>
          <c:spPr>
            <a:solidFill>
              <a:srgbClr val="000080"/>
            </a:solidFill>
            <a:ln w="12700">
              <a:solidFill>
                <a:srgbClr val="000000"/>
              </a:solidFill>
              <a:prstDash val="solid"/>
            </a:ln>
          </c:spPr>
          <c:dPt>
            <c:idx val="0"/>
            <c:bubble3D val="0"/>
            <c:spPr>
              <a:solidFill>
                <a:srgbClr val="009BB4"/>
              </a:solidFill>
              <a:ln w="25400">
                <a:noFill/>
              </a:ln>
            </c:spPr>
            <c:extLst>
              <c:ext xmlns:c16="http://schemas.microsoft.com/office/drawing/2014/chart" uri="{C3380CC4-5D6E-409C-BE32-E72D297353CC}">
                <c16:uniqueId val="{00000001-8E0B-476B-8BAF-FFA1D38D2D57}"/>
              </c:ext>
            </c:extLst>
          </c:dPt>
          <c:dPt>
            <c:idx val="1"/>
            <c:bubble3D val="0"/>
            <c:spPr>
              <a:solidFill>
                <a:srgbClr val="47E5FF"/>
              </a:solidFill>
              <a:ln w="25400">
                <a:noFill/>
              </a:ln>
            </c:spPr>
            <c:extLst>
              <c:ext xmlns:c16="http://schemas.microsoft.com/office/drawing/2014/chart" uri="{C3380CC4-5D6E-409C-BE32-E72D297353CC}">
                <c16:uniqueId val="{00000003-8E0B-476B-8BAF-FFA1D38D2D57}"/>
              </c:ext>
            </c:extLst>
          </c:dPt>
          <c:dPt>
            <c:idx val="2"/>
            <c:bubble3D val="0"/>
            <c:spPr>
              <a:solidFill>
                <a:srgbClr val="ABF3FF"/>
              </a:solidFill>
              <a:ln w="25400">
                <a:noFill/>
              </a:ln>
            </c:spPr>
            <c:extLst>
              <c:ext xmlns:c16="http://schemas.microsoft.com/office/drawing/2014/chart" uri="{C3380CC4-5D6E-409C-BE32-E72D297353CC}">
                <c16:uniqueId val="{00000005-8E0B-476B-8BAF-FFA1D38D2D57}"/>
              </c:ext>
            </c:extLst>
          </c:dPt>
          <c:dPt>
            <c:idx val="3"/>
            <c:bubble3D val="0"/>
            <c:spPr>
              <a:solidFill>
                <a:schemeClr val="tx1"/>
              </a:solidFill>
              <a:ln w="25400">
                <a:noFill/>
              </a:ln>
            </c:spPr>
            <c:extLst>
              <c:ext xmlns:c16="http://schemas.microsoft.com/office/drawing/2014/chart" uri="{C3380CC4-5D6E-409C-BE32-E72D297353CC}">
                <c16:uniqueId val="{00000007-8E0B-476B-8BAF-FFA1D38D2D57}"/>
              </c:ext>
            </c:extLst>
          </c:dPt>
          <c:dPt>
            <c:idx val="4"/>
            <c:bubble3D val="0"/>
            <c:spPr>
              <a:solidFill>
                <a:srgbClr val="ABF3FF"/>
              </a:solidFill>
              <a:ln w="12700">
                <a:noFill/>
                <a:prstDash val="solid"/>
              </a:ln>
            </c:spPr>
            <c:extLst>
              <c:ext xmlns:c16="http://schemas.microsoft.com/office/drawing/2014/chart" uri="{C3380CC4-5D6E-409C-BE32-E72D297353CC}">
                <c16:uniqueId val="{00000009-8E0B-476B-8BAF-FFA1D38D2D57}"/>
              </c:ext>
            </c:extLst>
          </c:dPt>
          <c:dLbls>
            <c:dLbl>
              <c:idx val="0"/>
              <c:spPr/>
              <c:txPr>
                <a:bodyPr/>
                <a:lstStyle/>
                <a:p>
                  <a:pPr>
                    <a:defRPr sz="800" b="1">
                      <a:solidFill>
                        <a:schemeClr val="bg1"/>
                      </a:solidFill>
                    </a:defRPr>
                  </a:pPr>
                  <a:endParaRPr lang="cs-CZ"/>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0B-476B-8BAF-FFA1D38D2D57}"/>
                </c:ext>
              </c:extLst>
            </c:dLbl>
            <c:dLbl>
              <c:idx val="1"/>
              <c:spPr/>
              <c:txPr>
                <a:bodyPr/>
                <a:lstStyle/>
                <a:p>
                  <a:pPr>
                    <a:defRPr sz="800" b="1">
                      <a:solidFill>
                        <a:schemeClr val="tx1"/>
                      </a:solidFill>
                    </a:defRPr>
                  </a:pPr>
                  <a:endParaRPr lang="cs-CZ"/>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0B-476B-8BAF-FFA1D38D2D57}"/>
                </c:ext>
              </c:extLst>
            </c:dLbl>
            <c:dLbl>
              <c:idx val="2"/>
              <c:delete val="1"/>
              <c:extLst>
                <c:ext xmlns:c15="http://schemas.microsoft.com/office/drawing/2012/chart" uri="{CE6537A1-D6FC-4f65-9D91-7224C49458BB}"/>
                <c:ext xmlns:c16="http://schemas.microsoft.com/office/drawing/2014/chart" uri="{C3380CC4-5D6E-409C-BE32-E72D297353CC}">
                  <c16:uniqueId val="{00000005-8E0B-476B-8BAF-FFA1D38D2D57}"/>
                </c:ext>
              </c:extLst>
            </c:dLbl>
            <c:dLbl>
              <c:idx val="3"/>
              <c:delete val="1"/>
              <c:extLst>
                <c:ext xmlns:c15="http://schemas.microsoft.com/office/drawing/2012/chart" uri="{CE6537A1-D6FC-4f65-9D91-7224C49458BB}"/>
                <c:ext xmlns:c16="http://schemas.microsoft.com/office/drawing/2014/chart" uri="{C3380CC4-5D6E-409C-BE32-E72D297353CC}">
                  <c16:uniqueId val="{00000007-8E0B-476B-8BAF-FFA1D38D2D57}"/>
                </c:ext>
              </c:extLst>
            </c:dLbl>
            <c:spPr>
              <a:noFill/>
              <a:ln>
                <a:noFill/>
              </a:ln>
              <a:effectLst/>
            </c:spPr>
            <c:txPr>
              <a:bodyPr/>
              <a:lstStyle/>
              <a:p>
                <a:pPr>
                  <a:defRPr sz="800" b="1"/>
                </a:pPr>
                <a:endParaRPr lang="cs-CZ"/>
              </a:p>
            </c:tx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E_EN!$J$88:$J$91</c:f>
              <c:strCache>
                <c:ptCount val="4"/>
                <c:pt idx="0">
                  <c:v> Public authorities</c:v>
                </c:pt>
                <c:pt idx="1">
                  <c:v> Enterprises</c:v>
                </c:pt>
                <c:pt idx="2">
                  <c:v> Self-employed persons</c:v>
                </c:pt>
                <c:pt idx="3">
                  <c:v> Citizens</c:v>
                </c:pt>
              </c:strCache>
            </c:strRef>
          </c:cat>
          <c:val>
            <c:numRef>
              <c:f>E_EN!$K$88:$K$91</c:f>
              <c:numCache>
                <c:formatCode>#,##0.0</c:formatCode>
                <c:ptCount val="4"/>
                <c:pt idx="0">
                  <c:v>40.091679000000013</c:v>
                </c:pt>
                <c:pt idx="1">
                  <c:v>4.6499489999999977</c:v>
                </c:pt>
                <c:pt idx="2">
                  <c:v>0.62139800000000001</c:v>
                </c:pt>
                <c:pt idx="3">
                  <c:v>6.2015000000000001E-2</c:v>
                </c:pt>
              </c:numCache>
            </c:numRef>
          </c:val>
          <c:extLst>
            <c:ext xmlns:c16="http://schemas.microsoft.com/office/drawing/2014/chart" uri="{C3380CC4-5D6E-409C-BE32-E72D297353CC}">
              <c16:uniqueId val="{0000000A-8E0B-476B-8BAF-FFA1D38D2D57}"/>
            </c:ext>
          </c:extLst>
        </c:ser>
        <c:dLbls>
          <c:showLegendKey val="0"/>
          <c:showVal val="1"/>
          <c:showCatName val="0"/>
          <c:showSerName val="0"/>
          <c:showPercent val="0"/>
          <c:showBubbleSize val="0"/>
          <c:showLeaderLines val="0"/>
        </c:dLbls>
        <c:firstSliceAng val="0"/>
        <c:holeSize val="50"/>
      </c:doughnutChart>
    </c:plotArea>
    <c:legend>
      <c:legendPos val="t"/>
      <c:layout>
        <c:manualLayout>
          <c:xMode val="edge"/>
          <c:yMode val="edge"/>
          <c:x val="6.0606060606060608E-2"/>
          <c:y val="0.17783192195315212"/>
          <c:w val="0.914111975198725"/>
          <c:h val="0.10505897574295101"/>
        </c:manualLayout>
      </c:layout>
      <c:overlay val="0"/>
      <c:spPr>
        <a:ln>
          <a:solidFill>
            <a:schemeClr val="bg1">
              <a:lumMod val="50000"/>
            </a:schemeClr>
          </a:solidFill>
        </a:ln>
      </c:spPr>
      <c:txPr>
        <a:bodyPr/>
        <a:lstStyle/>
        <a:p>
          <a:pPr rtl="0">
            <a:defRPr sz="800"/>
          </a:pPr>
          <a:endParaRPr lang="cs-CZ"/>
        </a:p>
      </c:txPr>
    </c:legend>
    <c:plotVisOnly val="1"/>
    <c:dispBlanksAs val="zero"/>
    <c:showDLblsOverMax val="0"/>
  </c:chart>
  <c:spPr>
    <a:solidFill>
      <a:srgbClr val="FFFFFF"/>
    </a:solidFill>
    <a:ln w="9525">
      <a:noFill/>
    </a:ln>
  </c:spPr>
  <c:txPr>
    <a:bodyPr/>
    <a:lstStyle/>
    <a:p>
      <a:pPr>
        <a:defRPr sz="5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a:t> Figure E</a:t>
            </a:r>
            <a:r>
              <a:rPr lang="cs-CZ" sz="800" b="1"/>
              <a:t>8</a:t>
            </a:r>
            <a:r>
              <a:rPr lang="en-US" sz="800" b="1"/>
              <a:t> Number of e-transactions made via Data Boxes </a:t>
            </a:r>
            <a:r>
              <a:rPr lang="cs-CZ" sz="800" b="1"/>
              <a:t>in the Czech Republic </a:t>
            </a:r>
            <a:r>
              <a:rPr lang="en-US" sz="800" b="1"/>
              <a:t>by citizens (thous.)</a:t>
            </a:r>
          </a:p>
        </c:rich>
      </c:tx>
      <c:layout>
        <c:manualLayout>
          <c:xMode val="edge"/>
          <c:yMode val="edge"/>
          <c:x val="0.120387509700822"/>
          <c:y val="1.6666666666666701E-2"/>
        </c:manualLayout>
      </c:layout>
      <c:overlay val="0"/>
    </c:title>
    <c:autoTitleDeleted val="0"/>
    <c:plotArea>
      <c:layout>
        <c:manualLayout>
          <c:layoutTarget val="inner"/>
          <c:xMode val="edge"/>
          <c:yMode val="edge"/>
          <c:x val="0.16901651405993182"/>
          <c:y val="0.18382658730158699"/>
          <c:w val="0.77418465257300428"/>
          <c:h val="0.68369007936507997"/>
        </c:manualLayout>
      </c:layout>
      <c:barChart>
        <c:barDir val="bar"/>
        <c:grouping val="clustered"/>
        <c:varyColors val="0"/>
        <c:ser>
          <c:idx val="0"/>
          <c:order val="0"/>
          <c:tx>
            <c:strRef>
              <c:f>E_EN!$A$106</c:f>
              <c:strCache>
                <c:ptCount val="1"/>
                <c:pt idx="0">
                  <c:v> Total</c:v>
                </c:pt>
              </c:strCache>
            </c:strRef>
          </c:tx>
          <c:spPr>
            <a:solidFill>
              <a:srgbClr val="009BB4"/>
            </a:solidFill>
            <a:ln w="25400">
              <a:noFill/>
            </a:ln>
          </c:spPr>
          <c:invertIfNegative val="0"/>
          <c:dLbls>
            <c:dLbl>
              <c:idx val="0"/>
              <c:layout>
                <c:manualLayout>
                  <c:x val="4.6902276750289702E-3"/>
                  <c:y val="-8.5476815398075198E-4"/>
                </c:manualLayout>
              </c:layout>
              <c:numFmt formatCode="#,##0.0" sourceLinked="0"/>
              <c:spPr>
                <a:noFill/>
                <a:ln>
                  <a:noFill/>
                </a:ln>
                <a:effectLst/>
              </c:spPr>
              <c:txPr>
                <a:bodyPr rot="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6C-4A1C-8E28-D0E9828FFA34}"/>
                </c:ext>
              </c:extLst>
            </c:dLbl>
            <c:dLbl>
              <c:idx val="1"/>
              <c:layout>
                <c:manualLayout>
                  <c:x val="-3.0854282749540199E-3"/>
                  <c:y val="-1.0185067526416E-16"/>
                </c:manualLayout>
              </c:layout>
              <c:numFmt formatCode="#,##0.0" sourceLinked="0"/>
              <c:spPr>
                <a:noFill/>
                <a:ln>
                  <a:noFill/>
                </a:ln>
                <a:effectLst/>
              </c:spPr>
              <c:txPr>
                <a:bodyPr rot="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6C-4A1C-8E28-D0E9828FFA34}"/>
                </c:ext>
              </c:extLst>
            </c:dLbl>
            <c:dLbl>
              <c:idx val="2"/>
              <c:layout>
                <c:manualLayout>
                  <c:x val="-1.4396107463311301E-2"/>
                  <c:y val="-1.0185067526416E-16"/>
                </c:manualLayout>
              </c:layout>
              <c:numFmt formatCode="#,##0.0" sourceLinked="0"/>
              <c:spPr>
                <a:noFill/>
                <a:ln>
                  <a:noFill/>
                </a:ln>
                <a:effectLst/>
              </c:spPr>
              <c:txPr>
                <a:bodyPr rot="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C-4A1C-8E28-D0E9828FFA34}"/>
                </c:ext>
              </c:extLst>
            </c:dLbl>
            <c:dLbl>
              <c:idx val="3"/>
              <c:layout>
                <c:manualLayout>
                  <c:x val="-2.5468909409579999E-3"/>
                  <c:y val="-5.5555555555555497E-3"/>
                </c:manualLayout>
              </c:layout>
              <c:numFmt formatCode="#,##0.0" sourceLinked="0"/>
              <c:spPr>
                <a:noFill/>
                <a:ln>
                  <a:noFill/>
                </a:ln>
                <a:effectLst/>
              </c:spPr>
              <c:txPr>
                <a:bodyPr rot="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6C-4A1C-8E28-D0E9828FFA34}"/>
                </c:ext>
              </c:extLst>
            </c:dLbl>
            <c:numFmt formatCode="#,##0.0" sourceLinked="0"/>
            <c:spPr>
              <a:noFill/>
              <a:ln>
                <a:noFill/>
              </a:ln>
              <a:effectLst/>
            </c:spPr>
            <c:txPr>
              <a:bodyPr rot="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E_EN!$B$105:$I$105</c:f>
              <c:numCache>
                <c:formatCode>General</c:formatCode>
                <c:ptCount val="8"/>
                <c:pt idx="0" formatCode="@">
                  <c:v>2010</c:v>
                </c:pt>
                <c:pt idx="1">
                  <c:v>2011</c:v>
                </c:pt>
                <c:pt idx="2" formatCode="@">
                  <c:v>2012</c:v>
                </c:pt>
                <c:pt idx="3">
                  <c:v>2013</c:v>
                </c:pt>
                <c:pt idx="4" formatCode="@">
                  <c:v>2014</c:v>
                </c:pt>
                <c:pt idx="5">
                  <c:v>2015</c:v>
                </c:pt>
                <c:pt idx="6">
                  <c:v>2016</c:v>
                </c:pt>
                <c:pt idx="7">
                  <c:v>2017</c:v>
                </c:pt>
              </c:numCache>
            </c:numRef>
          </c:cat>
          <c:val>
            <c:numRef>
              <c:f>E_EN!$B$106:$I$106</c:f>
              <c:numCache>
                <c:formatCode>#,##0.0</c:formatCode>
                <c:ptCount val="8"/>
                <c:pt idx="0">
                  <c:v>29.756</c:v>
                </c:pt>
                <c:pt idx="1">
                  <c:v>43.144000000000013</c:v>
                </c:pt>
                <c:pt idx="2">
                  <c:v>62.015000000000001</c:v>
                </c:pt>
                <c:pt idx="3">
                  <c:v>94.242999999999995</c:v>
                </c:pt>
                <c:pt idx="4">
                  <c:v>221.369</c:v>
                </c:pt>
                <c:pt idx="5">
                  <c:v>310.90199999999902</c:v>
                </c:pt>
                <c:pt idx="6">
                  <c:v>429.16399999999999</c:v>
                </c:pt>
                <c:pt idx="7">
                  <c:v>530.07799999999997</c:v>
                </c:pt>
              </c:numCache>
            </c:numRef>
          </c:val>
          <c:extLst>
            <c:ext xmlns:c16="http://schemas.microsoft.com/office/drawing/2014/chart" uri="{C3380CC4-5D6E-409C-BE32-E72D297353CC}">
              <c16:uniqueId val="{00000004-036C-4A1C-8E28-D0E9828FFA34}"/>
            </c:ext>
          </c:extLst>
        </c:ser>
        <c:dLbls>
          <c:showLegendKey val="0"/>
          <c:showVal val="0"/>
          <c:showCatName val="0"/>
          <c:showSerName val="0"/>
          <c:showPercent val="0"/>
          <c:showBubbleSize val="0"/>
        </c:dLbls>
        <c:gapWidth val="40"/>
        <c:axId val="197548544"/>
        <c:axId val="197313088"/>
      </c:barChart>
      <c:catAx>
        <c:axId val="197548544"/>
        <c:scaling>
          <c:orientation val="minMax"/>
        </c:scaling>
        <c:delete val="0"/>
        <c:axPos val="l"/>
        <c:numFmt formatCode="@" sourceLinked="1"/>
        <c:majorTickMark val="out"/>
        <c:minorTickMark val="none"/>
        <c:tickLblPos val="nextTo"/>
        <c:spPr>
          <a:ln w="3175">
            <a:solidFill>
              <a:schemeClr val="tx1"/>
            </a:solidFill>
          </a:ln>
        </c:spPr>
        <c:txPr>
          <a:bodyPr rot="0" vert="horz"/>
          <a:lstStyle/>
          <a:p>
            <a:pPr>
              <a:defRPr sz="800" b="0" i="0" u="none" strike="noStrike" baseline="0">
                <a:solidFill>
                  <a:srgbClr val="000000"/>
                </a:solidFill>
                <a:latin typeface="Arial CE"/>
                <a:ea typeface="Arial CE"/>
                <a:cs typeface="Arial CE"/>
              </a:defRPr>
            </a:pPr>
            <a:endParaRPr lang="cs-CZ"/>
          </a:p>
        </c:txPr>
        <c:crossAx val="197313088"/>
        <c:crosses val="autoZero"/>
        <c:auto val="1"/>
        <c:lblAlgn val="ctr"/>
        <c:lblOffset val="100"/>
        <c:noMultiLvlLbl val="0"/>
      </c:catAx>
      <c:valAx>
        <c:axId val="197313088"/>
        <c:scaling>
          <c:orientation val="minMax"/>
          <c:max val="600"/>
          <c:min val="0"/>
        </c:scaling>
        <c:delete val="0"/>
        <c:axPos val="b"/>
        <c:numFmt formatCode="#,##0" sourceLinked="0"/>
        <c:majorTickMark val="none"/>
        <c:minorTickMark val="none"/>
        <c:tickLblPos val="none"/>
        <c:crossAx val="197548544"/>
        <c:crosses val="autoZero"/>
        <c:crossBetween val="between"/>
        <c:majorUnit val="50"/>
        <c:minorUnit val="10"/>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effectLst/>
                <a:latin typeface="Arial" panose="020B0604020202020204" pitchFamily="34" charset="0"/>
                <a:cs typeface="Arial" panose="020B0604020202020204" pitchFamily="34" charset="0"/>
              </a:rPr>
              <a:t>Figure E9 Personal Income Tax forms </a:t>
            </a:r>
          </a:p>
          <a:p>
            <a:pPr>
              <a:defRPr sz="800" b="1"/>
            </a:pPr>
            <a:r>
              <a:rPr lang="cs-CZ" sz="800" b="1">
                <a:effectLst/>
                <a:latin typeface="Arial" panose="020B0604020202020204" pitchFamily="34" charset="0"/>
                <a:cs typeface="Arial" panose="020B0604020202020204" pitchFamily="34" charset="0"/>
              </a:rPr>
              <a:t>sent electronically</a:t>
            </a:r>
            <a:r>
              <a:rPr lang="cs-CZ" sz="800" b="1" baseline="0">
                <a:effectLst/>
                <a:latin typeface="Arial" panose="020B0604020202020204" pitchFamily="34" charset="0"/>
                <a:cs typeface="Arial" panose="020B0604020202020204" pitchFamily="34" charset="0"/>
              </a:rPr>
              <a:t> to the Czech Financial Administration via EPO application</a:t>
            </a:r>
            <a:endParaRPr lang="cs-CZ" sz="100">
              <a:effectLst/>
              <a:latin typeface="Arial" panose="020B0604020202020204" pitchFamily="34" charset="0"/>
              <a:cs typeface="Arial" panose="020B0604020202020204" pitchFamily="34" charset="0"/>
            </a:endParaRPr>
          </a:p>
        </c:rich>
      </c:tx>
      <c:layout>
        <c:manualLayout>
          <c:xMode val="edge"/>
          <c:yMode val="edge"/>
          <c:x val="0.14244934640522899"/>
          <c:y val="0"/>
        </c:manualLayout>
      </c:layout>
      <c:overlay val="1"/>
    </c:title>
    <c:autoTitleDeleted val="0"/>
    <c:plotArea>
      <c:layout>
        <c:manualLayout>
          <c:layoutTarget val="inner"/>
          <c:xMode val="edge"/>
          <c:yMode val="edge"/>
          <c:x val="2.90522875816994E-2"/>
          <c:y val="0.29248002172993764"/>
          <c:w val="0.966503267973856"/>
          <c:h val="0.56950308200890809"/>
        </c:manualLayout>
      </c:layout>
      <c:barChart>
        <c:barDir val="col"/>
        <c:grouping val="clustered"/>
        <c:varyColors val="0"/>
        <c:ser>
          <c:idx val="0"/>
          <c:order val="0"/>
          <c:tx>
            <c:strRef>
              <c:f>E_EN!$I$121</c:f>
              <c:strCache>
                <c:ptCount val="1"/>
                <c:pt idx="0">
                  <c:v> Total</c:v>
                </c:pt>
              </c:strCache>
            </c:strRef>
          </c:tx>
          <c:spPr>
            <a:solidFill>
              <a:srgbClr val="009BB4"/>
            </a:solidFill>
            <a:ln w="25400">
              <a:noFill/>
            </a:ln>
          </c:spPr>
          <c:invertIfNegative val="0"/>
          <c:dLbls>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E_EN!$J$120:$N$120</c:f>
              <c:numCache>
                <c:formatCode>General</c:formatCode>
                <c:ptCount val="5"/>
                <c:pt idx="0" formatCode="@">
                  <c:v>2013</c:v>
                </c:pt>
                <c:pt idx="1">
                  <c:v>2014</c:v>
                </c:pt>
                <c:pt idx="2" formatCode="@">
                  <c:v>2015</c:v>
                </c:pt>
                <c:pt idx="3">
                  <c:v>2016</c:v>
                </c:pt>
                <c:pt idx="4" formatCode="@">
                  <c:v>2017</c:v>
                </c:pt>
              </c:numCache>
            </c:numRef>
          </c:cat>
          <c:val>
            <c:numRef>
              <c:f>E_EN!$J$121:$N$121</c:f>
              <c:numCache>
                <c:formatCode>#,##0.0</c:formatCode>
                <c:ptCount val="5"/>
                <c:pt idx="0">
                  <c:v>42.836000000000013</c:v>
                </c:pt>
                <c:pt idx="1">
                  <c:v>72.034999999999997</c:v>
                </c:pt>
                <c:pt idx="2">
                  <c:v>146.798</c:v>
                </c:pt>
                <c:pt idx="3">
                  <c:v>226.90299999999999</c:v>
                </c:pt>
                <c:pt idx="4">
                  <c:v>261.67</c:v>
                </c:pt>
              </c:numCache>
            </c:numRef>
          </c:val>
          <c:extLst>
            <c:ext xmlns:c16="http://schemas.microsoft.com/office/drawing/2014/chart" uri="{C3380CC4-5D6E-409C-BE32-E72D297353CC}">
              <c16:uniqueId val="{00000000-BC86-4270-81F3-B2E36C4C7865}"/>
            </c:ext>
          </c:extLst>
        </c:ser>
        <c:ser>
          <c:idx val="2"/>
          <c:order val="1"/>
          <c:tx>
            <c:strRef>
              <c:f>E_EN!$I$122</c:f>
              <c:strCache>
                <c:ptCount val="1"/>
                <c:pt idx="0">
                  <c:v> of which submissions with certified electronic signature</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E_EN!$J$120:$N$120</c:f>
              <c:numCache>
                <c:formatCode>General</c:formatCode>
                <c:ptCount val="5"/>
                <c:pt idx="0" formatCode="@">
                  <c:v>2013</c:v>
                </c:pt>
                <c:pt idx="1">
                  <c:v>2014</c:v>
                </c:pt>
                <c:pt idx="2" formatCode="@">
                  <c:v>2015</c:v>
                </c:pt>
                <c:pt idx="3">
                  <c:v>2016</c:v>
                </c:pt>
                <c:pt idx="4" formatCode="@">
                  <c:v>2017</c:v>
                </c:pt>
              </c:numCache>
            </c:numRef>
          </c:cat>
          <c:val>
            <c:numRef>
              <c:f>E_EN!$J$122:$N$122</c:f>
              <c:numCache>
                <c:formatCode>#,##0.0</c:formatCode>
                <c:ptCount val="5"/>
                <c:pt idx="0">
                  <c:v>20.83</c:v>
                </c:pt>
                <c:pt idx="1">
                  <c:v>30.506</c:v>
                </c:pt>
                <c:pt idx="2">
                  <c:v>54.533000000000001</c:v>
                </c:pt>
                <c:pt idx="3">
                  <c:v>61.424999999999997</c:v>
                </c:pt>
                <c:pt idx="4">
                  <c:v>63.027999999999999</c:v>
                </c:pt>
              </c:numCache>
            </c:numRef>
          </c:val>
          <c:extLst>
            <c:ext xmlns:c16="http://schemas.microsoft.com/office/drawing/2014/chart" uri="{C3380CC4-5D6E-409C-BE32-E72D297353CC}">
              <c16:uniqueId val="{00000001-BC86-4270-81F3-B2E36C4C7865}"/>
            </c:ext>
          </c:extLst>
        </c:ser>
        <c:dLbls>
          <c:showLegendKey val="0"/>
          <c:showVal val="0"/>
          <c:showCatName val="0"/>
          <c:showSerName val="0"/>
          <c:showPercent val="0"/>
          <c:showBubbleSize val="0"/>
        </c:dLbls>
        <c:gapWidth val="40"/>
        <c:axId val="197547520"/>
        <c:axId val="197314240"/>
      </c:barChart>
      <c:lineChart>
        <c:grouping val="standard"/>
        <c:varyColors val="0"/>
        <c:ser>
          <c:idx val="1"/>
          <c:order val="2"/>
          <c:tx>
            <c:strRef>
              <c:f>E_EN!$I$123</c:f>
              <c:strCache>
                <c:ptCount val="1"/>
                <c:pt idx="0">
                  <c:v> of all submitted Personal Income Tax forms</c:v>
                </c:pt>
              </c:strCache>
            </c:strRef>
          </c:tx>
          <c:spPr>
            <a:ln>
              <a:solidFill>
                <a:srgbClr val="47E5FF"/>
              </a:solidFill>
            </a:ln>
          </c:spPr>
          <c:marker>
            <c:symbol val="diamond"/>
            <c:size val="4"/>
            <c:spPr>
              <a:solidFill>
                <a:srgbClr val="009BB4"/>
              </a:solidFill>
              <a:ln>
                <a:solidFill>
                  <a:srgbClr val="47E5FF"/>
                </a:solidFill>
              </a:ln>
            </c:spPr>
          </c:marker>
          <c:dLbls>
            <c:numFmt formatCode="0.0%" sourceLinked="0"/>
            <c:spPr>
              <a:noFill/>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E_EN!$J$120:$N$120</c:f>
              <c:numCache>
                <c:formatCode>General</c:formatCode>
                <c:ptCount val="5"/>
                <c:pt idx="0" formatCode="@">
                  <c:v>2013</c:v>
                </c:pt>
                <c:pt idx="1">
                  <c:v>2014</c:v>
                </c:pt>
                <c:pt idx="2" formatCode="@">
                  <c:v>2015</c:v>
                </c:pt>
                <c:pt idx="3">
                  <c:v>2016</c:v>
                </c:pt>
                <c:pt idx="4" formatCode="@">
                  <c:v>2017</c:v>
                </c:pt>
              </c:numCache>
            </c:numRef>
          </c:cat>
          <c:val>
            <c:numRef>
              <c:f>E_EN!$J$123:$N$123</c:f>
              <c:numCache>
                <c:formatCode>0.00%</c:formatCode>
                <c:ptCount val="5"/>
                <c:pt idx="0">
                  <c:v>2.20490209299955E-2</c:v>
                </c:pt>
                <c:pt idx="1">
                  <c:v>3.3324451130769102E-2</c:v>
                </c:pt>
                <c:pt idx="2">
                  <c:v>6.8752371005587398E-2</c:v>
                </c:pt>
                <c:pt idx="3">
                  <c:v>0.10767428981701301</c:v>
                </c:pt>
                <c:pt idx="4" formatCode="0%">
                  <c:v>0.120865751116416</c:v>
                </c:pt>
              </c:numCache>
            </c:numRef>
          </c:val>
          <c:smooth val="0"/>
          <c:extLst>
            <c:ext xmlns:c16="http://schemas.microsoft.com/office/drawing/2014/chart" uri="{C3380CC4-5D6E-409C-BE32-E72D297353CC}">
              <c16:uniqueId val="{00000002-BC86-4270-81F3-B2E36C4C7865}"/>
            </c:ext>
          </c:extLst>
        </c:ser>
        <c:dLbls>
          <c:showLegendKey val="0"/>
          <c:showVal val="0"/>
          <c:showCatName val="0"/>
          <c:showSerName val="0"/>
          <c:showPercent val="0"/>
          <c:showBubbleSize val="0"/>
        </c:dLbls>
        <c:marker val="1"/>
        <c:smooth val="0"/>
        <c:axId val="197548032"/>
        <c:axId val="197314816"/>
      </c:lineChart>
      <c:catAx>
        <c:axId val="197547520"/>
        <c:scaling>
          <c:orientation val="minMax"/>
        </c:scaling>
        <c:delete val="0"/>
        <c:axPos val="b"/>
        <c:numFmt formatCode="@" sourceLinked="1"/>
        <c:majorTickMark val="out"/>
        <c:minorTickMark val="none"/>
        <c:tickLblPos val="nextTo"/>
        <c:spPr>
          <a:ln w="3175">
            <a:solidFill>
              <a:schemeClr val="tx1"/>
            </a:solidFill>
          </a:ln>
        </c:spPr>
        <c:txPr>
          <a:bodyPr rot="0" vert="horz"/>
          <a:lstStyle/>
          <a:p>
            <a:pPr>
              <a:defRPr/>
            </a:pPr>
            <a:endParaRPr lang="cs-CZ"/>
          </a:p>
        </c:txPr>
        <c:crossAx val="197314240"/>
        <c:crosses val="autoZero"/>
        <c:auto val="1"/>
        <c:lblAlgn val="ctr"/>
        <c:lblOffset val="100"/>
        <c:noMultiLvlLbl val="0"/>
      </c:catAx>
      <c:valAx>
        <c:axId val="197314240"/>
        <c:scaling>
          <c:orientation val="minMax"/>
          <c:max val="350"/>
          <c:min val="0"/>
        </c:scaling>
        <c:delete val="0"/>
        <c:axPos val="l"/>
        <c:numFmt formatCode="#,##0" sourceLinked="0"/>
        <c:majorTickMark val="none"/>
        <c:minorTickMark val="none"/>
        <c:tickLblPos val="none"/>
        <c:crossAx val="197547520"/>
        <c:crosses val="autoZero"/>
        <c:crossBetween val="between"/>
        <c:majorUnit val="50"/>
        <c:minorUnit val="10"/>
      </c:valAx>
      <c:valAx>
        <c:axId val="197314816"/>
        <c:scaling>
          <c:orientation val="minMax"/>
        </c:scaling>
        <c:delete val="0"/>
        <c:axPos val="r"/>
        <c:numFmt formatCode="0.00%" sourceLinked="1"/>
        <c:majorTickMark val="none"/>
        <c:minorTickMark val="none"/>
        <c:tickLblPos val="none"/>
        <c:crossAx val="197548032"/>
        <c:crosses val="max"/>
        <c:crossBetween val="between"/>
      </c:valAx>
      <c:catAx>
        <c:axId val="197548032"/>
        <c:scaling>
          <c:orientation val="minMax"/>
        </c:scaling>
        <c:delete val="1"/>
        <c:axPos val="b"/>
        <c:numFmt formatCode="@" sourceLinked="1"/>
        <c:majorTickMark val="out"/>
        <c:minorTickMark val="none"/>
        <c:tickLblPos val="nextTo"/>
        <c:crossAx val="197314816"/>
        <c:crosses val="autoZero"/>
        <c:auto val="1"/>
        <c:lblAlgn val="ctr"/>
        <c:lblOffset val="100"/>
        <c:noMultiLvlLbl val="0"/>
      </c:catAx>
      <c:spPr>
        <a:noFill/>
        <a:ln w="12700">
          <a:solidFill>
            <a:srgbClr val="A6A6A6"/>
          </a:solidFill>
          <a:prstDash val="solid"/>
        </a:ln>
      </c:spPr>
    </c:plotArea>
    <c:legend>
      <c:legendPos val="t"/>
      <c:legendEntry>
        <c:idx val="2"/>
        <c:txPr>
          <a:bodyPr/>
          <a:lstStyle/>
          <a:p>
            <a:pPr>
              <a:defRPr i="0"/>
            </a:pPr>
            <a:endParaRPr lang="cs-CZ"/>
          </a:p>
        </c:txPr>
      </c:legendEntry>
      <c:layout>
        <c:manualLayout>
          <c:xMode val="edge"/>
          <c:yMode val="edge"/>
          <c:x val="2.9414052287581701E-2"/>
          <c:y val="0.13796269895232455"/>
          <c:w val="0.96561756953837297"/>
          <c:h val="0.14555713961938602"/>
        </c:manualLayout>
      </c:layout>
      <c:overlay val="0"/>
      <c:spPr>
        <a:noFill/>
        <a:ln w="9525">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effectLst/>
                <a:latin typeface="Arial" panose="020B0604020202020204" pitchFamily="34" charset="0"/>
                <a:cs typeface="Arial" panose="020B0604020202020204" pitchFamily="34" charset="0"/>
              </a:rPr>
              <a:t>Figure E10</a:t>
            </a:r>
            <a:r>
              <a:rPr lang="cs-CZ" sz="800" b="1" baseline="0">
                <a:effectLst/>
                <a:latin typeface="Arial" panose="020B0604020202020204" pitchFamily="34" charset="0"/>
                <a:cs typeface="Arial" panose="020B0604020202020204" pitchFamily="34" charset="0"/>
              </a:rPr>
              <a:t> </a:t>
            </a:r>
            <a:r>
              <a:rPr lang="cs-CZ" sz="800" b="1">
                <a:effectLst/>
                <a:latin typeface="Arial" panose="020B0604020202020204" pitchFamily="34" charset="0"/>
                <a:cs typeface="Arial" panose="020B0604020202020204" pitchFamily="34" charset="0"/>
              </a:rPr>
              <a:t>Corporate Income Tax forms </a:t>
            </a:r>
          </a:p>
          <a:p>
            <a:pPr>
              <a:defRPr sz="800" b="1"/>
            </a:pPr>
            <a:r>
              <a:rPr lang="cs-CZ" sz="800" b="1">
                <a:effectLst/>
                <a:latin typeface="Arial" panose="020B0604020202020204" pitchFamily="34" charset="0"/>
                <a:cs typeface="Arial" panose="020B0604020202020204" pitchFamily="34" charset="0"/>
              </a:rPr>
              <a:t>sent electronically to the Czech Financial Administration via EPO application</a:t>
            </a:r>
            <a:endParaRPr lang="cs-CZ" sz="100">
              <a:effectLst/>
              <a:latin typeface="Arial" panose="020B0604020202020204" pitchFamily="34" charset="0"/>
              <a:cs typeface="Arial" panose="020B0604020202020204" pitchFamily="34" charset="0"/>
            </a:endParaRPr>
          </a:p>
        </c:rich>
      </c:tx>
      <c:layout>
        <c:manualLayout>
          <c:xMode val="edge"/>
          <c:yMode val="edge"/>
          <c:x val="0.124488888888889"/>
          <c:y val="0"/>
        </c:manualLayout>
      </c:layout>
      <c:overlay val="1"/>
    </c:title>
    <c:autoTitleDeleted val="0"/>
    <c:plotArea>
      <c:layout>
        <c:manualLayout>
          <c:layoutTarget val="inner"/>
          <c:xMode val="edge"/>
          <c:yMode val="edge"/>
          <c:x val="2.90522875816994E-2"/>
          <c:y val="0.29640005309018852"/>
          <c:w val="0.966503267973856"/>
          <c:h val="0.5655830506486571"/>
        </c:manualLayout>
      </c:layout>
      <c:barChart>
        <c:barDir val="col"/>
        <c:grouping val="clustered"/>
        <c:varyColors val="0"/>
        <c:ser>
          <c:idx val="0"/>
          <c:order val="0"/>
          <c:tx>
            <c:strRef>
              <c:f>E_EN!$I$137</c:f>
              <c:strCache>
                <c:ptCount val="1"/>
                <c:pt idx="0">
                  <c:v> Total</c:v>
                </c:pt>
              </c:strCache>
            </c:strRef>
          </c:tx>
          <c:spPr>
            <a:solidFill>
              <a:srgbClr val="009BB4"/>
            </a:solidFill>
            <a:ln w="25400">
              <a:noFill/>
            </a:ln>
          </c:spPr>
          <c:invertIfNegative val="0"/>
          <c:dLbls>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E_EN!$J$136:$N$136</c:f>
              <c:strCache>
                <c:ptCount val="5"/>
                <c:pt idx="0">
                  <c:v>2013</c:v>
                </c:pt>
                <c:pt idx="1">
                  <c:v>2014</c:v>
                </c:pt>
                <c:pt idx="2">
                  <c:v>2015</c:v>
                </c:pt>
                <c:pt idx="3">
                  <c:v>2016</c:v>
                </c:pt>
                <c:pt idx="4">
                  <c:v>2017</c:v>
                </c:pt>
              </c:strCache>
            </c:strRef>
          </c:cat>
          <c:val>
            <c:numRef>
              <c:f>E_EN!$J$137:$N$137</c:f>
              <c:numCache>
                <c:formatCode>#,##0.0</c:formatCode>
                <c:ptCount val="5"/>
                <c:pt idx="0">
                  <c:v>28.547000000000001</c:v>
                </c:pt>
                <c:pt idx="1">
                  <c:v>43.139000000000003</c:v>
                </c:pt>
                <c:pt idx="2">
                  <c:v>154.745</c:v>
                </c:pt>
                <c:pt idx="3">
                  <c:v>185.93799999999999</c:v>
                </c:pt>
                <c:pt idx="4">
                  <c:v>212.643</c:v>
                </c:pt>
              </c:numCache>
            </c:numRef>
          </c:val>
          <c:extLst>
            <c:ext xmlns:c16="http://schemas.microsoft.com/office/drawing/2014/chart" uri="{C3380CC4-5D6E-409C-BE32-E72D297353CC}">
              <c16:uniqueId val="{00000000-52A0-4C32-A8CD-98443747CC8A}"/>
            </c:ext>
          </c:extLst>
        </c:ser>
        <c:ser>
          <c:idx val="2"/>
          <c:order val="1"/>
          <c:tx>
            <c:strRef>
              <c:f>E_EN!$I$138</c:f>
              <c:strCache>
                <c:ptCount val="1"/>
                <c:pt idx="0">
                  <c:v> of which submissions with certified electronic signature</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E_EN!$J$136:$N$136</c:f>
              <c:strCache>
                <c:ptCount val="5"/>
                <c:pt idx="0">
                  <c:v>2013</c:v>
                </c:pt>
                <c:pt idx="1">
                  <c:v>2014</c:v>
                </c:pt>
                <c:pt idx="2">
                  <c:v>2015</c:v>
                </c:pt>
                <c:pt idx="3">
                  <c:v>2016</c:v>
                </c:pt>
                <c:pt idx="4">
                  <c:v>2017</c:v>
                </c:pt>
              </c:strCache>
            </c:strRef>
          </c:cat>
          <c:val>
            <c:numRef>
              <c:f>E_EN!$J$138:$N$138</c:f>
              <c:numCache>
                <c:formatCode>#,##0.0</c:formatCode>
                <c:ptCount val="5"/>
                <c:pt idx="0">
                  <c:v>22.834</c:v>
                </c:pt>
                <c:pt idx="1">
                  <c:v>29.997</c:v>
                </c:pt>
                <c:pt idx="2">
                  <c:v>65.599000000000004</c:v>
                </c:pt>
                <c:pt idx="3">
                  <c:v>65.187999999999974</c:v>
                </c:pt>
                <c:pt idx="4">
                  <c:v>67.206000000000003</c:v>
                </c:pt>
              </c:numCache>
            </c:numRef>
          </c:val>
          <c:extLst>
            <c:ext xmlns:c16="http://schemas.microsoft.com/office/drawing/2014/chart" uri="{C3380CC4-5D6E-409C-BE32-E72D297353CC}">
              <c16:uniqueId val="{00000001-52A0-4C32-A8CD-98443747CC8A}"/>
            </c:ext>
          </c:extLst>
        </c:ser>
        <c:dLbls>
          <c:showLegendKey val="0"/>
          <c:showVal val="0"/>
          <c:showCatName val="0"/>
          <c:showSerName val="0"/>
          <c:showPercent val="0"/>
          <c:showBubbleSize val="0"/>
        </c:dLbls>
        <c:gapWidth val="40"/>
        <c:axId val="197577216"/>
        <c:axId val="197316544"/>
      </c:barChart>
      <c:lineChart>
        <c:grouping val="standard"/>
        <c:varyColors val="0"/>
        <c:ser>
          <c:idx val="1"/>
          <c:order val="2"/>
          <c:tx>
            <c:strRef>
              <c:f>E_EN!$I$139</c:f>
              <c:strCache>
                <c:ptCount val="1"/>
                <c:pt idx="0">
                  <c:v> of all submitted Corporate Income Tax forms</c:v>
                </c:pt>
              </c:strCache>
            </c:strRef>
          </c:tx>
          <c:spPr>
            <a:ln>
              <a:solidFill>
                <a:srgbClr val="00C5E6"/>
              </a:solidFill>
            </a:ln>
          </c:spPr>
          <c:marker>
            <c:symbol val="diamond"/>
            <c:size val="4"/>
            <c:spPr>
              <a:solidFill>
                <a:srgbClr val="009BB4"/>
              </a:solidFill>
              <a:ln>
                <a:solidFill>
                  <a:srgbClr val="00C5E6"/>
                </a:solidFill>
              </a:ln>
            </c:spPr>
          </c:marker>
          <c:dLbls>
            <c:numFmt formatCode="0.0%" sourceLinked="0"/>
            <c:spPr>
              <a:noFill/>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E_EN!$J$136:$N$136</c:f>
              <c:strCache>
                <c:ptCount val="5"/>
                <c:pt idx="0">
                  <c:v>2013</c:v>
                </c:pt>
                <c:pt idx="1">
                  <c:v>2014</c:v>
                </c:pt>
                <c:pt idx="2">
                  <c:v>2015</c:v>
                </c:pt>
                <c:pt idx="3">
                  <c:v>2016</c:v>
                </c:pt>
                <c:pt idx="4">
                  <c:v>2017</c:v>
                </c:pt>
              </c:strCache>
            </c:strRef>
          </c:cat>
          <c:val>
            <c:numRef>
              <c:f>E_EN!$J$139:$N$139</c:f>
              <c:numCache>
                <c:formatCode>0%</c:formatCode>
                <c:ptCount val="5"/>
                <c:pt idx="0">
                  <c:v>7.4409936269207194E-2</c:v>
                </c:pt>
                <c:pt idx="1">
                  <c:v>0.108860721162217</c:v>
                </c:pt>
                <c:pt idx="2">
                  <c:v>0.37570682509584202</c:v>
                </c:pt>
                <c:pt idx="3">
                  <c:v>0.42712358094852998</c:v>
                </c:pt>
                <c:pt idx="4">
                  <c:v>0.44453619540585498</c:v>
                </c:pt>
              </c:numCache>
            </c:numRef>
          </c:val>
          <c:smooth val="0"/>
          <c:extLst>
            <c:ext xmlns:c16="http://schemas.microsoft.com/office/drawing/2014/chart" uri="{C3380CC4-5D6E-409C-BE32-E72D297353CC}">
              <c16:uniqueId val="{00000002-52A0-4C32-A8CD-98443747CC8A}"/>
            </c:ext>
          </c:extLst>
        </c:ser>
        <c:dLbls>
          <c:showLegendKey val="0"/>
          <c:showVal val="0"/>
          <c:showCatName val="0"/>
          <c:showSerName val="0"/>
          <c:showPercent val="0"/>
          <c:showBubbleSize val="0"/>
        </c:dLbls>
        <c:marker val="1"/>
        <c:smooth val="0"/>
        <c:axId val="197577728"/>
        <c:axId val="197317120"/>
      </c:lineChart>
      <c:catAx>
        <c:axId val="197577216"/>
        <c:scaling>
          <c:orientation val="minMax"/>
        </c:scaling>
        <c:delete val="0"/>
        <c:axPos val="b"/>
        <c:numFmt formatCode="General" sourceLinked="1"/>
        <c:majorTickMark val="out"/>
        <c:minorTickMark val="none"/>
        <c:tickLblPos val="nextTo"/>
        <c:spPr>
          <a:ln w="3175">
            <a:solidFill>
              <a:schemeClr val="tx1"/>
            </a:solidFill>
          </a:ln>
        </c:spPr>
        <c:txPr>
          <a:bodyPr rot="0" vert="horz"/>
          <a:lstStyle/>
          <a:p>
            <a:pPr>
              <a:defRPr/>
            </a:pPr>
            <a:endParaRPr lang="cs-CZ"/>
          </a:p>
        </c:txPr>
        <c:crossAx val="197316544"/>
        <c:crosses val="autoZero"/>
        <c:auto val="1"/>
        <c:lblAlgn val="ctr"/>
        <c:lblOffset val="100"/>
        <c:noMultiLvlLbl val="0"/>
      </c:catAx>
      <c:valAx>
        <c:axId val="197316544"/>
        <c:scaling>
          <c:orientation val="minMax"/>
          <c:max val="350"/>
          <c:min val="0"/>
        </c:scaling>
        <c:delete val="0"/>
        <c:axPos val="l"/>
        <c:numFmt formatCode="#,##0" sourceLinked="0"/>
        <c:majorTickMark val="none"/>
        <c:minorTickMark val="none"/>
        <c:tickLblPos val="none"/>
        <c:crossAx val="197577216"/>
        <c:crosses val="autoZero"/>
        <c:crossBetween val="between"/>
        <c:majorUnit val="50"/>
        <c:minorUnit val="10"/>
      </c:valAx>
      <c:valAx>
        <c:axId val="197317120"/>
        <c:scaling>
          <c:orientation val="minMax"/>
          <c:max val="0.6"/>
        </c:scaling>
        <c:delete val="0"/>
        <c:axPos val="r"/>
        <c:numFmt formatCode="0%" sourceLinked="1"/>
        <c:majorTickMark val="none"/>
        <c:minorTickMark val="none"/>
        <c:tickLblPos val="none"/>
        <c:crossAx val="197577728"/>
        <c:crosses val="max"/>
        <c:crossBetween val="between"/>
        <c:majorUnit val="0.05"/>
      </c:valAx>
      <c:catAx>
        <c:axId val="197577728"/>
        <c:scaling>
          <c:orientation val="minMax"/>
        </c:scaling>
        <c:delete val="1"/>
        <c:axPos val="b"/>
        <c:numFmt formatCode="General" sourceLinked="1"/>
        <c:majorTickMark val="out"/>
        <c:minorTickMark val="none"/>
        <c:tickLblPos val="nextTo"/>
        <c:crossAx val="197317120"/>
        <c:crosses val="autoZero"/>
        <c:auto val="1"/>
        <c:lblAlgn val="ctr"/>
        <c:lblOffset val="100"/>
        <c:noMultiLvlLbl val="0"/>
      </c:catAx>
      <c:spPr>
        <a:noFill/>
        <a:ln w="12700">
          <a:solidFill>
            <a:srgbClr val="A6A6A6"/>
          </a:solidFill>
          <a:prstDash val="solid"/>
        </a:ln>
      </c:spPr>
    </c:plotArea>
    <c:legend>
      <c:legendPos val="t"/>
      <c:legendEntry>
        <c:idx val="2"/>
        <c:txPr>
          <a:bodyPr/>
          <a:lstStyle/>
          <a:p>
            <a:pPr>
              <a:defRPr i="0"/>
            </a:pPr>
            <a:endParaRPr lang="cs-CZ"/>
          </a:p>
        </c:txPr>
      </c:legendEntry>
      <c:layout>
        <c:manualLayout>
          <c:xMode val="edge"/>
          <c:yMode val="edge"/>
          <c:x val="2.9413962901844327E-2"/>
          <c:y val="0.12901502267136247"/>
          <c:w val="0.96561764705882402"/>
          <c:h val="0.15450243055555599"/>
        </c:manualLayout>
      </c:layout>
      <c:overlay val="0"/>
      <c:spPr>
        <a:noFill/>
        <a:ln w="9525">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E11 Individuals in the Czech Republic</a:t>
            </a:r>
            <a:r>
              <a:rPr lang="cs-CZ" sz="800" b="1" baseline="0"/>
              <a:t> </a:t>
            </a:r>
            <a:r>
              <a:rPr lang="cs-CZ" sz="800" b="1"/>
              <a:t>using the internet for interaction </a:t>
            </a:r>
          </a:p>
          <a:p>
            <a:pPr>
              <a:defRPr sz="800" b="1"/>
            </a:pPr>
            <a:r>
              <a:rPr lang="cs-CZ" sz="800" b="1"/>
              <a:t>with public authorities (%)*</a:t>
            </a:r>
            <a:endParaRPr lang="en-US" sz="800" b="1"/>
          </a:p>
        </c:rich>
      </c:tx>
      <c:layout>
        <c:manualLayout>
          <c:xMode val="edge"/>
          <c:yMode val="edge"/>
          <c:x val="0.12984023784091248"/>
          <c:y val="1.1142061281337047E-2"/>
        </c:manualLayout>
      </c:layout>
      <c:overlay val="1"/>
    </c:title>
    <c:autoTitleDeleted val="0"/>
    <c:plotArea>
      <c:layout>
        <c:manualLayout>
          <c:layoutTarget val="inner"/>
          <c:xMode val="edge"/>
          <c:yMode val="edge"/>
          <c:x val="0.22181712962962999"/>
          <c:y val="0.15154872098667899"/>
          <c:w val="0.74219179894179899"/>
          <c:h val="0.71167477106114096"/>
        </c:manualLayout>
      </c:layout>
      <c:barChart>
        <c:barDir val="bar"/>
        <c:grouping val="clustered"/>
        <c:varyColors val="0"/>
        <c:ser>
          <c:idx val="0"/>
          <c:order val="0"/>
          <c:tx>
            <c:strRef>
              <c:f>E_EN!$B$152</c:f>
              <c:strCache>
                <c:ptCount val="1"/>
                <c:pt idx="0">
                  <c:v> 2010</c:v>
                </c:pt>
              </c:strCache>
            </c:strRef>
          </c:tx>
          <c:spPr>
            <a:solidFill>
              <a:srgbClr val="00C5E6"/>
            </a:solidFill>
          </c:spPr>
          <c:invertIfNegative val="0"/>
          <c:dLbls>
            <c:dLbl>
              <c:idx val="0"/>
              <c:layout>
                <c:manualLayout>
                  <c:x val="-4.7588686021555159E-2"/>
                  <c:y val="-1.3617917584065954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83-4E1E-B68D-AAA96C19A61F}"/>
                </c:ext>
              </c:extLst>
            </c:dLbl>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E_EN!$A$153:$A$163</c:f>
              <c:strCache>
                <c:ptCount val="11"/>
                <c:pt idx="0">
                  <c:v>  65+</c:v>
                </c:pt>
                <c:pt idx="1">
                  <c:v>  55–64</c:v>
                </c:pt>
                <c:pt idx="2">
                  <c:v>  45–54</c:v>
                </c:pt>
                <c:pt idx="3">
                  <c:v>  35–44</c:v>
                </c:pt>
                <c:pt idx="4">
                  <c:v>  25–34</c:v>
                </c:pt>
                <c:pt idx="5">
                  <c:v>  16–24</c:v>
                </c:pt>
                <c:pt idx="7">
                  <c:v>   Females</c:v>
                </c:pt>
                <c:pt idx="8">
                  <c:v>Males</c:v>
                </c:pt>
                <c:pt idx="10">
                  <c:v>Total</c:v>
                </c:pt>
              </c:strCache>
            </c:strRef>
          </c:cat>
          <c:val>
            <c:numRef>
              <c:f>E_EN!$B$153:$B$163</c:f>
              <c:numCache>
                <c:formatCode>0%</c:formatCode>
                <c:ptCount val="11"/>
                <c:pt idx="0">
                  <c:v>3.3000000000000002E-2</c:v>
                </c:pt>
                <c:pt idx="1">
                  <c:v>0.13900000000000001</c:v>
                </c:pt>
                <c:pt idx="2">
                  <c:v>0.26100000000000001</c:v>
                </c:pt>
                <c:pt idx="3">
                  <c:v>0.32</c:v>
                </c:pt>
                <c:pt idx="4">
                  <c:v>0.34699999999999998</c:v>
                </c:pt>
                <c:pt idx="5">
                  <c:v>0.17</c:v>
                </c:pt>
                <c:pt idx="7">
                  <c:v>0.17100000000000001</c:v>
                </c:pt>
                <c:pt idx="8">
                  <c:v>0.21299999999999999</c:v>
                </c:pt>
                <c:pt idx="10">
                  <c:v>0.191</c:v>
                </c:pt>
              </c:numCache>
            </c:numRef>
          </c:val>
          <c:extLst>
            <c:ext xmlns:c16="http://schemas.microsoft.com/office/drawing/2014/chart" uri="{C3380CC4-5D6E-409C-BE32-E72D297353CC}">
              <c16:uniqueId val="{00000000-F715-4F70-B4A7-3B5672C27787}"/>
            </c:ext>
          </c:extLst>
        </c:ser>
        <c:ser>
          <c:idx val="1"/>
          <c:order val="1"/>
          <c:tx>
            <c:strRef>
              <c:f>E_EN!$C$152</c:f>
              <c:strCache>
                <c:ptCount val="1"/>
                <c:pt idx="0">
                  <c:v> 2017</c:v>
                </c:pt>
              </c:strCache>
            </c:strRef>
          </c:tx>
          <c:spPr>
            <a:solidFill>
              <a:srgbClr val="009BB4"/>
            </a:solidFill>
          </c:spPr>
          <c:invertIfNegative val="0"/>
          <c:dLbls>
            <c:dLbl>
              <c:idx val="1"/>
              <c:layout>
                <c:manualLayout>
                  <c:x val="-9.5025578099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15-4F70-B4A7-3B5672C27787}"/>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E_EN!$A$153:$A$163</c:f>
              <c:strCache>
                <c:ptCount val="11"/>
                <c:pt idx="0">
                  <c:v>  65+</c:v>
                </c:pt>
                <c:pt idx="1">
                  <c:v>  55–64</c:v>
                </c:pt>
                <c:pt idx="2">
                  <c:v>  45–54</c:v>
                </c:pt>
                <c:pt idx="3">
                  <c:v>  35–44</c:v>
                </c:pt>
                <c:pt idx="4">
                  <c:v>  25–34</c:v>
                </c:pt>
                <c:pt idx="5">
                  <c:v>  16–24</c:v>
                </c:pt>
                <c:pt idx="7">
                  <c:v>   Females</c:v>
                </c:pt>
                <c:pt idx="8">
                  <c:v>Males</c:v>
                </c:pt>
                <c:pt idx="10">
                  <c:v>Total</c:v>
                </c:pt>
              </c:strCache>
            </c:strRef>
          </c:cat>
          <c:val>
            <c:numRef>
              <c:f>E_EN!$C$153:$C$163</c:f>
              <c:numCache>
                <c:formatCode>0%</c:formatCode>
                <c:ptCount val="11"/>
                <c:pt idx="0">
                  <c:v>0.124875525037177</c:v>
                </c:pt>
                <c:pt idx="1">
                  <c:v>0.33517384229327002</c:v>
                </c:pt>
                <c:pt idx="2">
                  <c:v>0.46797213725276499</c:v>
                </c:pt>
                <c:pt idx="3">
                  <c:v>0.53500008584624303</c:v>
                </c:pt>
                <c:pt idx="4">
                  <c:v>0.50928391641613402</c:v>
                </c:pt>
                <c:pt idx="5">
                  <c:v>0.28669639703285099</c:v>
                </c:pt>
                <c:pt idx="7">
                  <c:v>0.35721920068060597</c:v>
                </c:pt>
                <c:pt idx="8">
                  <c:v>0.38773560343413199</c:v>
                </c:pt>
                <c:pt idx="10">
                  <c:v>0.372133545629449</c:v>
                </c:pt>
              </c:numCache>
            </c:numRef>
          </c:val>
          <c:extLst>
            <c:ext xmlns:c16="http://schemas.microsoft.com/office/drawing/2014/chart" uri="{C3380CC4-5D6E-409C-BE32-E72D297353CC}">
              <c16:uniqueId val="{00000002-F715-4F70-B4A7-3B5672C27787}"/>
            </c:ext>
          </c:extLst>
        </c:ser>
        <c:dLbls>
          <c:showLegendKey val="0"/>
          <c:showVal val="0"/>
          <c:showCatName val="0"/>
          <c:showSerName val="0"/>
          <c:showPercent val="0"/>
          <c:showBubbleSize val="0"/>
        </c:dLbls>
        <c:gapWidth val="30"/>
        <c:axId val="197576704"/>
        <c:axId val="197319424"/>
      </c:barChart>
      <c:catAx>
        <c:axId val="197576704"/>
        <c:scaling>
          <c:orientation val="minMax"/>
        </c:scaling>
        <c:delete val="0"/>
        <c:axPos val="l"/>
        <c:numFmt formatCode="General" sourceLinked="1"/>
        <c:majorTickMark val="out"/>
        <c:minorTickMark val="none"/>
        <c:tickLblPos val="nextTo"/>
        <c:spPr>
          <a:ln w="3175">
            <a:solidFill>
              <a:schemeClr val="tx1"/>
            </a:solidFill>
          </a:ln>
        </c:spPr>
        <c:crossAx val="197319424"/>
        <c:crosses val="autoZero"/>
        <c:auto val="1"/>
        <c:lblAlgn val="ctr"/>
        <c:lblOffset val="100"/>
        <c:noMultiLvlLbl val="0"/>
      </c:catAx>
      <c:valAx>
        <c:axId val="197319424"/>
        <c:scaling>
          <c:orientation val="minMax"/>
          <c:max val="0.7"/>
        </c:scaling>
        <c:delete val="0"/>
        <c:axPos val="b"/>
        <c:numFmt formatCode="0%" sourceLinked="1"/>
        <c:majorTickMark val="none"/>
        <c:minorTickMark val="none"/>
        <c:tickLblPos val="none"/>
        <c:crossAx val="197576704"/>
        <c:crosses val="autoZero"/>
        <c:crossBetween val="between"/>
        <c:majorUnit val="0.1"/>
        <c:minorUnit val="0.05"/>
      </c:valAx>
      <c:spPr>
        <a:ln w="12700">
          <a:solidFill>
            <a:schemeClr val="bg1">
              <a:lumMod val="65000"/>
            </a:schemeClr>
          </a:solidFill>
        </a:ln>
      </c:spPr>
    </c:plotArea>
    <c:legend>
      <c:legendPos val="r"/>
      <c:layout>
        <c:manualLayout>
          <c:xMode val="edge"/>
          <c:yMode val="edge"/>
          <c:x val="0.69500496031745995"/>
          <c:y val="0.20426957602086601"/>
          <c:w val="0.23234523809523799"/>
          <c:h val="7.7120679012345705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 A13 Fixed broadband internet subscriptions in the Czech Republic by technology (thous.)</a:t>
            </a:r>
            <a:endParaRPr lang="en-US" sz="800" b="1"/>
          </a:p>
        </c:rich>
      </c:tx>
      <c:layout/>
      <c:overlay val="1"/>
    </c:title>
    <c:autoTitleDeleted val="0"/>
    <c:plotArea>
      <c:layout>
        <c:manualLayout>
          <c:layoutTarget val="inner"/>
          <c:xMode val="edge"/>
          <c:yMode val="edge"/>
          <c:x val="0.14078558052434501"/>
          <c:y val="0.32049921058677"/>
          <c:w val="0.82836423220973798"/>
          <c:h val="0.48503699780076398"/>
        </c:manualLayout>
      </c:layout>
      <c:lineChart>
        <c:grouping val="standard"/>
        <c:varyColors val="0"/>
        <c:ser>
          <c:idx val="4"/>
          <c:order val="0"/>
          <c:tx>
            <c:strRef>
              <c:f>A_EN!$A$170</c:f>
              <c:strCache>
                <c:ptCount val="1"/>
                <c:pt idx="0">
                  <c:v> Fixed wireless access (Wi-Fi)</c:v>
                </c:pt>
              </c:strCache>
            </c:strRef>
          </c:tx>
          <c:spPr>
            <a:ln w="19050">
              <a:solidFill>
                <a:srgbClr val="47E5FF"/>
              </a:solidFill>
            </a:ln>
          </c:spPr>
          <c:marker>
            <c:symbol val="diamond"/>
            <c:size val="4"/>
            <c:spPr>
              <a:solidFill>
                <a:srgbClr val="009BB4"/>
              </a:solidFill>
              <a:ln w="12700">
                <a:solidFill>
                  <a:srgbClr val="47E5FF"/>
                </a:solidFill>
              </a:ln>
            </c:spPr>
          </c:marker>
          <c:cat>
            <c:numRef>
              <c:f>A_EN!$B$169:$G$169</c:f>
              <c:numCache>
                <c:formatCode>0</c:formatCode>
                <c:ptCount val="6"/>
                <c:pt idx="0">
                  <c:v>2006</c:v>
                </c:pt>
                <c:pt idx="1">
                  <c:v>2008</c:v>
                </c:pt>
                <c:pt idx="2">
                  <c:v>2010</c:v>
                </c:pt>
                <c:pt idx="3">
                  <c:v>2012</c:v>
                </c:pt>
                <c:pt idx="4">
                  <c:v>2014</c:v>
                </c:pt>
                <c:pt idx="5">
                  <c:v>2016</c:v>
                </c:pt>
              </c:numCache>
            </c:numRef>
          </c:cat>
          <c:val>
            <c:numRef>
              <c:f>A_EN!$B$170:$G$170</c:f>
              <c:numCache>
                <c:formatCode>#,##0.0</c:formatCode>
                <c:ptCount val="6"/>
                <c:pt idx="0">
                  <c:v>350</c:v>
                </c:pt>
                <c:pt idx="1">
                  <c:v>609.9</c:v>
                </c:pt>
                <c:pt idx="2">
                  <c:v>729.89800000000002</c:v>
                </c:pt>
                <c:pt idx="3">
                  <c:v>941.17</c:v>
                </c:pt>
                <c:pt idx="4">
                  <c:v>1059.8889999999999</c:v>
                </c:pt>
                <c:pt idx="5">
                  <c:v>1067.6030000000001</c:v>
                </c:pt>
              </c:numCache>
            </c:numRef>
          </c:val>
          <c:smooth val="0"/>
          <c:extLst>
            <c:ext xmlns:c16="http://schemas.microsoft.com/office/drawing/2014/chart" uri="{C3380CC4-5D6E-409C-BE32-E72D297353CC}">
              <c16:uniqueId val="{00000000-5629-46ED-91AD-2DF52DBDAF04}"/>
            </c:ext>
          </c:extLst>
        </c:ser>
        <c:ser>
          <c:idx val="1"/>
          <c:order val="1"/>
          <c:tx>
            <c:strRef>
              <c:f>A_EN!$A$171</c:f>
              <c:strCache>
                <c:ptCount val="1"/>
                <c:pt idx="0">
                  <c:v> xDSL line</c:v>
                </c:pt>
              </c:strCache>
            </c:strRef>
          </c:tx>
          <c:spPr>
            <a:ln w="19050">
              <a:solidFill>
                <a:srgbClr val="007D92"/>
              </a:solidFill>
            </a:ln>
          </c:spPr>
          <c:marker>
            <c:symbol val="circle"/>
            <c:size val="4"/>
            <c:spPr>
              <a:solidFill>
                <a:srgbClr val="47E5FF"/>
              </a:solidFill>
              <a:ln w="12700">
                <a:solidFill>
                  <a:srgbClr val="007D91"/>
                </a:solidFill>
              </a:ln>
            </c:spPr>
          </c:marker>
          <c:cat>
            <c:numRef>
              <c:f>A_EN!$B$169:$G$169</c:f>
              <c:numCache>
                <c:formatCode>0</c:formatCode>
                <c:ptCount val="6"/>
                <c:pt idx="0">
                  <c:v>2006</c:v>
                </c:pt>
                <c:pt idx="1">
                  <c:v>2008</c:v>
                </c:pt>
                <c:pt idx="2">
                  <c:v>2010</c:v>
                </c:pt>
                <c:pt idx="3">
                  <c:v>2012</c:v>
                </c:pt>
                <c:pt idx="4">
                  <c:v>2014</c:v>
                </c:pt>
                <c:pt idx="5">
                  <c:v>2016</c:v>
                </c:pt>
              </c:numCache>
            </c:numRef>
          </c:cat>
          <c:val>
            <c:numRef>
              <c:f>A_EN!$B$171:$G$171</c:f>
              <c:numCache>
                <c:formatCode>#,##0.0</c:formatCode>
                <c:ptCount val="6"/>
                <c:pt idx="0">
                  <c:v>493</c:v>
                </c:pt>
                <c:pt idx="1">
                  <c:v>697.17200000000003</c:v>
                </c:pt>
                <c:pt idx="2">
                  <c:v>809.11099999999999</c:v>
                </c:pt>
                <c:pt idx="3">
                  <c:v>915.70699999999999</c:v>
                </c:pt>
                <c:pt idx="4">
                  <c:v>952.51</c:v>
                </c:pt>
                <c:pt idx="5">
                  <c:v>904.35499999999888</c:v>
                </c:pt>
              </c:numCache>
            </c:numRef>
          </c:val>
          <c:smooth val="0"/>
          <c:extLst>
            <c:ext xmlns:c16="http://schemas.microsoft.com/office/drawing/2014/chart" uri="{C3380CC4-5D6E-409C-BE32-E72D297353CC}">
              <c16:uniqueId val="{00000001-5629-46ED-91AD-2DF52DBDAF04}"/>
            </c:ext>
          </c:extLst>
        </c:ser>
        <c:ser>
          <c:idx val="0"/>
          <c:order val="2"/>
          <c:tx>
            <c:strRef>
              <c:f>A_EN!$A$172</c:f>
              <c:strCache>
                <c:ptCount val="1"/>
                <c:pt idx="0">
                  <c:v> Cable (CATV)</c:v>
                </c:pt>
              </c:strCache>
            </c:strRef>
          </c:tx>
          <c:spPr>
            <a:ln w="19050">
              <a:solidFill>
                <a:srgbClr val="00C5E9"/>
              </a:solidFill>
            </a:ln>
          </c:spPr>
          <c:marker>
            <c:symbol val="triangle"/>
            <c:size val="4"/>
            <c:spPr>
              <a:solidFill>
                <a:srgbClr val="007D91"/>
              </a:solidFill>
              <a:ln w="12700">
                <a:solidFill>
                  <a:srgbClr val="00C5E9"/>
                </a:solidFill>
              </a:ln>
            </c:spPr>
          </c:marker>
          <c:cat>
            <c:numRef>
              <c:f>A_EN!$B$169:$G$169</c:f>
              <c:numCache>
                <c:formatCode>0</c:formatCode>
                <c:ptCount val="6"/>
                <c:pt idx="0">
                  <c:v>2006</c:v>
                </c:pt>
                <c:pt idx="1">
                  <c:v>2008</c:v>
                </c:pt>
                <c:pt idx="2">
                  <c:v>2010</c:v>
                </c:pt>
                <c:pt idx="3">
                  <c:v>2012</c:v>
                </c:pt>
                <c:pt idx="4">
                  <c:v>2014</c:v>
                </c:pt>
                <c:pt idx="5">
                  <c:v>2016</c:v>
                </c:pt>
              </c:numCache>
            </c:numRef>
          </c:cat>
          <c:val>
            <c:numRef>
              <c:f>A_EN!$B$172:$G$172</c:f>
              <c:numCache>
                <c:formatCode>#,##0.0</c:formatCode>
                <c:ptCount val="6"/>
                <c:pt idx="0">
                  <c:v>229.78</c:v>
                </c:pt>
                <c:pt idx="1">
                  <c:v>382.512</c:v>
                </c:pt>
                <c:pt idx="2">
                  <c:v>480.35199999999992</c:v>
                </c:pt>
                <c:pt idx="3">
                  <c:v>516.12800000000004</c:v>
                </c:pt>
                <c:pt idx="4">
                  <c:v>527.05899999999997</c:v>
                </c:pt>
                <c:pt idx="5">
                  <c:v>563.274</c:v>
                </c:pt>
              </c:numCache>
            </c:numRef>
          </c:val>
          <c:smooth val="0"/>
          <c:extLst>
            <c:ext xmlns:c16="http://schemas.microsoft.com/office/drawing/2014/chart" uri="{C3380CC4-5D6E-409C-BE32-E72D297353CC}">
              <c16:uniqueId val="{00000002-5629-46ED-91AD-2DF52DBDAF04}"/>
            </c:ext>
          </c:extLst>
        </c:ser>
        <c:ser>
          <c:idx val="2"/>
          <c:order val="3"/>
          <c:tx>
            <c:strRef>
              <c:f>A_EN!$A$173</c:f>
              <c:strCache>
                <c:ptCount val="1"/>
                <c:pt idx="0">
                  <c:v> Fibre (FTTx)</c:v>
                </c:pt>
              </c:strCache>
            </c:strRef>
          </c:tx>
          <c:spPr>
            <a:ln w="19050">
              <a:solidFill>
                <a:srgbClr val="009BB4"/>
              </a:solidFill>
            </a:ln>
          </c:spPr>
          <c:marker>
            <c:symbol val="square"/>
            <c:size val="4"/>
            <c:spPr>
              <a:solidFill>
                <a:srgbClr val="00C5E9"/>
              </a:solidFill>
              <a:ln w="12700">
                <a:solidFill>
                  <a:srgbClr val="009BB4"/>
                </a:solidFill>
              </a:ln>
            </c:spPr>
          </c:marker>
          <c:cat>
            <c:numRef>
              <c:f>A_EN!$B$169:$G$169</c:f>
              <c:numCache>
                <c:formatCode>0</c:formatCode>
                <c:ptCount val="6"/>
                <c:pt idx="0">
                  <c:v>2006</c:v>
                </c:pt>
                <c:pt idx="1">
                  <c:v>2008</c:v>
                </c:pt>
                <c:pt idx="2">
                  <c:v>2010</c:v>
                </c:pt>
                <c:pt idx="3">
                  <c:v>2012</c:v>
                </c:pt>
                <c:pt idx="4">
                  <c:v>2014</c:v>
                </c:pt>
                <c:pt idx="5">
                  <c:v>2016</c:v>
                </c:pt>
              </c:numCache>
            </c:numRef>
          </c:cat>
          <c:val>
            <c:numRef>
              <c:f>A_EN!$B$173:$G$173</c:f>
              <c:numCache>
                <c:formatCode>#,##0.0</c:formatCode>
                <c:ptCount val="6"/>
                <c:pt idx="0">
                  <c:v>35.495182069307567</c:v>
                </c:pt>
                <c:pt idx="1">
                  <c:v>70</c:v>
                </c:pt>
                <c:pt idx="2">
                  <c:v>195.375</c:v>
                </c:pt>
                <c:pt idx="3">
                  <c:v>271.80399999999992</c:v>
                </c:pt>
                <c:pt idx="4">
                  <c:v>403.964</c:v>
                </c:pt>
                <c:pt idx="5">
                  <c:v>522.55199999999888</c:v>
                </c:pt>
              </c:numCache>
            </c:numRef>
          </c:val>
          <c:smooth val="0"/>
          <c:extLst>
            <c:ext xmlns:c16="http://schemas.microsoft.com/office/drawing/2014/chart" uri="{C3380CC4-5D6E-409C-BE32-E72D297353CC}">
              <c16:uniqueId val="{00000003-5629-46ED-91AD-2DF52DBDAF04}"/>
            </c:ext>
          </c:extLst>
        </c:ser>
        <c:dLbls>
          <c:showLegendKey val="0"/>
          <c:showVal val="0"/>
          <c:showCatName val="0"/>
          <c:showSerName val="0"/>
          <c:showPercent val="0"/>
          <c:showBubbleSize val="0"/>
        </c:dLbls>
        <c:marker val="1"/>
        <c:smooth val="0"/>
        <c:axId val="161296896"/>
        <c:axId val="161359552"/>
      </c:lineChart>
      <c:catAx>
        <c:axId val="16129689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61359552"/>
        <c:crosses val="autoZero"/>
        <c:auto val="1"/>
        <c:lblAlgn val="ctr"/>
        <c:lblOffset val="100"/>
        <c:tickLblSkip val="1"/>
        <c:tickMarkSkip val="1"/>
        <c:noMultiLvlLbl val="0"/>
      </c:catAx>
      <c:valAx>
        <c:axId val="161359552"/>
        <c:scaling>
          <c:orientation val="minMax"/>
          <c:max val="1100"/>
          <c:min val="0"/>
        </c:scaling>
        <c:delete val="0"/>
        <c:axPos val="l"/>
        <c:majorGridlines>
          <c:spPr>
            <a:ln w="12700">
              <a:solidFill>
                <a:srgbClr val="A6A6A6">
                  <a:alpha val="39000"/>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61296896"/>
        <c:crosses val="autoZero"/>
        <c:crossBetween val="between"/>
        <c:majorUnit val="100"/>
        <c:minorUnit val="0.01"/>
      </c:valAx>
      <c:spPr>
        <a:noFill/>
        <a:ln w="12700">
          <a:noFill/>
          <a:prstDash val="solid"/>
        </a:ln>
      </c:spPr>
    </c:plotArea>
    <c:legend>
      <c:legendPos val="t"/>
      <c:layout>
        <c:manualLayout>
          <c:xMode val="edge"/>
          <c:yMode val="edge"/>
          <c:x val="0.13147987812638967"/>
          <c:y val="0.145814646651615"/>
          <c:w val="0.82897373051784817"/>
          <c:h val="0.144971825483342"/>
        </c:manualLayout>
      </c:layout>
      <c:overlay val="0"/>
      <c:spPr>
        <a:solidFill>
          <a:srgbClr val="FFFFFF"/>
        </a:solid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21395502645501"/>
          <c:y val="0.16066286549707601"/>
          <c:w val="0.68759523809523804"/>
          <c:h val="0.66416842105263096"/>
        </c:manualLayout>
      </c:layout>
      <c:barChart>
        <c:barDir val="bar"/>
        <c:grouping val="clustered"/>
        <c:varyColors val="0"/>
        <c:ser>
          <c:idx val="0"/>
          <c:order val="0"/>
          <c:tx>
            <c:strRef>
              <c:f>E_EN!$B$169</c:f>
              <c:strCache>
                <c:ptCount val="1"/>
                <c:pt idx="0">
                  <c:v> 2010</c:v>
                </c:pt>
              </c:strCache>
            </c:strRef>
          </c:tx>
          <c:spPr>
            <a:solidFill>
              <a:srgbClr val="00C5E6"/>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E_EN!$A$170:$A$175</c:f>
              <c:strCache>
                <c:ptCount val="6"/>
                <c:pt idx="0">
                  <c:v>Submitting forms online</c:v>
                </c:pt>
                <c:pt idx="1">
                  <c:v>Downloading 
forms</c:v>
                </c:pt>
                <c:pt idx="2">
                  <c:v>Communicating 
by e-mail</c:v>
                </c:pt>
                <c:pt idx="3">
                  <c:v>Obtaining information from website</c:v>
                </c:pt>
                <c:pt idx="5">
                  <c:v>Total</c:v>
                </c:pt>
              </c:strCache>
            </c:strRef>
          </c:cat>
          <c:val>
            <c:numRef>
              <c:f>E_EN!$B$170:$B$175</c:f>
              <c:numCache>
                <c:formatCode>0%</c:formatCode>
                <c:ptCount val="6"/>
                <c:pt idx="0">
                  <c:v>5.2853099829607203E-2</c:v>
                </c:pt>
                <c:pt idx="1">
                  <c:v>9.4483935853873102E-2</c:v>
                </c:pt>
                <c:pt idx="2">
                  <c:v>8.67998009410402E-2</c:v>
                </c:pt>
                <c:pt idx="3">
                  <c:v>0.19117451988612999</c:v>
                </c:pt>
                <c:pt idx="5">
                  <c:v>0.191</c:v>
                </c:pt>
              </c:numCache>
            </c:numRef>
          </c:val>
          <c:extLst>
            <c:ext xmlns:c16="http://schemas.microsoft.com/office/drawing/2014/chart" uri="{C3380CC4-5D6E-409C-BE32-E72D297353CC}">
              <c16:uniqueId val="{00000000-5444-460D-908C-DEEC71A71F67}"/>
            </c:ext>
          </c:extLst>
        </c:ser>
        <c:ser>
          <c:idx val="1"/>
          <c:order val="1"/>
          <c:tx>
            <c:strRef>
              <c:f>E_EN!$C$169</c:f>
              <c:strCache>
                <c:ptCount val="1"/>
                <c:pt idx="0">
                  <c:v> 2017</c:v>
                </c:pt>
              </c:strCache>
            </c:strRef>
          </c:tx>
          <c:spPr>
            <a:solidFill>
              <a:srgbClr val="009BB4"/>
            </a:solidFill>
          </c:spPr>
          <c:invertIfNegative val="0"/>
          <c:dLbls>
            <c:dLbl>
              <c:idx val="1"/>
              <c:layout>
                <c:manualLayout>
                  <c:x val="-9.5025578099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44-460D-908C-DEEC71A71F67}"/>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E_EN!$A$170:$A$175</c:f>
              <c:strCache>
                <c:ptCount val="6"/>
                <c:pt idx="0">
                  <c:v>Submitting forms online</c:v>
                </c:pt>
                <c:pt idx="1">
                  <c:v>Downloading 
forms</c:v>
                </c:pt>
                <c:pt idx="2">
                  <c:v>Communicating 
by e-mail</c:v>
                </c:pt>
                <c:pt idx="3">
                  <c:v>Obtaining information from website</c:v>
                </c:pt>
                <c:pt idx="5">
                  <c:v>Total</c:v>
                </c:pt>
              </c:strCache>
            </c:strRef>
          </c:cat>
          <c:val>
            <c:numRef>
              <c:f>E_EN!$C$170:$C$175</c:f>
              <c:numCache>
                <c:formatCode>0%</c:formatCode>
                <c:ptCount val="6"/>
                <c:pt idx="0">
                  <c:v>0.106031813037455</c:v>
                </c:pt>
                <c:pt idx="1">
                  <c:v>0.14520847535473899</c:v>
                </c:pt>
                <c:pt idx="2">
                  <c:v>0.15949454297617599</c:v>
                </c:pt>
                <c:pt idx="3">
                  <c:v>0.34143145219394599</c:v>
                </c:pt>
                <c:pt idx="5">
                  <c:v>0.372133545629449</c:v>
                </c:pt>
              </c:numCache>
            </c:numRef>
          </c:val>
          <c:extLst>
            <c:ext xmlns:c16="http://schemas.microsoft.com/office/drawing/2014/chart" uri="{C3380CC4-5D6E-409C-BE32-E72D297353CC}">
              <c16:uniqueId val="{00000002-5444-460D-908C-DEEC71A71F67}"/>
            </c:ext>
          </c:extLst>
        </c:ser>
        <c:dLbls>
          <c:showLegendKey val="0"/>
          <c:showVal val="0"/>
          <c:showCatName val="0"/>
          <c:showSerName val="0"/>
          <c:showPercent val="0"/>
          <c:showBubbleSize val="0"/>
        </c:dLbls>
        <c:gapWidth val="30"/>
        <c:axId val="198167552"/>
        <c:axId val="197318848"/>
      </c:barChart>
      <c:catAx>
        <c:axId val="198167552"/>
        <c:scaling>
          <c:orientation val="minMax"/>
        </c:scaling>
        <c:delete val="0"/>
        <c:axPos val="l"/>
        <c:numFmt formatCode="General" sourceLinked="1"/>
        <c:majorTickMark val="out"/>
        <c:minorTickMark val="none"/>
        <c:tickLblPos val="nextTo"/>
        <c:spPr>
          <a:ln w="3175">
            <a:solidFill>
              <a:schemeClr val="tx1"/>
            </a:solidFill>
          </a:ln>
        </c:spPr>
        <c:crossAx val="197318848"/>
        <c:crosses val="autoZero"/>
        <c:auto val="1"/>
        <c:lblAlgn val="ctr"/>
        <c:lblOffset val="100"/>
        <c:noMultiLvlLbl val="0"/>
      </c:catAx>
      <c:valAx>
        <c:axId val="197318848"/>
        <c:scaling>
          <c:orientation val="minMax"/>
          <c:max val="0.5"/>
        </c:scaling>
        <c:delete val="0"/>
        <c:axPos val="b"/>
        <c:numFmt formatCode="0%" sourceLinked="1"/>
        <c:majorTickMark val="none"/>
        <c:minorTickMark val="none"/>
        <c:tickLblPos val="none"/>
        <c:crossAx val="198167552"/>
        <c:crosses val="autoZero"/>
        <c:crossBetween val="between"/>
        <c:majorUnit val="0.05"/>
        <c:minorUnit val="0.01"/>
      </c:valAx>
      <c:spPr>
        <a:ln w="12700">
          <a:solidFill>
            <a:schemeClr val="bg1">
              <a:lumMod val="65000"/>
            </a:schemeClr>
          </a:solidFill>
        </a:ln>
      </c:spPr>
    </c:plotArea>
    <c:legend>
      <c:legendPos val="r"/>
      <c:layout>
        <c:manualLayout>
          <c:xMode val="edge"/>
          <c:yMode val="edge"/>
          <c:x val="0.69920469576719602"/>
          <c:y val="0.26061049382716001"/>
          <c:w val="0.21554629629629601"/>
          <c:h val="0.11631820987654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01764417296E-2"/>
          <c:y val="0.137561419753086"/>
          <c:w val="0.90411750841750804"/>
          <c:h val="0.486666975308642"/>
        </c:manualLayout>
      </c:layout>
      <c:barChart>
        <c:barDir val="col"/>
        <c:grouping val="clustered"/>
        <c:varyColors val="0"/>
        <c:ser>
          <c:idx val="0"/>
          <c:order val="0"/>
          <c:tx>
            <c:strRef>
              <c:f>E_EN!$O$194</c:f>
              <c:strCache>
                <c:ptCount val="1"/>
                <c:pt idx="0">
                  <c:v> Total </c:v>
                </c:pt>
              </c:strCache>
            </c:strRef>
          </c:tx>
          <c:spPr>
            <a:solidFill>
              <a:srgbClr val="009BB4"/>
            </a:solidFill>
            <a:ln>
              <a:noFill/>
            </a:ln>
          </c:spPr>
          <c:invertIfNegative val="0"/>
          <c:dPt>
            <c:idx val="7"/>
            <c:invertIfNegative val="0"/>
            <c:bubble3D val="0"/>
            <c:spPr>
              <a:solidFill>
                <a:srgbClr val="009BB4"/>
              </a:solidFill>
              <a:ln w="19050">
                <a:noFill/>
              </a:ln>
            </c:spPr>
            <c:extLst>
              <c:ext xmlns:c16="http://schemas.microsoft.com/office/drawing/2014/chart" uri="{C3380CC4-5D6E-409C-BE32-E72D297353CC}">
                <c16:uniqueId val="{00000001-FAEF-456B-A000-77AEC34B437D}"/>
              </c:ext>
            </c:extLst>
          </c:dPt>
          <c:dPt>
            <c:idx val="8"/>
            <c:invertIfNegative val="0"/>
            <c:bubble3D val="0"/>
            <c:spPr>
              <a:solidFill>
                <a:srgbClr val="009BB4"/>
              </a:solidFill>
              <a:ln w="19050">
                <a:noFill/>
              </a:ln>
            </c:spPr>
            <c:extLst>
              <c:ext xmlns:c16="http://schemas.microsoft.com/office/drawing/2014/chart" uri="{C3380CC4-5D6E-409C-BE32-E72D297353CC}">
                <c16:uniqueId val="{00000003-FAEF-456B-A000-77AEC34B437D}"/>
              </c:ext>
            </c:extLst>
          </c:dPt>
          <c:dPt>
            <c:idx val="13"/>
            <c:invertIfNegative val="0"/>
            <c:bubble3D val="0"/>
            <c:spPr>
              <a:solidFill>
                <a:srgbClr val="009BB4"/>
              </a:solidFill>
              <a:ln w="19050">
                <a:noFill/>
              </a:ln>
            </c:spPr>
            <c:extLst>
              <c:ext xmlns:c16="http://schemas.microsoft.com/office/drawing/2014/chart" uri="{C3380CC4-5D6E-409C-BE32-E72D297353CC}">
                <c16:uniqueId val="{00000005-FAEF-456B-A000-77AEC34B437D}"/>
              </c:ext>
            </c:extLst>
          </c:dPt>
          <c:dPt>
            <c:idx val="15"/>
            <c:invertIfNegative val="0"/>
            <c:bubble3D val="0"/>
            <c:spPr>
              <a:solidFill>
                <a:srgbClr val="009BB4"/>
              </a:solidFill>
              <a:ln>
                <a:solidFill>
                  <a:srgbClr val="FF0000"/>
                </a:solidFill>
              </a:ln>
            </c:spPr>
            <c:extLst>
              <c:ext xmlns:c16="http://schemas.microsoft.com/office/drawing/2014/chart" uri="{C3380CC4-5D6E-409C-BE32-E72D297353CC}">
                <c16:uniqueId val="{00000007-FAEF-456B-A000-77AEC34B437D}"/>
              </c:ext>
            </c:extLst>
          </c:dPt>
          <c:dPt>
            <c:idx val="16"/>
            <c:invertIfNegative val="0"/>
            <c:bubble3D val="0"/>
            <c:spPr>
              <a:solidFill>
                <a:srgbClr val="009BB4"/>
              </a:solidFill>
              <a:ln w="19050">
                <a:noFill/>
              </a:ln>
            </c:spPr>
            <c:extLst>
              <c:ext xmlns:c16="http://schemas.microsoft.com/office/drawing/2014/chart" uri="{C3380CC4-5D6E-409C-BE32-E72D297353CC}">
                <c16:uniqueId val="{00000009-FAEF-456B-A000-77AEC34B437D}"/>
              </c:ext>
            </c:extLst>
          </c:dPt>
          <c:dPt>
            <c:idx val="21"/>
            <c:invertIfNegative val="0"/>
            <c:bubble3D val="0"/>
            <c:spPr>
              <a:solidFill>
                <a:srgbClr val="009BB4"/>
              </a:solidFill>
              <a:ln>
                <a:solidFill>
                  <a:srgbClr val="FF0000"/>
                </a:solidFill>
              </a:ln>
            </c:spPr>
            <c:extLst>
              <c:ext xmlns:c16="http://schemas.microsoft.com/office/drawing/2014/chart" uri="{C3380CC4-5D6E-409C-BE32-E72D297353CC}">
                <c16:uniqueId val="{0000000B-FAEF-456B-A000-77AEC34B437D}"/>
              </c:ext>
            </c:extLst>
          </c:dPt>
          <c:dLbls>
            <c:dLbl>
              <c:idx val="0"/>
              <c:layout>
                <c:manualLayout>
                  <c:x val="-2.0426709128487201E-3"/>
                  <c:y val="9.7278823688889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EF-456B-A000-77AEC34B437D}"/>
                </c:ext>
              </c:extLst>
            </c:dLbl>
            <c:dLbl>
              <c:idx val="1"/>
              <c:layout>
                <c:manualLayout>
                  <c:x val="0"/>
                  <c:y val="8.1422863808690585E-2"/>
                </c:manualLayout>
              </c:layout>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EF-456B-A000-77AEC34B437D}"/>
                </c:ext>
              </c:extLst>
            </c:dLbl>
            <c:dLbl>
              <c:idx val="2"/>
              <c:layout>
                <c:manualLayout>
                  <c:x val="-1.8724267063449001E-17"/>
                  <c:y val="9.3228077729668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EF-456B-A000-77AEC34B437D}"/>
                </c:ext>
              </c:extLst>
            </c:dLbl>
            <c:dLbl>
              <c:idx val="4"/>
              <c:layout>
                <c:manualLayout>
                  <c:x val="0"/>
                  <c:y val="0.14993852115876899"/>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EF-456B-A000-77AEC34B437D}"/>
                </c:ext>
              </c:extLst>
            </c:dLbl>
            <c:dLbl>
              <c:idx val="7"/>
              <c:layout>
                <c:manualLayout>
                  <c:x val="-3.7448534126898101E-17"/>
                  <c:y val="9.3228077729668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EF-456B-A000-77AEC34B437D}"/>
                </c:ext>
              </c:extLst>
            </c:dLbl>
            <c:dLbl>
              <c:idx val="9"/>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0-FAEF-456B-A000-77AEC34B437D}"/>
                </c:ext>
              </c:extLst>
            </c:dLbl>
            <c:dLbl>
              <c:idx val="10"/>
              <c:layout>
                <c:manualLayout>
                  <c:x val="0"/>
                  <c:y val="0.1013295696481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EF-456B-A000-77AEC34B437D}"/>
                </c:ext>
              </c:extLst>
            </c:dLbl>
            <c:dLbl>
              <c:idx val="14"/>
              <c:layout>
                <c:manualLayout>
                  <c:x val="0"/>
                  <c:y val="9.3228077729668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EF-456B-A000-77AEC34B437D}"/>
                </c:ext>
              </c:extLst>
            </c:dLbl>
            <c:dLbl>
              <c:idx val="16"/>
              <c:layout>
                <c:manualLayout>
                  <c:x val="-7.4897068253797103E-17"/>
                  <c:y val="7.7025093892782795E-2"/>
                </c:manualLayout>
              </c:layout>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EF-456B-A000-77AEC34B437D}"/>
                </c:ext>
              </c:extLst>
            </c:dLbl>
            <c:dLbl>
              <c:idx val="20"/>
              <c:layout>
                <c:manualLayout>
                  <c:x val="0"/>
                  <c:y val="8.89445902595508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AD-4642-AB47-3EB8DF597BEA}"/>
                </c:ext>
              </c:extLst>
            </c:dLbl>
            <c:dLbl>
              <c:idx val="24"/>
              <c:layout>
                <c:manualLayout>
                  <c:x val="0"/>
                  <c:y val="8.91773317704469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EF-456B-A000-77AEC34B437D}"/>
                </c:ext>
              </c:extLst>
            </c:dLbl>
            <c:dLbl>
              <c:idx val="25"/>
              <c:layout>
                <c:manualLayout>
                  <c:x val="0"/>
                  <c:y val="4.11166662679705E-3"/>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EF-456B-A000-77AEC34B437D}"/>
                </c:ext>
              </c:extLst>
            </c:dLbl>
            <c:dLbl>
              <c:idx val="26"/>
              <c:layout>
                <c:manualLayout>
                  <c:x val="2.0426709128487201E-3"/>
                  <c:y val="6.0920667575692303E-5"/>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EF-456B-A000-77AEC34B437D}"/>
                </c:ext>
              </c:extLst>
            </c:dLbl>
            <c:dLbl>
              <c:idx val="27"/>
              <c:layout>
                <c:manualLayout>
                  <c:x val="0"/>
                  <c:y val="-4.7355452957921701E-3"/>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AEF-456B-A000-77AEC34B437D}"/>
                </c:ext>
              </c:extLst>
            </c:dLbl>
            <c:dLbl>
              <c:idx val="28"/>
              <c:layout>
                <c:manualLayout>
                  <c:x val="-2.0426709128487201E-3"/>
                  <c:y val="-5.0668452822365199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AEF-456B-A000-77AEC34B437D}"/>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E_EN!$N$195:$N$223</c:f>
              <c:strCache>
                <c:ptCount val="29"/>
                <c:pt idx="0">
                  <c:v>Denmark</c:v>
                </c:pt>
                <c:pt idx="1">
                  <c:v>Sweden</c:v>
                </c:pt>
                <c:pt idx="2">
                  <c:v>Finland</c:v>
                </c:pt>
                <c:pt idx="3">
                  <c:v>Netherlands</c:v>
                </c:pt>
                <c:pt idx="4">
                  <c:v>Estonia</c:v>
                </c:pt>
                <c:pt idx="5">
                  <c:v>Luxembourg</c:v>
                </c:pt>
                <c:pt idx="6">
                  <c:v>Latvia</c:v>
                </c:pt>
                <c:pt idx="7">
                  <c:v>France</c:v>
                </c:pt>
                <c:pt idx="8">
                  <c:v>Austria</c:v>
                </c:pt>
                <c:pt idx="9">
                  <c:v>Ireland</c:v>
                </c:pt>
                <c:pt idx="10">
                  <c:v>Belgium</c:v>
                </c:pt>
                <c:pt idx="11">
                  <c:v>Germany</c:v>
                </c:pt>
                <c:pt idx="12">
                  <c:v>Spain</c:v>
                </c:pt>
                <c:pt idx="13">
                  <c:v>Slovenia</c:v>
                </c:pt>
                <c:pt idx="14">
                  <c:v>United Kingdom</c:v>
                </c:pt>
                <c:pt idx="15">
                  <c:v>EU28</c:v>
                </c:pt>
                <c:pt idx="16">
                  <c:v>Lithuania</c:v>
                </c:pt>
                <c:pt idx="17">
                  <c:v>Slovakia</c:v>
                </c:pt>
                <c:pt idx="18">
                  <c:v>Greece</c:v>
                </c:pt>
                <c:pt idx="19">
                  <c:v>Hungary</c:v>
                </c:pt>
                <c:pt idx="20">
                  <c:v>Portugal</c:v>
                </c:pt>
                <c:pt idx="21">
                  <c:v>Czech Republic</c:v>
                </c:pt>
                <c:pt idx="22">
                  <c:v>Malta</c:v>
                </c:pt>
                <c:pt idx="23">
                  <c:v>Cyprus</c:v>
                </c:pt>
                <c:pt idx="24">
                  <c:v>Croatia</c:v>
                </c:pt>
                <c:pt idx="25">
                  <c:v>Poland</c:v>
                </c:pt>
                <c:pt idx="26">
                  <c:v>Italy</c:v>
                </c:pt>
                <c:pt idx="27">
                  <c:v>Bulgaria</c:v>
                </c:pt>
                <c:pt idx="28">
                  <c:v>Romania</c:v>
                </c:pt>
              </c:strCache>
            </c:strRef>
          </c:cat>
          <c:val>
            <c:numRef>
              <c:f>E_EN!$O$195:$O$223</c:f>
              <c:numCache>
                <c:formatCode>0%</c:formatCode>
                <c:ptCount val="29"/>
                <c:pt idx="0">
                  <c:v>0.89213699999999996</c:v>
                </c:pt>
                <c:pt idx="1">
                  <c:v>0.84186499999999997</c:v>
                </c:pt>
                <c:pt idx="2">
                  <c:v>0.82969000000000004</c:v>
                </c:pt>
                <c:pt idx="3">
                  <c:v>0.79115500000000005</c:v>
                </c:pt>
                <c:pt idx="4">
                  <c:v>0.77984299999999995</c:v>
                </c:pt>
                <c:pt idx="5">
                  <c:v>0.75126599999999999</c:v>
                </c:pt>
                <c:pt idx="6">
                  <c:v>0.68506400000000001</c:v>
                </c:pt>
                <c:pt idx="7">
                  <c:v>0.67922199999999999</c:v>
                </c:pt>
                <c:pt idx="8">
                  <c:v>0.61977899999999997</c:v>
                </c:pt>
                <c:pt idx="9">
                  <c:v>0.55340699999999998</c:v>
                </c:pt>
                <c:pt idx="10">
                  <c:v>0.55138299999999996</c:v>
                </c:pt>
                <c:pt idx="11">
                  <c:v>0.53472399999999998</c:v>
                </c:pt>
                <c:pt idx="12">
                  <c:v>0.52351199999999998</c:v>
                </c:pt>
                <c:pt idx="13">
                  <c:v>0.49860500000000002</c:v>
                </c:pt>
                <c:pt idx="14">
                  <c:v>0.490124</c:v>
                </c:pt>
                <c:pt idx="15">
                  <c:v>0.48795699999999997</c:v>
                </c:pt>
                <c:pt idx="16">
                  <c:v>0.48401100000000002</c:v>
                </c:pt>
                <c:pt idx="17">
                  <c:v>0.47484500000000002</c:v>
                </c:pt>
                <c:pt idx="18">
                  <c:v>0.47353099999999998</c:v>
                </c:pt>
                <c:pt idx="19">
                  <c:v>0.47131099999999998</c:v>
                </c:pt>
                <c:pt idx="20">
                  <c:v>0.45983800000000002</c:v>
                </c:pt>
                <c:pt idx="21">
                  <c:v>0.45595999999999998</c:v>
                </c:pt>
                <c:pt idx="22">
                  <c:v>0.45066800000000001</c:v>
                </c:pt>
                <c:pt idx="23">
                  <c:v>0.42303400000000002</c:v>
                </c:pt>
                <c:pt idx="24">
                  <c:v>0.32195600000000002</c:v>
                </c:pt>
                <c:pt idx="25">
                  <c:v>0.308139</c:v>
                </c:pt>
                <c:pt idx="26">
                  <c:v>0.245563</c:v>
                </c:pt>
                <c:pt idx="27">
                  <c:v>0.206679</c:v>
                </c:pt>
                <c:pt idx="28">
                  <c:v>8.7326000000000001E-2</c:v>
                </c:pt>
              </c:numCache>
            </c:numRef>
          </c:val>
          <c:extLst>
            <c:ext xmlns:c16="http://schemas.microsoft.com/office/drawing/2014/chart" uri="{C3380CC4-5D6E-409C-BE32-E72D297353CC}">
              <c16:uniqueId val="{00000018-FAEF-456B-A000-77AEC34B437D}"/>
            </c:ext>
          </c:extLst>
        </c:ser>
        <c:dLbls>
          <c:showLegendKey val="0"/>
          <c:showVal val="0"/>
          <c:showCatName val="0"/>
          <c:showSerName val="0"/>
          <c:showPercent val="0"/>
          <c:showBubbleSize val="0"/>
        </c:dLbls>
        <c:gapWidth val="50"/>
        <c:axId val="198268928"/>
        <c:axId val="197281472"/>
      </c:barChart>
      <c:barChart>
        <c:barDir val="col"/>
        <c:grouping val="clustered"/>
        <c:varyColors val="0"/>
        <c:ser>
          <c:idx val="1"/>
          <c:order val="1"/>
          <c:tx>
            <c:strRef>
              <c:f>E_EN!$P$194</c:f>
              <c:strCache>
                <c:ptCount val="1"/>
                <c:pt idx="0">
                  <c:v> of which submitting forms online</c:v>
                </c:pt>
              </c:strCache>
            </c:strRef>
          </c:tx>
          <c:spPr>
            <a:solidFill>
              <a:srgbClr val="47E5FF"/>
            </a:solidFill>
          </c:spPr>
          <c:invertIfNegative val="0"/>
          <c:dLbls>
            <c:dLbl>
              <c:idx val="26"/>
              <c:layout>
                <c:manualLayout>
                  <c:x val="2.0426709128487201E-3"/>
                  <c:y val="6.4900286263346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EF-456B-A000-77AEC34B437D}"/>
                </c:ext>
              </c:extLst>
            </c:dLbl>
            <c:dLbl>
              <c:idx val="28"/>
              <c:layout>
                <c:manualLayout>
                  <c:x val="-2.0427465466438702E-3"/>
                  <c:y val="-3.30811547699044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AEF-456B-A000-77AEC34B437D}"/>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E_EN!$N$195:$N$223</c:f>
              <c:strCache>
                <c:ptCount val="29"/>
                <c:pt idx="0">
                  <c:v>Denmark</c:v>
                </c:pt>
                <c:pt idx="1">
                  <c:v>Sweden</c:v>
                </c:pt>
                <c:pt idx="2">
                  <c:v>Finland</c:v>
                </c:pt>
                <c:pt idx="3">
                  <c:v>Netherlands</c:v>
                </c:pt>
                <c:pt idx="4">
                  <c:v>Estonia</c:v>
                </c:pt>
                <c:pt idx="5">
                  <c:v>Luxembourg</c:v>
                </c:pt>
                <c:pt idx="6">
                  <c:v>Latvia</c:v>
                </c:pt>
                <c:pt idx="7">
                  <c:v>France</c:v>
                </c:pt>
                <c:pt idx="8">
                  <c:v>Austria</c:v>
                </c:pt>
                <c:pt idx="9">
                  <c:v>Ireland</c:v>
                </c:pt>
                <c:pt idx="10">
                  <c:v>Belgium</c:v>
                </c:pt>
                <c:pt idx="11">
                  <c:v>Germany</c:v>
                </c:pt>
                <c:pt idx="12">
                  <c:v>Spain</c:v>
                </c:pt>
                <c:pt idx="13">
                  <c:v>Slovenia</c:v>
                </c:pt>
                <c:pt idx="14">
                  <c:v>United Kingdom</c:v>
                </c:pt>
                <c:pt idx="15">
                  <c:v>EU28</c:v>
                </c:pt>
                <c:pt idx="16">
                  <c:v>Lithuania</c:v>
                </c:pt>
                <c:pt idx="17">
                  <c:v>Slovakia</c:v>
                </c:pt>
                <c:pt idx="18">
                  <c:v>Greece</c:v>
                </c:pt>
                <c:pt idx="19">
                  <c:v>Hungary</c:v>
                </c:pt>
                <c:pt idx="20">
                  <c:v>Portugal</c:v>
                </c:pt>
                <c:pt idx="21">
                  <c:v>Czech Republic</c:v>
                </c:pt>
                <c:pt idx="22">
                  <c:v>Malta</c:v>
                </c:pt>
                <c:pt idx="23">
                  <c:v>Cyprus</c:v>
                </c:pt>
                <c:pt idx="24">
                  <c:v>Croatia</c:v>
                </c:pt>
                <c:pt idx="25">
                  <c:v>Poland</c:v>
                </c:pt>
                <c:pt idx="26">
                  <c:v>Italy</c:v>
                </c:pt>
                <c:pt idx="27">
                  <c:v>Bulgaria</c:v>
                </c:pt>
                <c:pt idx="28">
                  <c:v>Romania</c:v>
                </c:pt>
              </c:strCache>
            </c:strRef>
          </c:cat>
          <c:val>
            <c:numRef>
              <c:f>E_EN!$P$195:$P$223</c:f>
              <c:numCache>
                <c:formatCode>0%</c:formatCode>
                <c:ptCount val="29"/>
                <c:pt idx="0">
                  <c:v>0.70931599999999995</c:v>
                </c:pt>
                <c:pt idx="1">
                  <c:v>0.71543000000000001</c:v>
                </c:pt>
                <c:pt idx="2">
                  <c:v>0.657443</c:v>
                </c:pt>
                <c:pt idx="3">
                  <c:v>0.56178300000000003</c:v>
                </c:pt>
                <c:pt idx="4">
                  <c:v>0.69696999999999998</c:v>
                </c:pt>
                <c:pt idx="5">
                  <c:v>0.36044199999999998</c:v>
                </c:pt>
                <c:pt idx="6">
                  <c:v>0.38529099999999999</c:v>
                </c:pt>
                <c:pt idx="7">
                  <c:v>0.53162799999999999</c:v>
                </c:pt>
                <c:pt idx="8">
                  <c:v>0.36660399999999999</c:v>
                </c:pt>
                <c:pt idx="9">
                  <c:v>0.52155700000000005</c:v>
                </c:pt>
                <c:pt idx="10">
                  <c:v>0.369535</c:v>
                </c:pt>
                <c:pt idx="11">
                  <c:v>0.179562</c:v>
                </c:pt>
                <c:pt idx="12">
                  <c:v>0.33166400000000001</c:v>
                </c:pt>
                <c:pt idx="13">
                  <c:v>0.18104500000000001</c:v>
                </c:pt>
                <c:pt idx="14">
                  <c:v>0.34507599999999999</c:v>
                </c:pt>
                <c:pt idx="15">
                  <c:v>0.30114299999999999</c:v>
                </c:pt>
                <c:pt idx="16">
                  <c:v>0.37434899999999999</c:v>
                </c:pt>
                <c:pt idx="17">
                  <c:v>0.153804</c:v>
                </c:pt>
                <c:pt idx="18">
                  <c:v>0.24301200000000001</c:v>
                </c:pt>
                <c:pt idx="19">
                  <c:v>0.29060999999999998</c:v>
                </c:pt>
                <c:pt idx="20">
                  <c:v>0.31686399999999998</c:v>
                </c:pt>
                <c:pt idx="21">
                  <c:v>0.13939699999999999</c:v>
                </c:pt>
                <c:pt idx="22">
                  <c:v>0.202292</c:v>
                </c:pt>
                <c:pt idx="23">
                  <c:v>0.24356700000000001</c:v>
                </c:pt>
                <c:pt idx="24">
                  <c:v>0.14794299999999999</c:v>
                </c:pt>
                <c:pt idx="25">
                  <c:v>0.21038299999999999</c:v>
                </c:pt>
                <c:pt idx="26">
                  <c:v>0.133357</c:v>
                </c:pt>
                <c:pt idx="27">
                  <c:v>8.2916000000000004E-2</c:v>
                </c:pt>
                <c:pt idx="28">
                  <c:v>3.5020000000000003E-2</c:v>
                </c:pt>
              </c:numCache>
            </c:numRef>
          </c:val>
          <c:extLst>
            <c:ext xmlns:c16="http://schemas.microsoft.com/office/drawing/2014/chart" uri="{C3380CC4-5D6E-409C-BE32-E72D297353CC}">
              <c16:uniqueId val="{0000001B-FAEF-456B-A000-77AEC34B437D}"/>
            </c:ext>
          </c:extLst>
        </c:ser>
        <c:dLbls>
          <c:showLegendKey val="0"/>
          <c:showVal val="0"/>
          <c:showCatName val="0"/>
          <c:showSerName val="0"/>
          <c:showPercent val="0"/>
          <c:showBubbleSize val="0"/>
        </c:dLbls>
        <c:gapWidth val="200"/>
        <c:axId val="199342080"/>
        <c:axId val="197282048"/>
      </c:barChart>
      <c:catAx>
        <c:axId val="198268928"/>
        <c:scaling>
          <c:orientation val="minMax"/>
        </c:scaling>
        <c:delete val="0"/>
        <c:axPos val="b"/>
        <c:numFmt formatCode="General" sourceLinked="0"/>
        <c:majorTickMark val="out"/>
        <c:minorTickMark val="none"/>
        <c:tickLblPos val="nextTo"/>
        <c:spPr>
          <a:ln w="3175">
            <a:solidFill>
              <a:schemeClr val="tx1"/>
            </a:solidFill>
          </a:ln>
        </c:spPr>
        <c:crossAx val="197281472"/>
        <c:crosses val="autoZero"/>
        <c:auto val="1"/>
        <c:lblAlgn val="ctr"/>
        <c:lblOffset val="100"/>
        <c:noMultiLvlLbl val="0"/>
      </c:catAx>
      <c:valAx>
        <c:axId val="197281472"/>
        <c:scaling>
          <c:orientation val="minMax"/>
          <c:max val="1"/>
          <c:min val="0"/>
        </c:scaling>
        <c:delete val="1"/>
        <c:axPos val="l"/>
        <c:numFmt formatCode="0%" sourceLinked="1"/>
        <c:majorTickMark val="out"/>
        <c:minorTickMark val="none"/>
        <c:tickLblPos val="nextTo"/>
        <c:crossAx val="198268928"/>
        <c:crosses val="autoZero"/>
        <c:crossBetween val="between"/>
        <c:majorUnit val="0.1"/>
        <c:minorUnit val="0.05"/>
      </c:valAx>
      <c:valAx>
        <c:axId val="197282048"/>
        <c:scaling>
          <c:orientation val="minMax"/>
          <c:max val="1"/>
        </c:scaling>
        <c:delete val="0"/>
        <c:axPos val="r"/>
        <c:numFmt formatCode="0%" sourceLinked="1"/>
        <c:majorTickMark val="none"/>
        <c:minorTickMark val="none"/>
        <c:tickLblPos val="none"/>
        <c:crossAx val="199342080"/>
        <c:crosses val="max"/>
        <c:crossBetween val="between"/>
      </c:valAx>
      <c:catAx>
        <c:axId val="199342080"/>
        <c:scaling>
          <c:orientation val="minMax"/>
        </c:scaling>
        <c:delete val="1"/>
        <c:axPos val="b"/>
        <c:numFmt formatCode="General" sourceLinked="0"/>
        <c:majorTickMark val="out"/>
        <c:minorTickMark val="none"/>
        <c:tickLblPos val="none"/>
        <c:crossAx val="19728204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5669537664760702"/>
          <c:y val="0.17172802589925801"/>
          <c:w val="0.29019517961832603"/>
          <c:h val="9.6386204999484235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en-US" sz="800" b="1">
                <a:latin typeface="Arial" panose="020B0604020202020204" pitchFamily="34" charset="0"/>
                <a:cs typeface="Arial" panose="020B0604020202020204" pitchFamily="34" charset="0"/>
              </a:rPr>
              <a:t>Figure F1 Schools </a:t>
            </a:r>
            <a:r>
              <a:rPr lang="cs-CZ" sz="800" b="1">
                <a:latin typeface="Arial" panose="020B0604020202020204" pitchFamily="34" charset="0"/>
                <a:cs typeface="Arial" panose="020B0604020202020204" pitchFamily="34" charset="0"/>
              </a:rPr>
              <a:t>in the Czech Republic </a:t>
            </a:r>
          </a:p>
          <a:p>
            <a:pPr>
              <a:defRPr sz="800" b="1">
                <a:latin typeface="Arial" panose="020B0604020202020204" pitchFamily="34" charset="0"/>
                <a:cs typeface="Arial" panose="020B0604020202020204" pitchFamily="34" charset="0"/>
              </a:defRPr>
            </a:pPr>
            <a:r>
              <a:rPr lang="en-US" sz="800" b="1">
                <a:latin typeface="Arial" panose="020B0604020202020204" pitchFamily="34" charset="0"/>
                <a:cs typeface="Arial" panose="020B0604020202020204" pitchFamily="34" charset="0"/>
              </a:rPr>
              <a:t>with at least 31 Mbit/s internet; 2016/2017</a:t>
            </a:r>
            <a:r>
              <a:rPr lang="cs-CZ" sz="800" b="1">
                <a:latin typeface="Arial" panose="020B0604020202020204" pitchFamily="34" charset="0"/>
                <a:cs typeface="Arial" panose="020B0604020202020204" pitchFamily="34" charset="0"/>
              </a:rPr>
              <a:t> (%)*</a:t>
            </a:r>
            <a:endParaRPr lang="en-US" sz="800" b="1">
              <a:latin typeface="Arial" panose="020B0604020202020204" pitchFamily="34" charset="0"/>
              <a:cs typeface="Arial" panose="020B0604020202020204" pitchFamily="34" charset="0"/>
            </a:endParaRPr>
          </a:p>
        </c:rich>
      </c:tx>
      <c:overlay val="1"/>
    </c:title>
    <c:autoTitleDeleted val="0"/>
    <c:plotArea>
      <c:layout>
        <c:manualLayout>
          <c:layoutTarget val="inner"/>
          <c:xMode val="edge"/>
          <c:yMode val="edge"/>
          <c:x val="0.213068055555556"/>
          <c:y val="0.18093846153846199"/>
          <c:w val="0.74881349206349301"/>
          <c:h val="0.60177849323889399"/>
        </c:manualLayout>
      </c:layout>
      <c:barChart>
        <c:barDir val="bar"/>
        <c:grouping val="clustered"/>
        <c:varyColors val="0"/>
        <c:ser>
          <c:idx val="4"/>
          <c:order val="0"/>
          <c:tx>
            <c:strRef>
              <c:f>F_EN!$B$3</c:f>
              <c:strCache>
                <c:ptCount val="1"/>
                <c:pt idx="0">
                  <c:v> of which at least 100 Mbit/s</c:v>
                </c:pt>
              </c:strCache>
            </c:strRef>
          </c:tx>
          <c:spPr>
            <a:solidFill>
              <a:srgbClr val="47E5FF"/>
            </a:solidFill>
          </c:spPr>
          <c:invertIfNegative val="0"/>
          <c:dLbls>
            <c:spPr>
              <a:noFill/>
              <a:ln>
                <a:noFill/>
              </a:ln>
              <a:effectLst/>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F_EN!$A$4:$A$6</c:f>
              <c:strCache>
                <c:ptCount val="3"/>
                <c:pt idx="0">
                  <c:v> Secondary 
schools</c:v>
                </c:pt>
                <c:pt idx="1">
                  <c:v> Elementary 
schools</c:v>
                </c:pt>
                <c:pt idx="2">
                  <c:v> Nursery 
schools</c:v>
                </c:pt>
              </c:strCache>
            </c:strRef>
          </c:cat>
          <c:val>
            <c:numRef>
              <c:f>F_EN!$B$4:$B$6</c:f>
              <c:numCache>
                <c:formatCode>0%</c:formatCode>
                <c:ptCount val="3"/>
                <c:pt idx="0">
                  <c:v>0.115526122148638</c:v>
                </c:pt>
                <c:pt idx="1">
                  <c:v>5.5972861642839794E-2</c:v>
                </c:pt>
                <c:pt idx="2">
                  <c:v>3.5841136583790699E-2</c:v>
                </c:pt>
              </c:numCache>
            </c:numRef>
          </c:val>
          <c:extLst>
            <c:ext xmlns:c16="http://schemas.microsoft.com/office/drawing/2014/chart" uri="{C3380CC4-5D6E-409C-BE32-E72D297353CC}">
              <c16:uniqueId val="{00000000-C092-4D4D-8786-7976F64C1192}"/>
            </c:ext>
          </c:extLst>
        </c:ser>
        <c:ser>
          <c:idx val="0"/>
          <c:order val="1"/>
          <c:tx>
            <c:strRef>
              <c:f>F_EN!$C$3</c:f>
              <c:strCache>
                <c:ptCount val="1"/>
                <c:pt idx="0">
                  <c:v> Total</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F_EN!$A$4:$A$6</c:f>
              <c:strCache>
                <c:ptCount val="3"/>
                <c:pt idx="0">
                  <c:v> Secondary 
schools</c:v>
                </c:pt>
                <c:pt idx="1">
                  <c:v> Elementary 
schools</c:v>
                </c:pt>
                <c:pt idx="2">
                  <c:v> Nursery 
schools</c:v>
                </c:pt>
              </c:strCache>
            </c:strRef>
          </c:cat>
          <c:val>
            <c:numRef>
              <c:f>F_EN!$C$4:$C$6</c:f>
              <c:numCache>
                <c:formatCode>0%</c:formatCode>
                <c:ptCount val="3"/>
                <c:pt idx="0">
                  <c:v>0.54083885209712901</c:v>
                </c:pt>
                <c:pt idx="1">
                  <c:v>0.32977950084807284</c:v>
                </c:pt>
                <c:pt idx="2">
                  <c:v>0.20148530836293169</c:v>
                </c:pt>
              </c:numCache>
            </c:numRef>
          </c:val>
          <c:extLst>
            <c:ext xmlns:c16="http://schemas.microsoft.com/office/drawing/2014/chart" uri="{C3380CC4-5D6E-409C-BE32-E72D297353CC}">
              <c16:uniqueId val="{00000001-C092-4D4D-8786-7976F64C1192}"/>
            </c:ext>
          </c:extLst>
        </c:ser>
        <c:dLbls>
          <c:showLegendKey val="0"/>
          <c:showVal val="1"/>
          <c:showCatName val="0"/>
          <c:showSerName val="0"/>
          <c:showPercent val="0"/>
          <c:showBubbleSize val="0"/>
        </c:dLbls>
        <c:gapWidth val="40"/>
        <c:axId val="198902272"/>
        <c:axId val="197284352"/>
      </c:barChart>
      <c:catAx>
        <c:axId val="1989022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7284352"/>
        <c:crosses val="autoZero"/>
        <c:auto val="1"/>
        <c:lblAlgn val="ctr"/>
        <c:lblOffset val="40"/>
        <c:noMultiLvlLbl val="0"/>
      </c:catAx>
      <c:valAx>
        <c:axId val="197284352"/>
        <c:scaling>
          <c:orientation val="minMax"/>
          <c:max val="0.70000000000000095"/>
          <c:min val="0"/>
        </c:scaling>
        <c:delete val="0"/>
        <c:axPos val="b"/>
        <c:numFmt formatCode="0%" sourceLinked="1"/>
        <c:majorTickMark val="none"/>
        <c:minorTickMark val="none"/>
        <c:tickLblPos val="none"/>
        <c:spPr>
          <a:ln w="9525">
            <a:noFill/>
          </a:ln>
        </c:spPr>
        <c:crossAx val="198902272"/>
        <c:crosses val="autoZero"/>
        <c:crossBetween val="between"/>
        <c:majorUnit val="0.1"/>
        <c:minorUnit val="0.02"/>
      </c:valAx>
      <c:spPr>
        <a:noFill/>
        <a:ln w="12700">
          <a:solidFill>
            <a:srgbClr val="969696"/>
          </a:solidFill>
          <a:prstDash val="solid"/>
        </a:ln>
      </c:spPr>
    </c:plotArea>
    <c:legend>
      <c:legendPos val="t"/>
      <c:layout>
        <c:manualLayout>
          <c:xMode val="edge"/>
          <c:yMode val="edge"/>
          <c:x val="0.57723784722222204"/>
          <c:y val="0.21030037037037"/>
          <c:w val="0.34496423611111099"/>
          <c:h val="0.21600429276668801"/>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2E-2"/>
          <c:y val="0.142206858986445"/>
          <c:w val="0.94711601307189597"/>
          <c:h val="0.43036054721052502"/>
        </c:manualLayout>
      </c:layout>
      <c:barChart>
        <c:barDir val="col"/>
        <c:grouping val="clustered"/>
        <c:varyColors val="0"/>
        <c:ser>
          <c:idx val="0"/>
          <c:order val="0"/>
          <c:tx>
            <c:strRef>
              <c:f>F_EN!$C$15</c:f>
              <c:strCache>
                <c:ptCount val="1"/>
                <c:pt idx="0">
                  <c:v> school year 2011/2012</c:v>
                </c:pt>
              </c:strCache>
            </c:strRef>
          </c:tx>
          <c:spPr>
            <a:solidFill>
              <a:srgbClr val="47E5FF"/>
            </a:solidFill>
            <a:ln w="25400">
              <a:noFill/>
            </a:ln>
          </c:spPr>
          <c:invertIfNegative val="0"/>
          <c:dLbls>
            <c:dLbl>
              <c:idx val="0"/>
              <c:layout>
                <c:manualLayout>
                  <c:x val="-9.9084967320261608E-4"/>
                  <c:y val="9.575396825396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DF-446A-BDB4-04B259D42F63}"/>
                </c:ext>
              </c:extLst>
            </c:dLbl>
            <c:dLbl>
              <c:idx val="2"/>
              <c:layout>
                <c:manualLayout>
                  <c:x val="0"/>
                  <c:y val="9.0714285714285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DF-446A-BDB4-04B259D42F63}"/>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F_EN!$A$16:$B$19</c:f>
              <c:multiLvlStrCache>
                <c:ptCount val="4"/>
                <c:lvl>
                  <c:pt idx="0">
                    <c:v>Website</c:v>
                  </c:pt>
                  <c:pt idx="1">
                    <c:v>Student information system</c:v>
                  </c:pt>
                  <c:pt idx="2">
                    <c:v>Website</c:v>
                  </c:pt>
                  <c:pt idx="3">
                    <c:v>Student information system</c:v>
                  </c:pt>
                </c:lvl>
                <c:lvl>
                  <c:pt idx="0">
                    <c:v>Elementary schools</c:v>
                  </c:pt>
                  <c:pt idx="2">
                    <c:v>Secondary schools</c:v>
                  </c:pt>
                </c:lvl>
              </c:multiLvlStrCache>
            </c:multiLvlStrRef>
          </c:cat>
          <c:val>
            <c:numRef>
              <c:f>F_EN!$C$16:$C$19</c:f>
              <c:numCache>
                <c:formatCode>0%</c:formatCode>
                <c:ptCount val="4"/>
                <c:pt idx="0">
                  <c:v>0.51028806584362096</c:v>
                </c:pt>
                <c:pt idx="1">
                  <c:v>0.35831863609641301</c:v>
                </c:pt>
                <c:pt idx="2">
                  <c:v>0.96893667861409793</c:v>
                </c:pt>
                <c:pt idx="3">
                  <c:v>0.92712066905615298</c:v>
                </c:pt>
              </c:numCache>
            </c:numRef>
          </c:val>
          <c:extLst>
            <c:ext xmlns:c16="http://schemas.microsoft.com/office/drawing/2014/chart" uri="{C3380CC4-5D6E-409C-BE32-E72D297353CC}">
              <c16:uniqueId val="{00000002-26DF-446A-BDB4-04B259D42F63}"/>
            </c:ext>
          </c:extLst>
        </c:ser>
        <c:ser>
          <c:idx val="1"/>
          <c:order val="1"/>
          <c:tx>
            <c:strRef>
              <c:f>F_EN!$D$15</c:f>
              <c:strCache>
                <c:ptCount val="1"/>
                <c:pt idx="0">
                  <c:v> school year 2016/2017</c:v>
                </c:pt>
              </c:strCache>
            </c:strRef>
          </c:tx>
          <c:spPr>
            <a:solidFill>
              <a:srgbClr val="009BB4"/>
            </a:solidFill>
            <a:ln w="25400">
              <a:noFill/>
            </a:ln>
          </c:spPr>
          <c:invertIfNegative val="0"/>
          <c:dLbls>
            <c:dLbl>
              <c:idx val="0"/>
              <c:layout>
                <c:manualLayout>
                  <c:x val="-1.9022111409629999E-17"/>
                  <c:y val="9.0714285714285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F-446A-BDB4-04B259D42F63}"/>
                </c:ext>
              </c:extLst>
            </c:dLbl>
            <c:dLbl>
              <c:idx val="1"/>
              <c:layout>
                <c:manualLayout>
                  <c:x val="0"/>
                  <c:y val="8.0634920634920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DF-446A-BDB4-04B259D42F63}"/>
                </c:ext>
              </c:extLst>
            </c:dLbl>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F_EN!$A$16:$B$19</c:f>
              <c:multiLvlStrCache>
                <c:ptCount val="4"/>
                <c:lvl>
                  <c:pt idx="0">
                    <c:v>Website</c:v>
                  </c:pt>
                  <c:pt idx="1">
                    <c:v>Student information system</c:v>
                  </c:pt>
                  <c:pt idx="2">
                    <c:v>Website</c:v>
                  </c:pt>
                  <c:pt idx="3">
                    <c:v>Student information system</c:v>
                  </c:pt>
                </c:lvl>
                <c:lvl>
                  <c:pt idx="0">
                    <c:v>Elementary schools</c:v>
                  </c:pt>
                  <c:pt idx="2">
                    <c:v>Secondary schools</c:v>
                  </c:pt>
                </c:lvl>
              </c:multiLvlStrCache>
            </c:multiLvlStrRef>
          </c:cat>
          <c:val>
            <c:numRef>
              <c:f>F_EN!$D$16:$D$19</c:f>
              <c:numCache>
                <c:formatCode>0%</c:formatCode>
                <c:ptCount val="4"/>
                <c:pt idx="0">
                  <c:v>0.96389629270656596</c:v>
                </c:pt>
                <c:pt idx="1">
                  <c:v>0.94475405863823592</c:v>
                </c:pt>
                <c:pt idx="2">
                  <c:v>0.99264164827078705</c:v>
                </c:pt>
                <c:pt idx="3">
                  <c:v>0.98896247240618096</c:v>
                </c:pt>
              </c:numCache>
            </c:numRef>
          </c:val>
          <c:extLst>
            <c:ext xmlns:c16="http://schemas.microsoft.com/office/drawing/2014/chart" uri="{C3380CC4-5D6E-409C-BE32-E72D297353CC}">
              <c16:uniqueId val="{00000005-26DF-446A-BDB4-04B259D42F63}"/>
            </c:ext>
          </c:extLst>
        </c:ser>
        <c:dLbls>
          <c:showLegendKey val="0"/>
          <c:showVal val="1"/>
          <c:showCatName val="0"/>
          <c:showSerName val="0"/>
          <c:showPercent val="0"/>
          <c:showBubbleSize val="0"/>
        </c:dLbls>
        <c:gapWidth val="57"/>
        <c:axId val="198902784"/>
        <c:axId val="197286080"/>
      </c:barChart>
      <c:catAx>
        <c:axId val="198902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7286080"/>
        <c:crosses val="autoZero"/>
        <c:auto val="1"/>
        <c:lblAlgn val="ctr"/>
        <c:lblOffset val="40"/>
        <c:noMultiLvlLbl val="0"/>
      </c:catAx>
      <c:valAx>
        <c:axId val="197286080"/>
        <c:scaling>
          <c:orientation val="minMax"/>
          <c:max val="1.25"/>
          <c:min val="0"/>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198902784"/>
        <c:crosses val="autoZero"/>
        <c:crossBetween val="between"/>
        <c:majorUnit val="0.25"/>
        <c:minorUnit val="0.01"/>
      </c:valAx>
      <c:spPr>
        <a:noFill/>
        <a:ln w="12700">
          <a:solidFill>
            <a:srgbClr val="969696"/>
          </a:solidFill>
          <a:prstDash val="solid"/>
        </a:ln>
      </c:spPr>
    </c:plotArea>
    <c:legend>
      <c:legendPos val="t"/>
      <c:layout>
        <c:manualLayout>
          <c:xMode val="edge"/>
          <c:yMode val="edge"/>
          <c:x val="4.5849673202614398E-2"/>
          <c:y val="0.156230158730159"/>
          <c:w val="0.9"/>
          <c:h val="6.9495736702072E-2"/>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a:t>Figure F3 </a:t>
            </a:r>
            <a:r>
              <a:rPr lang="cs-CZ" sz="800" b="1"/>
              <a:t>N</a:t>
            </a:r>
            <a:r>
              <a:rPr lang="en-US" sz="800" b="1"/>
              <a:t>umber of </a:t>
            </a:r>
            <a:r>
              <a:rPr lang="cs-CZ" sz="800" b="1"/>
              <a:t>laptops with internet access</a:t>
            </a:r>
            <a:r>
              <a:rPr lang="en-US" sz="800" b="1"/>
              <a:t> per 100 </a:t>
            </a:r>
            <a:r>
              <a:rPr lang="cs-CZ" sz="800" b="1"/>
              <a:t>s</a:t>
            </a:r>
            <a:r>
              <a:rPr lang="en-US" sz="800" b="1"/>
              <a:t>tudents</a:t>
            </a:r>
            <a:r>
              <a:rPr lang="cs-CZ" sz="800" b="1"/>
              <a:t> </a:t>
            </a:r>
            <a:r>
              <a:rPr lang="en-US" sz="800" b="1"/>
              <a:t>in the Czech </a:t>
            </a:r>
            <a:r>
              <a:rPr lang="cs-CZ" sz="800" b="1"/>
              <a:t>R</a:t>
            </a:r>
            <a:r>
              <a:rPr lang="en-US" sz="800" b="1"/>
              <a:t>epublic</a:t>
            </a:r>
          </a:p>
        </c:rich>
      </c:tx>
      <c:overlay val="1"/>
    </c:title>
    <c:autoTitleDeleted val="0"/>
    <c:plotArea>
      <c:layout>
        <c:manualLayout>
          <c:layoutTarget val="inner"/>
          <c:xMode val="edge"/>
          <c:yMode val="edge"/>
          <c:x val="2.5568121693121702E-2"/>
          <c:y val="0.16446071428571399"/>
          <c:w val="0.95490972222222203"/>
          <c:h val="0.552712301587301"/>
        </c:manualLayout>
      </c:layout>
      <c:barChart>
        <c:barDir val="col"/>
        <c:grouping val="clustered"/>
        <c:varyColors val="0"/>
        <c:ser>
          <c:idx val="4"/>
          <c:order val="0"/>
          <c:tx>
            <c:strRef>
              <c:f>F_EN!$B$23</c:f>
              <c:strCache>
                <c:ptCount val="1"/>
                <c:pt idx="0">
                  <c:v> 2015</c:v>
                </c:pt>
              </c:strCache>
            </c:strRef>
          </c:tx>
          <c:spPr>
            <a:solidFill>
              <a:srgbClr val="ABF3FF"/>
            </a:solidFill>
          </c:spPr>
          <c:invertIfNegative val="0"/>
          <c:dLbls>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F_EN!$B$24:$B$27</c:f>
              <c:numCache>
                <c:formatCode>#\ ##0.0</c:formatCode>
                <c:ptCount val="4"/>
                <c:pt idx="0">
                  <c:v>1.7855458917574007</c:v>
                </c:pt>
                <c:pt idx="1">
                  <c:v>2.5603440148651404</c:v>
                </c:pt>
                <c:pt idx="2">
                  <c:v>2.2026738464395135</c:v>
                </c:pt>
                <c:pt idx="3">
                  <c:v>3.0057290405874282</c:v>
                </c:pt>
              </c:numCache>
            </c:numRef>
          </c:val>
          <c:extLst>
            <c:ext xmlns:c16="http://schemas.microsoft.com/office/drawing/2014/chart" uri="{C3380CC4-5D6E-409C-BE32-E72D297353CC}">
              <c16:uniqueId val="{00000000-F615-4A0A-9936-4ACEA04643ED}"/>
            </c:ext>
          </c:extLst>
        </c:ser>
        <c:ser>
          <c:idx val="0"/>
          <c:order val="1"/>
          <c:tx>
            <c:strRef>
              <c:f>F_EN!$C$23</c:f>
              <c:strCache>
                <c:ptCount val="1"/>
                <c:pt idx="0">
                  <c:v> 2016</c:v>
                </c:pt>
              </c:strCache>
            </c:strRef>
          </c:tx>
          <c:spPr>
            <a:solidFill>
              <a:srgbClr val="47E5FF"/>
            </a:solidFill>
          </c:spPr>
          <c:invertIfNegative val="0"/>
          <c:dLbls>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F_EN!$C$24:$C$27</c:f>
              <c:numCache>
                <c:formatCode>#\ ##0.0</c:formatCode>
                <c:ptCount val="4"/>
                <c:pt idx="0">
                  <c:v>2.2000000000000002</c:v>
                </c:pt>
                <c:pt idx="1">
                  <c:v>3.1</c:v>
                </c:pt>
                <c:pt idx="2">
                  <c:v>2.5</c:v>
                </c:pt>
                <c:pt idx="3">
                  <c:v>3.4</c:v>
                </c:pt>
              </c:numCache>
            </c:numRef>
          </c:val>
          <c:extLst>
            <c:ext xmlns:c16="http://schemas.microsoft.com/office/drawing/2014/chart" uri="{C3380CC4-5D6E-409C-BE32-E72D297353CC}">
              <c16:uniqueId val="{00000001-F615-4A0A-9936-4ACEA04643ED}"/>
            </c:ext>
          </c:extLst>
        </c:ser>
        <c:ser>
          <c:idx val="2"/>
          <c:order val="2"/>
          <c:tx>
            <c:strRef>
              <c:f>F_EN!$D$23</c:f>
              <c:strCache>
                <c:ptCount val="1"/>
                <c:pt idx="0">
                  <c:v> 2017</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F_EN!$A$24:$A$27</c:f>
              <c:strCache>
                <c:ptCount val="4"/>
                <c:pt idx="0">
                  <c:v>Elementary schools first stage</c:v>
                </c:pt>
                <c:pt idx="1">
                  <c:v>Elementary schools second stage</c:v>
                </c:pt>
                <c:pt idx="2">
                  <c:v>Secondary schools</c:v>
                </c:pt>
                <c:pt idx="3">
                  <c:v>Higher professional schools</c:v>
                </c:pt>
              </c:strCache>
            </c:strRef>
          </c:cat>
          <c:val>
            <c:numRef>
              <c:f>F_EN!$D$24:$D$27</c:f>
              <c:numCache>
                <c:formatCode>#\ ##0.0</c:formatCode>
                <c:ptCount val="4"/>
                <c:pt idx="0">
                  <c:v>2.3633878120337188</c:v>
                </c:pt>
                <c:pt idx="1">
                  <c:v>3.2111047376066253</c:v>
                </c:pt>
                <c:pt idx="2">
                  <c:v>2.6405873770861259</c:v>
                </c:pt>
                <c:pt idx="3">
                  <c:v>3.9046653144016226</c:v>
                </c:pt>
              </c:numCache>
            </c:numRef>
          </c:val>
          <c:extLst>
            <c:ext xmlns:c16="http://schemas.microsoft.com/office/drawing/2014/chart" uri="{C3380CC4-5D6E-409C-BE32-E72D297353CC}">
              <c16:uniqueId val="{00000002-F615-4A0A-9936-4ACEA04643ED}"/>
            </c:ext>
          </c:extLst>
        </c:ser>
        <c:dLbls>
          <c:showLegendKey val="0"/>
          <c:showVal val="1"/>
          <c:showCatName val="0"/>
          <c:showSerName val="0"/>
          <c:showPercent val="0"/>
          <c:showBubbleSize val="0"/>
        </c:dLbls>
        <c:gapWidth val="40"/>
        <c:axId val="199427072"/>
        <c:axId val="185098240"/>
      </c:barChart>
      <c:catAx>
        <c:axId val="199427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5098240"/>
        <c:crosses val="autoZero"/>
        <c:auto val="1"/>
        <c:lblAlgn val="ctr"/>
        <c:lblOffset val="40"/>
        <c:noMultiLvlLbl val="0"/>
      </c:catAx>
      <c:valAx>
        <c:axId val="185098240"/>
        <c:scaling>
          <c:orientation val="minMax"/>
          <c:max val="5"/>
          <c:min val="0"/>
        </c:scaling>
        <c:delete val="0"/>
        <c:axPos val="l"/>
        <c:numFmt formatCode="#\ ##0.0" sourceLinked="1"/>
        <c:majorTickMark val="none"/>
        <c:minorTickMark val="none"/>
        <c:tickLblPos val="none"/>
        <c:spPr>
          <a:ln w="9525">
            <a:noFill/>
          </a:ln>
        </c:spPr>
        <c:crossAx val="199427072"/>
        <c:crosses val="autoZero"/>
        <c:crossBetween val="between"/>
      </c:valAx>
      <c:spPr>
        <a:noFill/>
        <a:ln w="12700">
          <a:solidFill>
            <a:srgbClr val="969696"/>
          </a:solidFill>
          <a:prstDash val="solid"/>
        </a:ln>
      </c:spPr>
    </c:plotArea>
    <c:legend>
      <c:legendPos val="t"/>
      <c:layout>
        <c:manualLayout>
          <c:xMode val="edge"/>
          <c:yMode val="edge"/>
          <c:x val="0.19543617724867701"/>
          <c:y val="0.196547619047619"/>
          <c:w val="0.64272552910052905"/>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1"/>
              <a:t>Figure F</a:t>
            </a:r>
            <a:r>
              <a:rPr lang="cs-CZ" sz="800" b="1"/>
              <a:t>4</a:t>
            </a:r>
            <a:r>
              <a:rPr lang="en-US" sz="800" b="1"/>
              <a:t> </a:t>
            </a:r>
            <a:r>
              <a:rPr lang="cs-CZ" sz="800" b="1"/>
              <a:t>N</a:t>
            </a:r>
            <a:r>
              <a:rPr lang="en-US" sz="800" b="1"/>
              <a:t>umber of tablets </a:t>
            </a:r>
            <a:endParaRPr lang="cs-CZ" sz="800" b="1"/>
          </a:p>
          <a:p>
            <a:pPr>
              <a:defRPr/>
            </a:pPr>
            <a:r>
              <a:rPr lang="en-US" sz="800" b="1"/>
              <a:t>per 100 </a:t>
            </a:r>
            <a:r>
              <a:rPr lang="cs-CZ" sz="800" b="1"/>
              <a:t>s</a:t>
            </a:r>
            <a:r>
              <a:rPr lang="en-US" sz="800" b="1"/>
              <a:t>tudents</a:t>
            </a:r>
            <a:r>
              <a:rPr lang="cs-CZ" sz="800" b="1"/>
              <a:t> i</a:t>
            </a:r>
            <a:r>
              <a:rPr lang="en-US" sz="800" b="1"/>
              <a:t>n the Czech </a:t>
            </a:r>
            <a:r>
              <a:rPr lang="cs-CZ" sz="800" b="1"/>
              <a:t>R</a:t>
            </a:r>
            <a:r>
              <a:rPr lang="en-US" sz="800" b="1"/>
              <a:t>epublic</a:t>
            </a:r>
          </a:p>
        </c:rich>
      </c:tx>
      <c:overlay val="1"/>
    </c:title>
    <c:autoTitleDeleted val="0"/>
    <c:plotArea>
      <c:layout>
        <c:manualLayout>
          <c:layoutTarget val="inner"/>
          <c:xMode val="edge"/>
          <c:yMode val="edge"/>
          <c:x val="2.5568121693121702E-2"/>
          <c:y val="0.16446071428571399"/>
          <c:w val="0.95490972222222203"/>
          <c:h val="0.552712301587301"/>
        </c:manualLayout>
      </c:layout>
      <c:barChart>
        <c:barDir val="col"/>
        <c:grouping val="clustered"/>
        <c:varyColors val="0"/>
        <c:ser>
          <c:idx val="4"/>
          <c:order val="0"/>
          <c:tx>
            <c:strRef>
              <c:f>F_EN!$B$35</c:f>
              <c:strCache>
                <c:ptCount val="1"/>
                <c:pt idx="0">
                  <c:v> 2015</c:v>
                </c:pt>
              </c:strCache>
            </c:strRef>
          </c:tx>
          <c:spPr>
            <a:solidFill>
              <a:srgbClr val="ABF3FF"/>
            </a:solidFill>
          </c:spPr>
          <c:invertIfNegative val="0"/>
          <c:dLbls>
            <c:dLbl>
              <c:idx val="3"/>
              <c:layout>
                <c:manualLayout>
                  <c:x val="0"/>
                  <c:y val="1.583571428571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64-4D95-954A-B2D38F1C2439}"/>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F_EN!$B$36:$B$39</c:f>
              <c:numCache>
                <c:formatCode>#\ ##0.0</c:formatCode>
                <c:ptCount val="4"/>
                <c:pt idx="0">
                  <c:v>0.92305795135539004</c:v>
                </c:pt>
                <c:pt idx="1">
                  <c:v>1.3794655483345144</c:v>
                </c:pt>
                <c:pt idx="2">
                  <c:v>0.92516943644972616</c:v>
                </c:pt>
                <c:pt idx="3">
                  <c:v>0.46800613249414991</c:v>
                </c:pt>
              </c:numCache>
            </c:numRef>
          </c:val>
          <c:extLst>
            <c:ext xmlns:c16="http://schemas.microsoft.com/office/drawing/2014/chart" uri="{C3380CC4-5D6E-409C-BE32-E72D297353CC}">
              <c16:uniqueId val="{00000001-B964-4D95-954A-B2D38F1C2439}"/>
            </c:ext>
          </c:extLst>
        </c:ser>
        <c:ser>
          <c:idx val="0"/>
          <c:order val="1"/>
          <c:tx>
            <c:strRef>
              <c:f>F_EN!$C$35</c:f>
              <c:strCache>
                <c:ptCount val="1"/>
                <c:pt idx="0">
                  <c:v> 2016</c:v>
                </c:pt>
              </c:strCache>
            </c:strRef>
          </c:tx>
          <c:spPr>
            <a:solidFill>
              <a:srgbClr val="47E5FF"/>
            </a:solidFill>
          </c:spPr>
          <c:invertIfNegative val="0"/>
          <c:dLbls>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F_EN!$C$36:$C$39</c:f>
              <c:numCache>
                <c:formatCode>#\ ##0.0</c:formatCode>
                <c:ptCount val="4"/>
                <c:pt idx="0">
                  <c:v>2.1</c:v>
                </c:pt>
                <c:pt idx="1">
                  <c:v>3.5</c:v>
                </c:pt>
                <c:pt idx="2">
                  <c:v>1.6</c:v>
                </c:pt>
                <c:pt idx="3">
                  <c:v>1.1000000000000001</c:v>
                </c:pt>
              </c:numCache>
            </c:numRef>
          </c:val>
          <c:extLst>
            <c:ext xmlns:c16="http://schemas.microsoft.com/office/drawing/2014/chart" uri="{C3380CC4-5D6E-409C-BE32-E72D297353CC}">
              <c16:uniqueId val="{00000002-B964-4D95-954A-B2D38F1C2439}"/>
            </c:ext>
          </c:extLst>
        </c:ser>
        <c:ser>
          <c:idx val="2"/>
          <c:order val="2"/>
          <c:tx>
            <c:strRef>
              <c:f>F_EN!$D$35</c:f>
              <c:strCache>
                <c:ptCount val="1"/>
                <c:pt idx="0">
                  <c:v> 2017</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F_EN!$A$36:$A$39</c:f>
              <c:strCache>
                <c:ptCount val="4"/>
                <c:pt idx="0">
                  <c:v>Elementary schools first stage</c:v>
                </c:pt>
                <c:pt idx="1">
                  <c:v>Elementary schools second stage</c:v>
                </c:pt>
                <c:pt idx="2">
                  <c:v>Secondary schools</c:v>
                </c:pt>
                <c:pt idx="3">
                  <c:v>Higher professional schools</c:v>
                </c:pt>
              </c:strCache>
            </c:strRef>
          </c:cat>
          <c:val>
            <c:numRef>
              <c:f>F_EN!$D$36:$D$39</c:f>
              <c:numCache>
                <c:formatCode>#\ ##0.0</c:formatCode>
                <c:ptCount val="4"/>
                <c:pt idx="0">
                  <c:v>2.4441591873531134</c:v>
                </c:pt>
                <c:pt idx="1">
                  <c:v>3.7256463161619706</c:v>
                </c:pt>
                <c:pt idx="2">
                  <c:v>1.900198085568221</c:v>
                </c:pt>
                <c:pt idx="3">
                  <c:v>1.069134550371873</c:v>
                </c:pt>
              </c:numCache>
            </c:numRef>
          </c:val>
          <c:extLst>
            <c:ext xmlns:c16="http://schemas.microsoft.com/office/drawing/2014/chart" uri="{C3380CC4-5D6E-409C-BE32-E72D297353CC}">
              <c16:uniqueId val="{00000003-B964-4D95-954A-B2D38F1C2439}"/>
            </c:ext>
          </c:extLst>
        </c:ser>
        <c:dLbls>
          <c:showLegendKey val="0"/>
          <c:showVal val="1"/>
          <c:showCatName val="0"/>
          <c:showSerName val="0"/>
          <c:showPercent val="0"/>
          <c:showBubbleSize val="0"/>
        </c:dLbls>
        <c:gapWidth val="40"/>
        <c:axId val="199340032"/>
        <c:axId val="185099968"/>
      </c:barChart>
      <c:catAx>
        <c:axId val="199340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85099968"/>
        <c:crosses val="autoZero"/>
        <c:auto val="1"/>
        <c:lblAlgn val="ctr"/>
        <c:lblOffset val="40"/>
        <c:noMultiLvlLbl val="0"/>
      </c:catAx>
      <c:valAx>
        <c:axId val="185099968"/>
        <c:scaling>
          <c:orientation val="minMax"/>
          <c:max val="5"/>
          <c:min val="0"/>
        </c:scaling>
        <c:delete val="0"/>
        <c:axPos val="l"/>
        <c:numFmt formatCode="#\ ##0.0" sourceLinked="1"/>
        <c:majorTickMark val="none"/>
        <c:minorTickMark val="none"/>
        <c:tickLblPos val="none"/>
        <c:spPr>
          <a:ln w="9525">
            <a:noFill/>
          </a:ln>
        </c:spPr>
        <c:crossAx val="199340032"/>
        <c:crosses val="autoZero"/>
        <c:crossBetween val="between"/>
      </c:valAx>
      <c:spPr>
        <a:noFill/>
        <a:ln w="12700">
          <a:solidFill>
            <a:srgbClr val="969696"/>
          </a:solidFill>
          <a:prstDash val="solid"/>
        </a:ln>
      </c:spPr>
    </c:plotArea>
    <c:legend>
      <c:legendPos val="t"/>
      <c:layout>
        <c:manualLayout>
          <c:xMode val="edge"/>
          <c:yMode val="edge"/>
          <c:x val="0.19543617724867701"/>
          <c:y val="0.196547619047619"/>
          <c:w val="0.64272552910052905"/>
          <c:h val="7.4817063492063504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F5 Computers available to students</a:t>
            </a:r>
            <a:r>
              <a:rPr lang="cs-CZ" sz="800" b="1" baseline="0"/>
              <a:t> in Czech schools by type of device; 2017 (%)</a:t>
            </a:r>
            <a:endParaRPr lang="en-US" sz="800" b="1"/>
          </a:p>
        </c:rich>
      </c:tx>
      <c:layout>
        <c:manualLayout>
          <c:xMode val="edge"/>
          <c:yMode val="edge"/>
          <c:x val="0.134652274425962"/>
          <c:y val="1.8281941997899499E-2"/>
        </c:manualLayout>
      </c:layout>
      <c:overlay val="1"/>
    </c:title>
    <c:autoTitleDeleted val="0"/>
    <c:plotArea>
      <c:layout>
        <c:manualLayout>
          <c:layoutTarget val="inner"/>
          <c:xMode val="edge"/>
          <c:yMode val="edge"/>
          <c:x val="0.27219080687830699"/>
          <c:y val="0.26234185185185199"/>
          <c:w val="0.69210791826309104"/>
          <c:h val="0.56832518518518504"/>
        </c:manualLayout>
      </c:layout>
      <c:barChart>
        <c:barDir val="bar"/>
        <c:grouping val="stacked"/>
        <c:varyColors val="0"/>
        <c:ser>
          <c:idx val="0"/>
          <c:order val="0"/>
          <c:tx>
            <c:strRef>
              <c:f>F_EN!$B$43</c:f>
              <c:strCache>
                <c:ptCount val="1"/>
                <c:pt idx="0">
                  <c:v> Desktop</c:v>
                </c:pt>
              </c:strCache>
            </c:strRef>
          </c:tx>
          <c:spPr>
            <a:solidFill>
              <a:srgbClr val="009BB4"/>
            </a:solidFill>
          </c:spPr>
          <c:invertIfNegative val="0"/>
          <c:dLbls>
            <c:numFmt formatCode="0%" sourceLinked="0"/>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F_EN!$A$44:$A$46</c:f>
              <c:strCache>
                <c:ptCount val="3"/>
                <c:pt idx="0">
                  <c:v>Secondary schools</c:v>
                </c:pt>
                <c:pt idx="1">
                  <c:v>Elementary schools second stage</c:v>
                </c:pt>
                <c:pt idx="2">
                  <c:v>Elementary schools first stage</c:v>
                </c:pt>
              </c:strCache>
            </c:strRef>
          </c:cat>
          <c:val>
            <c:numRef>
              <c:f>F_EN!$B$44:$B$46</c:f>
              <c:numCache>
                <c:formatCode>0%</c:formatCode>
                <c:ptCount val="3"/>
                <c:pt idx="0">
                  <c:v>0.81862373498085883</c:v>
                </c:pt>
                <c:pt idx="1">
                  <c:v>0.75746358012372772</c:v>
                </c:pt>
                <c:pt idx="2">
                  <c:v>0.73529017942537978</c:v>
                </c:pt>
              </c:numCache>
            </c:numRef>
          </c:val>
          <c:extLst>
            <c:ext xmlns:c16="http://schemas.microsoft.com/office/drawing/2014/chart" uri="{C3380CC4-5D6E-409C-BE32-E72D297353CC}">
              <c16:uniqueId val="{00000000-7384-42E7-8CDB-4DC4D0762316}"/>
            </c:ext>
          </c:extLst>
        </c:ser>
        <c:ser>
          <c:idx val="2"/>
          <c:order val="1"/>
          <c:tx>
            <c:strRef>
              <c:f>F_EN!$C$43</c:f>
              <c:strCache>
                <c:ptCount val="1"/>
                <c:pt idx="0">
                  <c:v> Portable</c:v>
                </c:pt>
              </c:strCache>
            </c:strRef>
          </c:tx>
          <c:spPr>
            <a:solidFill>
              <a:srgbClr val="47E5FF"/>
            </a:solidFill>
          </c:spPr>
          <c:invertIfNegative val="0"/>
          <c:dLbls>
            <c:numFmt formatCode="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F_EN!$A$44:$A$46</c:f>
              <c:strCache>
                <c:ptCount val="3"/>
                <c:pt idx="0">
                  <c:v>Secondary schools</c:v>
                </c:pt>
                <c:pt idx="1">
                  <c:v>Elementary schools second stage</c:v>
                </c:pt>
                <c:pt idx="2">
                  <c:v>Elementary schools first stage</c:v>
                </c:pt>
              </c:strCache>
            </c:strRef>
          </c:cat>
          <c:val>
            <c:numRef>
              <c:f>F_EN!$C$44:$C$46</c:f>
              <c:numCache>
                <c:formatCode>0%</c:formatCode>
                <c:ptCount val="3"/>
                <c:pt idx="0">
                  <c:v>0.10547511655232535</c:v>
                </c:pt>
                <c:pt idx="1">
                  <c:v>0.11227299940131712</c:v>
                </c:pt>
                <c:pt idx="2">
                  <c:v>0.13013122154634837</c:v>
                </c:pt>
              </c:numCache>
            </c:numRef>
          </c:val>
          <c:extLst>
            <c:ext xmlns:c16="http://schemas.microsoft.com/office/drawing/2014/chart" uri="{C3380CC4-5D6E-409C-BE32-E72D297353CC}">
              <c16:uniqueId val="{00000001-7384-42E7-8CDB-4DC4D0762316}"/>
            </c:ext>
          </c:extLst>
        </c:ser>
        <c:ser>
          <c:idx val="1"/>
          <c:order val="2"/>
          <c:tx>
            <c:strRef>
              <c:f>F_EN!$D$43</c:f>
              <c:strCache>
                <c:ptCount val="1"/>
                <c:pt idx="0">
                  <c:v> Tablet</c:v>
                </c:pt>
              </c:strCache>
            </c:strRef>
          </c:tx>
          <c:spPr>
            <a:solidFill>
              <a:srgbClr val="BDF6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F_EN!$A$44:$A$46</c:f>
              <c:strCache>
                <c:ptCount val="3"/>
                <c:pt idx="0">
                  <c:v>Secondary schools</c:v>
                </c:pt>
                <c:pt idx="1">
                  <c:v>Elementary schools second stage</c:v>
                </c:pt>
                <c:pt idx="2">
                  <c:v>Elementary schools first stage</c:v>
                </c:pt>
              </c:strCache>
            </c:strRef>
          </c:cat>
          <c:val>
            <c:numRef>
              <c:f>F_EN!$D$44:$D$46</c:f>
              <c:numCache>
                <c:formatCode>0%</c:formatCode>
                <c:ptCount val="3"/>
                <c:pt idx="0">
                  <c:v>7.590114846681574E-2</c:v>
                </c:pt>
                <c:pt idx="1">
                  <c:v>0.13026342047495509</c:v>
                </c:pt>
                <c:pt idx="2">
                  <c:v>0.13457859902827193</c:v>
                </c:pt>
              </c:numCache>
            </c:numRef>
          </c:val>
          <c:extLst>
            <c:ext xmlns:c16="http://schemas.microsoft.com/office/drawing/2014/chart" uri="{C3380CC4-5D6E-409C-BE32-E72D297353CC}">
              <c16:uniqueId val="{00000002-7384-42E7-8CDB-4DC4D0762316}"/>
            </c:ext>
          </c:extLst>
        </c:ser>
        <c:dLbls>
          <c:showLegendKey val="0"/>
          <c:showVal val="0"/>
          <c:showCatName val="0"/>
          <c:showSerName val="0"/>
          <c:showPercent val="0"/>
          <c:showBubbleSize val="0"/>
        </c:dLbls>
        <c:gapWidth val="50"/>
        <c:overlap val="100"/>
        <c:axId val="199426560"/>
        <c:axId val="185101696"/>
      </c:barChart>
      <c:catAx>
        <c:axId val="199426560"/>
        <c:scaling>
          <c:orientation val="minMax"/>
        </c:scaling>
        <c:delete val="0"/>
        <c:axPos val="l"/>
        <c:numFmt formatCode="General" sourceLinked="1"/>
        <c:majorTickMark val="out"/>
        <c:minorTickMark val="none"/>
        <c:tickLblPos val="nextTo"/>
        <c:spPr>
          <a:ln w="3175">
            <a:solidFill>
              <a:schemeClr val="tx1"/>
            </a:solidFill>
          </a:ln>
        </c:spPr>
        <c:crossAx val="185101696"/>
        <c:crosses val="autoZero"/>
        <c:auto val="1"/>
        <c:lblAlgn val="ctr"/>
        <c:lblOffset val="100"/>
        <c:noMultiLvlLbl val="0"/>
      </c:catAx>
      <c:valAx>
        <c:axId val="185101696"/>
        <c:scaling>
          <c:orientation val="minMax"/>
          <c:max val="1"/>
          <c:min val="0"/>
        </c:scaling>
        <c:delete val="0"/>
        <c:axPos val="b"/>
        <c:numFmt formatCode="0%" sourceLinked="1"/>
        <c:majorTickMark val="none"/>
        <c:minorTickMark val="none"/>
        <c:tickLblPos val="none"/>
        <c:crossAx val="199426560"/>
        <c:crosses val="autoZero"/>
        <c:crossBetween val="between"/>
        <c:majorUnit val="0.25"/>
        <c:minorUnit val="0.05"/>
      </c:valAx>
      <c:spPr>
        <a:ln w="12700">
          <a:solidFill>
            <a:schemeClr val="bg1">
              <a:lumMod val="65000"/>
            </a:schemeClr>
          </a:solidFill>
        </a:ln>
      </c:spPr>
    </c:plotArea>
    <c:legend>
      <c:legendPos val="t"/>
      <c:layout>
        <c:manualLayout>
          <c:xMode val="edge"/>
          <c:yMode val="edge"/>
          <c:x val="0.33558630952381002"/>
          <c:y val="0.156212222222222"/>
          <c:w val="0.59364513888888903"/>
          <c:h val="6.9829259259259299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Arial" pitchFamily="34" charset="0"/>
                <a:ea typeface="+mn-ea"/>
                <a:cs typeface="Arial" pitchFamily="34" charset="0"/>
              </a:defRPr>
            </a:pPr>
            <a:r>
              <a:rPr lang="cs-CZ" sz="800" b="1" i="0" baseline="0">
                <a:effectLst/>
              </a:rPr>
              <a:t>Figure F6 Computers available to students in Czech schools by the age of devices; 2017 (%)</a:t>
            </a:r>
            <a:endParaRPr lang="en-US" sz="800"/>
          </a:p>
        </c:rich>
      </c:tx>
      <c:layout>
        <c:manualLayout>
          <c:xMode val="edge"/>
          <c:yMode val="edge"/>
          <c:x val="0.140815453384419"/>
          <c:y val="1.6798941798941799E-2"/>
        </c:manualLayout>
      </c:layout>
      <c:overlay val="1"/>
    </c:title>
    <c:autoTitleDeleted val="0"/>
    <c:plotArea>
      <c:layout>
        <c:manualLayout>
          <c:layoutTarget val="inner"/>
          <c:xMode val="edge"/>
          <c:yMode val="edge"/>
          <c:x val="4.0354918151528398E-2"/>
          <c:y val="0.25919223985890699"/>
          <c:w val="0.90461366538952803"/>
          <c:h val="0.52125074074074096"/>
        </c:manualLayout>
      </c:layout>
      <c:barChart>
        <c:barDir val="col"/>
        <c:grouping val="percentStacked"/>
        <c:varyColors val="0"/>
        <c:ser>
          <c:idx val="0"/>
          <c:order val="0"/>
          <c:tx>
            <c:strRef>
              <c:f>F_EN!$B$51</c:f>
              <c:strCache>
                <c:ptCount val="1"/>
                <c:pt idx="0">
                  <c:v> less than 2 years</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F_EN!$A$52:$A$55</c:f>
              <c:strCache>
                <c:ptCount val="4"/>
                <c:pt idx="0">
                  <c:v> Computers total</c:v>
                </c:pt>
                <c:pt idx="1">
                  <c:v>  Desktops</c:v>
                </c:pt>
                <c:pt idx="2">
                  <c:v>  Laptops</c:v>
                </c:pt>
                <c:pt idx="3">
                  <c:v>  Tablets</c:v>
                </c:pt>
              </c:strCache>
            </c:strRef>
          </c:cat>
          <c:val>
            <c:numRef>
              <c:f>F_EN!$B$52:$B$55</c:f>
              <c:numCache>
                <c:formatCode>0%</c:formatCode>
                <c:ptCount val="4"/>
                <c:pt idx="0">
                  <c:v>0.16953866017778199</c:v>
                </c:pt>
                <c:pt idx="1">
                  <c:v>0.13931623931623899</c:v>
                </c:pt>
                <c:pt idx="2">
                  <c:v>0.20181100950331701</c:v>
                </c:pt>
                <c:pt idx="3">
                  <c:v>0.33716305788776002</c:v>
                </c:pt>
              </c:numCache>
            </c:numRef>
          </c:val>
          <c:extLst>
            <c:ext xmlns:c16="http://schemas.microsoft.com/office/drawing/2014/chart" uri="{C3380CC4-5D6E-409C-BE32-E72D297353CC}">
              <c16:uniqueId val="{00000000-E3B6-461A-ADC4-D91EAD83F41B}"/>
            </c:ext>
          </c:extLst>
        </c:ser>
        <c:ser>
          <c:idx val="1"/>
          <c:order val="1"/>
          <c:tx>
            <c:strRef>
              <c:f>F_EN!$C$51</c:f>
              <c:strCache>
                <c:ptCount val="1"/>
                <c:pt idx="0">
                  <c:v> 3-9 years</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F_EN!$A$52:$A$55</c:f>
              <c:strCache>
                <c:ptCount val="4"/>
                <c:pt idx="0">
                  <c:v> Computers total</c:v>
                </c:pt>
                <c:pt idx="1">
                  <c:v>  Desktops</c:v>
                </c:pt>
                <c:pt idx="2">
                  <c:v>  Laptops</c:v>
                </c:pt>
                <c:pt idx="3">
                  <c:v>  Tablets</c:v>
                </c:pt>
              </c:strCache>
            </c:strRef>
          </c:cat>
          <c:val>
            <c:numRef>
              <c:f>F_EN!$C$52:$C$55</c:f>
              <c:numCache>
                <c:formatCode>0%</c:formatCode>
                <c:ptCount val="4"/>
                <c:pt idx="0">
                  <c:v>0.76559414166803597</c:v>
                </c:pt>
                <c:pt idx="1">
                  <c:v>0.77894922071392703</c:v>
                </c:pt>
                <c:pt idx="2">
                  <c:v>0.77655250732173797</c:v>
                </c:pt>
                <c:pt idx="3">
                  <c:v>0.66283694211223998</c:v>
                </c:pt>
              </c:numCache>
            </c:numRef>
          </c:val>
          <c:extLst>
            <c:ext xmlns:c16="http://schemas.microsoft.com/office/drawing/2014/chart" uri="{C3380CC4-5D6E-409C-BE32-E72D297353CC}">
              <c16:uniqueId val="{00000001-E3B6-461A-ADC4-D91EAD83F41B}"/>
            </c:ext>
          </c:extLst>
        </c:ser>
        <c:ser>
          <c:idx val="2"/>
          <c:order val="2"/>
          <c:tx>
            <c:strRef>
              <c:f>F_EN!$D$51</c:f>
              <c:strCache>
                <c:ptCount val="1"/>
                <c:pt idx="0">
                  <c:v> 10 years and more</c:v>
                </c:pt>
              </c:strCache>
            </c:strRef>
          </c:tx>
          <c:spPr>
            <a:solidFill>
              <a:srgbClr val="ABF3FF"/>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E3B6-461A-ADC4-D91EAD83F41B}"/>
                </c:ext>
              </c:extLst>
            </c:dLbl>
            <c:dLbl>
              <c:idx val="3"/>
              <c:delete val="1"/>
              <c:extLst>
                <c:ext xmlns:c15="http://schemas.microsoft.com/office/drawing/2012/chart" uri="{CE6537A1-D6FC-4f65-9D91-7224C49458BB}"/>
                <c:ext xmlns:c16="http://schemas.microsoft.com/office/drawing/2014/chart" uri="{C3380CC4-5D6E-409C-BE32-E72D297353CC}">
                  <c16:uniqueId val="{00000003-E3B6-461A-ADC4-D91EAD83F41B}"/>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F_EN!$A$52:$A$55</c:f>
              <c:strCache>
                <c:ptCount val="4"/>
                <c:pt idx="0">
                  <c:v> Computers total</c:v>
                </c:pt>
                <c:pt idx="1">
                  <c:v>  Desktops</c:v>
                </c:pt>
                <c:pt idx="2">
                  <c:v>  Laptops</c:v>
                </c:pt>
                <c:pt idx="3">
                  <c:v>  Tablets</c:v>
                </c:pt>
              </c:strCache>
            </c:strRef>
          </c:cat>
          <c:val>
            <c:numRef>
              <c:f>F_EN!$D$52:$D$55</c:f>
              <c:numCache>
                <c:formatCode>0%</c:formatCode>
                <c:ptCount val="4"/>
                <c:pt idx="0">
                  <c:v>6.4867198154182307E-2</c:v>
                </c:pt>
                <c:pt idx="1">
                  <c:v>8.1734539969834097E-2</c:v>
                </c:pt>
                <c:pt idx="2">
                  <c:v>2.1636483174944699E-2</c:v>
                </c:pt>
                <c:pt idx="3">
                  <c:v>0</c:v>
                </c:pt>
              </c:numCache>
            </c:numRef>
          </c:val>
          <c:extLst>
            <c:ext xmlns:c16="http://schemas.microsoft.com/office/drawing/2014/chart" uri="{C3380CC4-5D6E-409C-BE32-E72D297353CC}">
              <c16:uniqueId val="{00000004-E3B6-461A-ADC4-D91EAD83F41B}"/>
            </c:ext>
          </c:extLst>
        </c:ser>
        <c:dLbls>
          <c:showLegendKey val="0"/>
          <c:showVal val="0"/>
          <c:showCatName val="0"/>
          <c:showSerName val="0"/>
          <c:showPercent val="0"/>
          <c:showBubbleSize val="0"/>
        </c:dLbls>
        <c:gapWidth val="70"/>
        <c:overlap val="100"/>
        <c:axId val="199429120"/>
        <c:axId val="185102848"/>
      </c:barChart>
      <c:catAx>
        <c:axId val="199429120"/>
        <c:scaling>
          <c:orientation val="minMax"/>
        </c:scaling>
        <c:delete val="0"/>
        <c:axPos val="b"/>
        <c:numFmt formatCode="General" sourceLinked="1"/>
        <c:majorTickMark val="out"/>
        <c:minorTickMark val="none"/>
        <c:tickLblPos val="nextTo"/>
        <c:spPr>
          <a:ln w="3175">
            <a:solidFill>
              <a:schemeClr val="tx1"/>
            </a:solidFill>
          </a:ln>
        </c:spPr>
        <c:crossAx val="185102848"/>
        <c:crosses val="autoZero"/>
        <c:auto val="1"/>
        <c:lblAlgn val="ctr"/>
        <c:lblOffset val="100"/>
        <c:noMultiLvlLbl val="0"/>
      </c:catAx>
      <c:valAx>
        <c:axId val="185102848"/>
        <c:scaling>
          <c:orientation val="minMax"/>
          <c:max val="1"/>
          <c:min val="0"/>
        </c:scaling>
        <c:delete val="1"/>
        <c:axPos val="l"/>
        <c:majorGridlines>
          <c:spPr>
            <a:ln>
              <a:noFill/>
              <a:prstDash val="dash"/>
            </a:ln>
          </c:spPr>
        </c:majorGridlines>
        <c:numFmt formatCode="0%" sourceLinked="1"/>
        <c:majorTickMark val="out"/>
        <c:minorTickMark val="none"/>
        <c:tickLblPos val="none"/>
        <c:crossAx val="199429120"/>
        <c:crosses val="autoZero"/>
        <c:crossBetween val="between"/>
        <c:majorUnit val="0.2"/>
        <c:minorUnit val="0.01"/>
      </c:valAx>
      <c:spPr>
        <a:ln w="12700">
          <a:solidFill>
            <a:srgbClr val="A6A6A6"/>
          </a:solidFill>
        </a:ln>
      </c:spPr>
    </c:plotArea>
    <c:legend>
      <c:legendPos val="t"/>
      <c:layout>
        <c:manualLayout>
          <c:xMode val="edge"/>
          <c:yMode val="edge"/>
          <c:x val="6.3472860791826305E-2"/>
          <c:y val="0.151125661375661"/>
          <c:w val="0.85931353767560703"/>
          <c:h val="8.1173280423280397E-2"/>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7283919753086399"/>
          <c:w val="0.90411750841750804"/>
          <c:h val="0.53370401234567899"/>
        </c:manualLayout>
      </c:layout>
      <c:barChart>
        <c:barDir val="col"/>
        <c:grouping val="percentStacked"/>
        <c:varyColors val="0"/>
        <c:ser>
          <c:idx val="0"/>
          <c:order val="0"/>
          <c:tx>
            <c:strRef>
              <c:f>F_EN!$B$63</c:f>
              <c:strCache>
                <c:ptCount val="1"/>
                <c:pt idx="0">
                  <c:v> Have access to the internet and use it</c:v>
                </c:pt>
              </c:strCache>
            </c:strRef>
          </c:tx>
          <c:spPr>
            <a:solidFill>
              <a:srgbClr val="009BB4"/>
            </a:solidFill>
          </c:spPr>
          <c:invertIfNegative val="0"/>
          <c:dPt>
            <c:idx val="6"/>
            <c:invertIfNegative val="0"/>
            <c:bubble3D val="0"/>
            <c:spPr>
              <a:solidFill>
                <a:srgbClr val="009BB4"/>
              </a:solidFill>
              <a:ln w="9525">
                <a:solidFill>
                  <a:srgbClr val="C00000"/>
                </a:solidFill>
              </a:ln>
            </c:spPr>
            <c:extLst>
              <c:ext xmlns:c16="http://schemas.microsoft.com/office/drawing/2014/chart" uri="{C3380CC4-5D6E-409C-BE32-E72D297353CC}">
                <c16:uniqueId val="{00000001-BAF2-4A10-BF05-0F7DD120B834}"/>
              </c:ext>
            </c:extLst>
          </c:dPt>
          <c:dPt>
            <c:idx val="10"/>
            <c:invertIfNegative val="0"/>
            <c:bubble3D val="0"/>
            <c:spPr>
              <a:solidFill>
                <a:srgbClr val="009BB4"/>
              </a:solidFill>
              <a:ln w="9525">
                <a:solidFill>
                  <a:srgbClr val="C00000"/>
                </a:solidFill>
              </a:ln>
            </c:spPr>
            <c:extLst>
              <c:ext xmlns:c16="http://schemas.microsoft.com/office/drawing/2014/chart" uri="{C3380CC4-5D6E-409C-BE32-E72D297353CC}">
                <c16:uniqueId val="{00000003-BAF2-4A10-BF05-0F7DD120B834}"/>
              </c:ext>
            </c:extLst>
          </c:dPt>
          <c:dPt>
            <c:idx val="13"/>
            <c:invertIfNegative val="0"/>
            <c:bubble3D val="0"/>
            <c:extLst>
              <c:ext xmlns:c16="http://schemas.microsoft.com/office/drawing/2014/chart" uri="{C3380CC4-5D6E-409C-BE32-E72D297353CC}">
                <c16:uniqueId val="{00000004-BAF2-4A10-BF05-0F7DD120B834}"/>
              </c:ext>
            </c:extLst>
          </c:dPt>
          <c:dPt>
            <c:idx val="28"/>
            <c:invertIfNegative val="0"/>
            <c:bubble3D val="0"/>
            <c:extLst>
              <c:ext xmlns:c16="http://schemas.microsoft.com/office/drawing/2014/chart" uri="{C3380CC4-5D6E-409C-BE32-E72D297353CC}">
                <c16:uniqueId val="{00000005-BAF2-4A10-BF05-0F7DD120B834}"/>
              </c:ext>
            </c:extLst>
          </c:dPt>
          <c:dLbls>
            <c:dLbl>
              <c:idx val="27"/>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6-BAF2-4A10-BF05-0F7DD120B834}"/>
                </c:ext>
              </c:extLst>
            </c:dLbl>
            <c:dLbl>
              <c:idx val="28"/>
              <c:numFmt formatCode="0%" sourceLinked="0"/>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5-BAF2-4A10-BF05-0F7DD120B834}"/>
                </c:ext>
              </c:extLst>
            </c:dLbl>
            <c:numFmt formatCode="0%" sourceLinked="0"/>
            <c:spPr>
              <a:noFill/>
              <a:ln>
                <a:noFill/>
              </a:ln>
              <a:effectLst/>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F_EN!$B$64:$B$88</c:f>
              <c:numCache>
                <c:formatCode>0.0%</c:formatCode>
                <c:ptCount val="25"/>
                <c:pt idx="0">
                  <c:v>0.90110331852583403</c:v>
                </c:pt>
                <c:pt idx="1">
                  <c:v>0.86282694443380703</c:v>
                </c:pt>
                <c:pt idx="2">
                  <c:v>0.82068165662763304</c:v>
                </c:pt>
                <c:pt idx="3">
                  <c:v>0.80597365945437505</c:v>
                </c:pt>
                <c:pt idx="4">
                  <c:v>0.79679018865710205</c:v>
                </c:pt>
                <c:pt idx="5">
                  <c:v>0.78200714947702898</c:v>
                </c:pt>
                <c:pt idx="6">
                  <c:v>0.77626877265665395</c:v>
                </c:pt>
                <c:pt idx="7">
                  <c:v>0.75321768411609002</c:v>
                </c:pt>
                <c:pt idx="8">
                  <c:v>0.73583939113040897</c:v>
                </c:pt>
                <c:pt idx="9">
                  <c:v>0.72220815396302895</c:v>
                </c:pt>
                <c:pt idx="10">
                  <c:v>0.71399589575032496</c:v>
                </c:pt>
                <c:pt idx="11">
                  <c:v>0.70998003992016001</c:v>
                </c:pt>
                <c:pt idx="12">
                  <c:v>0.70140149589717504</c:v>
                </c:pt>
                <c:pt idx="13">
                  <c:v>0.69198243412798</c:v>
                </c:pt>
                <c:pt idx="14">
                  <c:v>0.684941878590834</c:v>
                </c:pt>
                <c:pt idx="15">
                  <c:v>0.67960793441435896</c:v>
                </c:pt>
                <c:pt idx="16">
                  <c:v>0.65154980504911897</c:v>
                </c:pt>
                <c:pt idx="17">
                  <c:v>0.65098523452581802</c:v>
                </c:pt>
                <c:pt idx="18">
                  <c:v>0.65005763803315197</c:v>
                </c:pt>
                <c:pt idx="19">
                  <c:v>0.60080113709781602</c:v>
                </c:pt>
                <c:pt idx="20">
                  <c:v>0.580524414317107</c:v>
                </c:pt>
                <c:pt idx="21">
                  <c:v>0.57761453701913801</c:v>
                </c:pt>
                <c:pt idx="22">
                  <c:v>0.57172651878184799</c:v>
                </c:pt>
                <c:pt idx="23">
                  <c:v>0.54528482214940399</c:v>
                </c:pt>
                <c:pt idx="24">
                  <c:v>0.51502321770008197</c:v>
                </c:pt>
              </c:numCache>
            </c:numRef>
          </c:val>
          <c:extLst>
            <c:ext xmlns:c16="http://schemas.microsoft.com/office/drawing/2014/chart" uri="{C3380CC4-5D6E-409C-BE32-E72D297353CC}">
              <c16:uniqueId val="{00000007-BAF2-4A10-BF05-0F7DD120B834}"/>
            </c:ext>
          </c:extLst>
        </c:ser>
        <c:ser>
          <c:idx val="1"/>
          <c:order val="1"/>
          <c:tx>
            <c:strRef>
              <c:f>F_EN!$C$63</c:f>
              <c:strCache>
                <c:ptCount val="1"/>
                <c:pt idx="0">
                  <c:v> Have access but do not use it</c:v>
                </c:pt>
              </c:strCache>
            </c:strRef>
          </c:tx>
          <c:spPr>
            <a:solidFill>
              <a:srgbClr val="47E5FF"/>
            </a:solidFill>
          </c:spPr>
          <c:invertIfNegative val="0"/>
          <c:dPt>
            <c:idx val="6"/>
            <c:invertIfNegative val="0"/>
            <c:bubble3D val="0"/>
            <c:spPr>
              <a:solidFill>
                <a:srgbClr val="47E5FF"/>
              </a:solidFill>
              <a:ln w="9525">
                <a:solidFill>
                  <a:srgbClr val="C00000"/>
                </a:solidFill>
              </a:ln>
            </c:spPr>
            <c:extLst>
              <c:ext xmlns:c16="http://schemas.microsoft.com/office/drawing/2014/chart" uri="{C3380CC4-5D6E-409C-BE32-E72D297353CC}">
                <c16:uniqueId val="{00000009-BAF2-4A10-BF05-0F7DD120B834}"/>
              </c:ext>
            </c:extLst>
          </c:dPt>
          <c:dPt>
            <c:idx val="10"/>
            <c:invertIfNegative val="0"/>
            <c:bubble3D val="0"/>
            <c:spPr>
              <a:solidFill>
                <a:srgbClr val="47E5FF"/>
              </a:solidFill>
              <a:ln w="9525">
                <a:solidFill>
                  <a:srgbClr val="C00000"/>
                </a:solidFill>
              </a:ln>
            </c:spPr>
            <c:extLst>
              <c:ext xmlns:c16="http://schemas.microsoft.com/office/drawing/2014/chart" uri="{C3380CC4-5D6E-409C-BE32-E72D297353CC}">
                <c16:uniqueId val="{0000000B-BAF2-4A10-BF05-0F7DD120B834}"/>
              </c:ext>
            </c:extLst>
          </c:dPt>
          <c:dLbls>
            <c:numFmt formatCode="0%" sourceLinked="0"/>
            <c:spPr>
              <a:noFill/>
              <a:ln>
                <a:noFill/>
              </a:ln>
              <a:effectLst/>
            </c:spPr>
            <c:txPr>
              <a:bodyPr rot="-5400000" vert="horz"/>
              <a:lstStyle/>
              <a:p>
                <a:pPr>
                  <a:defRPr b="1"/>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F_EN!$C$64:$C$88</c:f>
              <c:numCache>
                <c:formatCode>0.0%</c:formatCode>
                <c:ptCount val="25"/>
                <c:pt idx="0">
                  <c:v>6.6235841221710501E-2</c:v>
                </c:pt>
                <c:pt idx="1">
                  <c:v>7.61908409057339E-2</c:v>
                </c:pt>
                <c:pt idx="2">
                  <c:v>0.11307942683976201</c:v>
                </c:pt>
                <c:pt idx="3">
                  <c:v>8.9070383990421595E-2</c:v>
                </c:pt>
                <c:pt idx="4">
                  <c:v>0.14342927559193699</c:v>
                </c:pt>
                <c:pt idx="5">
                  <c:v>0.115318416523236</c:v>
                </c:pt>
                <c:pt idx="6">
                  <c:v>0.12753754531330899</c:v>
                </c:pt>
                <c:pt idx="7">
                  <c:v>0.16093951981378099</c:v>
                </c:pt>
                <c:pt idx="8">
                  <c:v>0.17059813631263099</c:v>
                </c:pt>
                <c:pt idx="9">
                  <c:v>0.177133451506711</c:v>
                </c:pt>
                <c:pt idx="10">
                  <c:v>0.184056968487392</c:v>
                </c:pt>
                <c:pt idx="11">
                  <c:v>0.19660678642714599</c:v>
                </c:pt>
                <c:pt idx="12">
                  <c:v>0.23800014523273499</c:v>
                </c:pt>
                <c:pt idx="13">
                  <c:v>0.20299874529485601</c:v>
                </c:pt>
                <c:pt idx="14">
                  <c:v>0.234088985881619</c:v>
                </c:pt>
                <c:pt idx="15">
                  <c:v>0.20656373651951301</c:v>
                </c:pt>
                <c:pt idx="16">
                  <c:v>0.29326493715829099</c:v>
                </c:pt>
                <c:pt idx="17">
                  <c:v>0.27200473051705198</c:v>
                </c:pt>
                <c:pt idx="18">
                  <c:v>0.196625193783042</c:v>
                </c:pt>
                <c:pt idx="19">
                  <c:v>0.23367360124047001</c:v>
                </c:pt>
                <c:pt idx="20">
                  <c:v>0.33496592051845497</c:v>
                </c:pt>
                <c:pt idx="21">
                  <c:v>0.32630968490237799</c:v>
                </c:pt>
                <c:pt idx="22">
                  <c:v>0.25044771853353798</c:v>
                </c:pt>
                <c:pt idx="23">
                  <c:v>0.28917937028066698</c:v>
                </c:pt>
                <c:pt idx="24">
                  <c:v>0.40016388964763699</c:v>
                </c:pt>
              </c:numCache>
            </c:numRef>
          </c:val>
          <c:extLst>
            <c:ext xmlns:c16="http://schemas.microsoft.com/office/drawing/2014/chart" uri="{C3380CC4-5D6E-409C-BE32-E72D297353CC}">
              <c16:uniqueId val="{0000000C-BAF2-4A10-BF05-0F7DD120B834}"/>
            </c:ext>
          </c:extLst>
        </c:ser>
        <c:ser>
          <c:idx val="2"/>
          <c:order val="2"/>
          <c:tx>
            <c:strRef>
              <c:f>F_EN!$D$63</c:f>
              <c:strCache>
                <c:ptCount val="1"/>
                <c:pt idx="0">
                  <c:v> Do not have access</c:v>
                </c:pt>
              </c:strCache>
            </c:strRef>
          </c:tx>
          <c:spPr>
            <a:solidFill>
              <a:srgbClr val="ABF3FF"/>
            </a:solidFill>
          </c:spPr>
          <c:invertIfNegative val="0"/>
          <c:dPt>
            <c:idx val="6"/>
            <c:invertIfNegative val="0"/>
            <c:bubble3D val="0"/>
            <c:spPr>
              <a:solidFill>
                <a:srgbClr val="ABF3FF"/>
              </a:solidFill>
              <a:ln w="9525">
                <a:solidFill>
                  <a:srgbClr val="C00000"/>
                </a:solidFill>
              </a:ln>
            </c:spPr>
            <c:extLst>
              <c:ext xmlns:c16="http://schemas.microsoft.com/office/drawing/2014/chart" uri="{C3380CC4-5D6E-409C-BE32-E72D297353CC}">
                <c16:uniqueId val="{0000000E-BAF2-4A10-BF05-0F7DD120B834}"/>
              </c:ext>
            </c:extLst>
          </c:dPt>
          <c:dPt>
            <c:idx val="10"/>
            <c:invertIfNegative val="0"/>
            <c:bubble3D val="0"/>
            <c:spPr>
              <a:solidFill>
                <a:srgbClr val="ABF3FF"/>
              </a:solidFill>
              <a:ln w="9525">
                <a:solidFill>
                  <a:srgbClr val="C00000"/>
                </a:solidFill>
              </a:ln>
            </c:spPr>
            <c:extLst>
              <c:ext xmlns:c16="http://schemas.microsoft.com/office/drawing/2014/chart" uri="{C3380CC4-5D6E-409C-BE32-E72D297353CC}">
                <c16:uniqueId val="{00000010-BAF2-4A10-BF05-0F7DD120B834}"/>
              </c:ext>
            </c:extLst>
          </c:dPt>
          <c:dLbls>
            <c:dLbl>
              <c:idx val="0"/>
              <c:delete val="1"/>
              <c:extLst>
                <c:ext xmlns:c15="http://schemas.microsoft.com/office/drawing/2012/chart" uri="{CE6537A1-D6FC-4f65-9D91-7224C49458BB}"/>
                <c:ext xmlns:c16="http://schemas.microsoft.com/office/drawing/2014/chart" uri="{C3380CC4-5D6E-409C-BE32-E72D297353CC}">
                  <c16:uniqueId val="{00000011-BAF2-4A10-BF05-0F7DD120B834}"/>
                </c:ext>
              </c:extLst>
            </c:dLbl>
            <c:dLbl>
              <c:idx val="6"/>
              <c:layout>
                <c:manualLayout>
                  <c:x val="0"/>
                  <c:y val="-3.6630036630036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AF2-4A10-BF05-0F7DD120B834}"/>
                </c:ext>
              </c:extLst>
            </c:dLbl>
            <c:dLbl>
              <c:idx val="10"/>
              <c:layout>
                <c:manualLayout>
                  <c:x val="-7.6627467283380521E-17"/>
                  <c:y val="-3.6630036630036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AF2-4A10-BF05-0F7DD120B834}"/>
                </c:ext>
              </c:extLst>
            </c:dLbl>
            <c:numFmt formatCode="0%" sourceLinked="0"/>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F_EN!$A$64:$A$88</c:f>
              <c:strCache>
                <c:ptCount val="25"/>
                <c:pt idx="0">
                  <c:v>United Kingdom</c:v>
                </c:pt>
                <c:pt idx="1">
                  <c:v>Netherlands</c:v>
                </c:pt>
                <c:pt idx="2">
                  <c:v>Finland</c:v>
                </c:pt>
                <c:pt idx="3">
                  <c:v>Bulgaria</c:v>
                </c:pt>
                <c:pt idx="4">
                  <c:v>Austria</c:v>
                </c:pt>
                <c:pt idx="5">
                  <c:v>Slovakia</c:v>
                </c:pt>
                <c:pt idx="6">
                  <c:v>Czech Republic</c:v>
                </c:pt>
                <c:pt idx="7">
                  <c:v>France</c:v>
                </c:pt>
                <c:pt idx="8">
                  <c:v>Sweden</c:v>
                </c:pt>
                <c:pt idx="9">
                  <c:v>Slovenia</c:v>
                </c:pt>
                <c:pt idx="10">
                  <c:v>EU28</c:v>
                </c:pt>
                <c:pt idx="11">
                  <c:v>Luxembourg </c:v>
                </c:pt>
                <c:pt idx="12">
                  <c:v>Lithuania</c:v>
                </c:pt>
                <c:pt idx="13">
                  <c:v>Hungary</c:v>
                </c:pt>
                <c:pt idx="14">
                  <c:v>Greece</c:v>
                </c:pt>
                <c:pt idx="15">
                  <c:v>Spain</c:v>
                </c:pt>
                <c:pt idx="16">
                  <c:v>Portugal</c:v>
                </c:pt>
                <c:pt idx="17">
                  <c:v>Ireland</c:v>
                </c:pt>
                <c:pt idx="18">
                  <c:v>Belgium</c:v>
                </c:pt>
                <c:pt idx="19">
                  <c:v>Croatia</c:v>
                </c:pt>
                <c:pt idx="20">
                  <c:v>Denmark</c:v>
                </c:pt>
                <c:pt idx="21">
                  <c:v>Estonia</c:v>
                </c:pt>
                <c:pt idx="22">
                  <c:v>Italy</c:v>
                </c:pt>
                <c:pt idx="23">
                  <c:v>Poland</c:v>
                </c:pt>
                <c:pt idx="24">
                  <c:v>Latvia</c:v>
                </c:pt>
              </c:strCache>
            </c:strRef>
          </c:cat>
          <c:val>
            <c:numRef>
              <c:f>F_EN!$D$64:$D$88</c:f>
              <c:numCache>
                <c:formatCode>0.0%</c:formatCode>
                <c:ptCount val="25"/>
                <c:pt idx="0">
                  <c:v>3.2660840252455303E-2</c:v>
                </c:pt>
                <c:pt idx="1">
                  <c:v>6.0982214660459201E-2</c:v>
                </c:pt>
                <c:pt idx="2">
                  <c:v>6.6238916532604997E-2</c:v>
                </c:pt>
                <c:pt idx="3">
                  <c:v>0.104955956555204</c:v>
                </c:pt>
                <c:pt idx="4">
                  <c:v>5.97805357509609E-2</c:v>
                </c:pt>
                <c:pt idx="5">
                  <c:v>0.102674433999735</c:v>
                </c:pt>
                <c:pt idx="6">
                  <c:v>9.6193682030036198E-2</c:v>
                </c:pt>
                <c:pt idx="7">
                  <c:v>8.5842796070129096E-2</c:v>
                </c:pt>
                <c:pt idx="8">
                  <c:v>9.3562472556959597E-2</c:v>
                </c:pt>
                <c:pt idx="9">
                  <c:v>0.100658394530261</c:v>
                </c:pt>
                <c:pt idx="10">
                  <c:v>0.10194713576228299</c:v>
                </c:pt>
                <c:pt idx="11">
                  <c:v>9.3413173652694595E-2</c:v>
                </c:pt>
                <c:pt idx="12">
                  <c:v>6.0598358870089297E-2</c:v>
                </c:pt>
                <c:pt idx="13">
                  <c:v>0.105018820577164</c:v>
                </c:pt>
                <c:pt idx="14">
                  <c:v>8.0969135527546393E-2</c:v>
                </c:pt>
                <c:pt idx="15">
                  <c:v>0.113828329066129</c:v>
                </c:pt>
                <c:pt idx="16">
                  <c:v>5.5185257792589697E-2</c:v>
                </c:pt>
                <c:pt idx="17">
                  <c:v>7.70100349571297E-2</c:v>
                </c:pt>
                <c:pt idx="18">
                  <c:v>0.153317168183806</c:v>
                </c:pt>
                <c:pt idx="19">
                  <c:v>0.165525261661713</c:v>
                </c:pt>
                <c:pt idx="20">
                  <c:v>8.4509665164438197E-2</c:v>
                </c:pt>
                <c:pt idx="21">
                  <c:v>9.60757780784844E-2</c:v>
                </c:pt>
                <c:pt idx="22">
                  <c:v>0.177825762684614</c:v>
                </c:pt>
                <c:pt idx="23">
                  <c:v>0.165535807569929</c:v>
                </c:pt>
                <c:pt idx="24">
                  <c:v>8.48128926522808E-2</c:v>
                </c:pt>
              </c:numCache>
            </c:numRef>
          </c:val>
          <c:extLst>
            <c:ext xmlns:c16="http://schemas.microsoft.com/office/drawing/2014/chart" uri="{C3380CC4-5D6E-409C-BE32-E72D297353CC}">
              <c16:uniqueId val="{00000012-BAF2-4A10-BF05-0F7DD120B834}"/>
            </c:ext>
          </c:extLst>
        </c:ser>
        <c:dLbls>
          <c:showLegendKey val="0"/>
          <c:showVal val="0"/>
          <c:showCatName val="0"/>
          <c:showSerName val="0"/>
          <c:showPercent val="0"/>
          <c:showBubbleSize val="0"/>
        </c:dLbls>
        <c:gapWidth val="50"/>
        <c:overlap val="100"/>
        <c:axId val="200084992"/>
        <c:axId val="185104576"/>
      </c:barChart>
      <c:catAx>
        <c:axId val="200084992"/>
        <c:scaling>
          <c:orientation val="minMax"/>
        </c:scaling>
        <c:delete val="0"/>
        <c:axPos val="b"/>
        <c:numFmt formatCode="General" sourceLinked="1"/>
        <c:majorTickMark val="out"/>
        <c:minorTickMark val="none"/>
        <c:tickLblPos val="nextTo"/>
        <c:spPr>
          <a:ln w="3175">
            <a:solidFill>
              <a:schemeClr val="tx1"/>
            </a:solidFill>
          </a:ln>
        </c:spPr>
        <c:crossAx val="185104576"/>
        <c:crosses val="autoZero"/>
        <c:auto val="1"/>
        <c:lblAlgn val="ctr"/>
        <c:lblOffset val="100"/>
        <c:noMultiLvlLbl val="0"/>
      </c:catAx>
      <c:valAx>
        <c:axId val="185104576"/>
        <c:scaling>
          <c:orientation val="minMax"/>
          <c:max val="1"/>
          <c:min val="0"/>
        </c:scaling>
        <c:delete val="1"/>
        <c:axPos val="l"/>
        <c:numFmt formatCode="0%" sourceLinked="1"/>
        <c:majorTickMark val="out"/>
        <c:minorTickMark val="none"/>
        <c:tickLblPos val="nextTo"/>
        <c:crossAx val="200084992"/>
        <c:crosses val="autoZero"/>
        <c:crossBetween val="between"/>
        <c:majorUnit val="0.1"/>
        <c:minorUnit val="0.05"/>
      </c:valAx>
      <c:spPr>
        <a:ln>
          <a:solidFill>
            <a:schemeClr val="tx1">
              <a:tint val="75000"/>
              <a:shade val="95000"/>
              <a:satMod val="105000"/>
            </a:schemeClr>
          </a:solidFill>
        </a:ln>
      </c:spPr>
    </c:plotArea>
    <c:legend>
      <c:legendPos val="t"/>
      <c:layout>
        <c:manualLayout>
          <c:xMode val="edge"/>
          <c:yMode val="edge"/>
          <c:x val="6.3282308857530098E-2"/>
          <c:y val="8.6999074074074007E-2"/>
          <c:w val="0.90533963166706499"/>
          <c:h val="5.8191049382715999E-2"/>
        </c:manualLayout>
      </c:layout>
      <c:overlay val="0"/>
      <c:spPr>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64052287582E-2"/>
          <c:y val="0.13995247808508618"/>
          <c:w val="0.96683104575163403"/>
          <c:h val="0.51572010323222128"/>
        </c:manualLayout>
      </c:layout>
      <c:barChart>
        <c:barDir val="col"/>
        <c:grouping val="clustered"/>
        <c:varyColors val="0"/>
        <c:ser>
          <c:idx val="0"/>
          <c:order val="0"/>
          <c:tx>
            <c:strRef>
              <c:f>F_EN!$D$105</c:f>
              <c:strCache>
                <c:ptCount val="1"/>
                <c:pt idx="0">
                  <c:v> Students (aged 16+)</c:v>
                </c:pt>
              </c:strCache>
            </c:strRef>
          </c:tx>
          <c:spPr>
            <a:solidFill>
              <a:srgbClr val="47E5FF"/>
            </a:solidFill>
            <a:ln w="25400">
              <a:noFill/>
            </a:ln>
          </c:spPr>
          <c:invertIfNegative val="0"/>
          <c:dLbls>
            <c:dLbl>
              <c:idx val="0"/>
              <c:layout>
                <c:manualLayout>
                  <c:x val="-9.9084967320261499E-4"/>
                  <c:y val="0.126814017710658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15-4E52-91AF-AD90A5363B1F}"/>
                </c:ext>
              </c:extLst>
            </c:dLbl>
            <c:dLbl>
              <c:idx val="2"/>
              <c:layout>
                <c:manualLayout>
                  <c:x val="0"/>
                  <c:y val="0.137304270734615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15-4E52-91AF-AD90A5363B1F}"/>
                </c:ext>
              </c:extLst>
            </c:dLbl>
            <c:numFmt formatCode="0%" sourceLinked="0"/>
            <c:spPr>
              <a:noFill/>
              <a:ln w="25400">
                <a:noFill/>
              </a:ln>
            </c:spPr>
            <c:txPr>
              <a:bodyPr rot="-5400000" vert="horz"/>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F_EN!$B$106:$C$114</c:f>
              <c:multiLvlStrCache>
                <c:ptCount val="9"/>
                <c:lvl>
                  <c:pt idx="0">
                    <c:v>2015</c:v>
                  </c:pt>
                  <c:pt idx="1">
                    <c:v>2016</c:v>
                  </c:pt>
                  <c:pt idx="2">
                    <c:v>2017</c:v>
                  </c:pt>
                  <c:pt idx="3">
                    <c:v>2015</c:v>
                  </c:pt>
                  <c:pt idx="4">
                    <c:v>2016</c:v>
                  </c:pt>
                  <c:pt idx="5">
                    <c:v>2017</c:v>
                  </c:pt>
                  <c:pt idx="6">
                    <c:v>2015</c:v>
                  </c:pt>
                  <c:pt idx="7">
                    <c:v>2016</c:v>
                  </c:pt>
                  <c:pt idx="8">
                    <c:v>2017</c:v>
                  </c:pt>
                </c:lvl>
                <c:lvl>
                  <c:pt idx="0">
                    <c:v>Total</c:v>
                  </c:pt>
                  <c:pt idx="3">
                    <c:v> Mobile networks (e.g. 3G or LTE)</c:v>
                  </c:pt>
                  <c:pt idx="6">
                    <c:v>Wireless network (Wi-Fi)</c:v>
                  </c:pt>
                </c:lvl>
              </c:multiLvlStrCache>
            </c:multiLvlStrRef>
          </c:cat>
          <c:val>
            <c:numRef>
              <c:f>F_EN!$D$106:$D$114</c:f>
              <c:numCache>
                <c:formatCode>0%</c:formatCode>
                <c:ptCount val="9"/>
                <c:pt idx="0">
                  <c:v>0.80067433723423398</c:v>
                </c:pt>
                <c:pt idx="1">
                  <c:v>0.82151458679550804</c:v>
                </c:pt>
                <c:pt idx="2">
                  <c:v>0.86955212055852005</c:v>
                </c:pt>
                <c:pt idx="3">
                  <c:v>0.51938510959587403</c:v>
                </c:pt>
                <c:pt idx="4">
                  <c:v>0.54562499129937903</c:v>
                </c:pt>
                <c:pt idx="5">
                  <c:v>0.59190008601820898</c:v>
                </c:pt>
                <c:pt idx="6">
                  <c:v>0.54853386103365898</c:v>
                </c:pt>
                <c:pt idx="7">
                  <c:v>0.68413689365525099</c:v>
                </c:pt>
                <c:pt idx="8">
                  <c:v>0.82579575338088596</c:v>
                </c:pt>
              </c:numCache>
            </c:numRef>
          </c:val>
          <c:extLst>
            <c:ext xmlns:c16="http://schemas.microsoft.com/office/drawing/2014/chart" uri="{C3380CC4-5D6E-409C-BE32-E72D297353CC}">
              <c16:uniqueId val="{00000002-B915-4E52-91AF-AD90A5363B1F}"/>
            </c:ext>
          </c:extLst>
        </c:ser>
        <c:ser>
          <c:idx val="1"/>
          <c:order val="1"/>
          <c:tx>
            <c:strRef>
              <c:f>F_EN!$E$105</c:f>
              <c:strCache>
                <c:ptCount val="1"/>
                <c:pt idx="0">
                  <c:v> All individuals (aged 16+)</c:v>
                </c:pt>
              </c:strCache>
            </c:strRef>
          </c:tx>
          <c:spPr>
            <a:solidFill>
              <a:srgbClr val="009BB4"/>
            </a:solidFill>
            <a:ln w="25400">
              <a:noFill/>
            </a:ln>
          </c:spPr>
          <c:invertIfNegative val="0"/>
          <c:dLbls>
            <c:dLbl>
              <c:idx val="0"/>
              <c:layout>
                <c:manualLayout>
                  <c:x val="-3.2679738561140398E-7"/>
                  <c:y val="0.12695097469760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15-4E52-91AF-AD90A5363B1F}"/>
                </c:ext>
              </c:extLst>
            </c:dLbl>
            <c:dLbl>
              <c:idx val="1"/>
              <c:layout>
                <c:manualLayout>
                  <c:x val="4.1503267973856204E-3"/>
                  <c:y val="0.127224888671497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15-4E52-91AF-AD90A5363B1F}"/>
                </c:ext>
              </c:extLst>
            </c:dLbl>
            <c:dLbl>
              <c:idx val="3"/>
              <c:layout>
                <c:manualLayout>
                  <c:x val="-7.6088445638519798E-17"/>
                  <c:y val="0.124287650433595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15-4E52-91AF-AD90A5363B1F}"/>
                </c:ext>
              </c:extLst>
            </c:dLbl>
            <c:dLbl>
              <c:idx val="6"/>
              <c:layout>
                <c:manualLayout>
                  <c:x val="4.1503267973856204E-3"/>
                  <c:y val="0.1155488979242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15-4E52-91AF-AD90A5363B1F}"/>
                </c:ext>
              </c:extLst>
            </c:dLbl>
            <c:numFmt formatCode="0%" sourceLinked="0"/>
            <c:spPr>
              <a:noFill/>
              <a:ln w="25400">
                <a:noFill/>
              </a:ln>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F_EN!$B$106:$C$114</c:f>
              <c:multiLvlStrCache>
                <c:ptCount val="9"/>
                <c:lvl>
                  <c:pt idx="0">
                    <c:v>2015</c:v>
                  </c:pt>
                  <c:pt idx="1">
                    <c:v>2016</c:v>
                  </c:pt>
                  <c:pt idx="2">
                    <c:v>2017</c:v>
                  </c:pt>
                  <c:pt idx="3">
                    <c:v>2015</c:v>
                  </c:pt>
                  <c:pt idx="4">
                    <c:v>2016</c:v>
                  </c:pt>
                  <c:pt idx="5">
                    <c:v>2017</c:v>
                  </c:pt>
                  <c:pt idx="6">
                    <c:v>2015</c:v>
                  </c:pt>
                  <c:pt idx="7">
                    <c:v>2016</c:v>
                  </c:pt>
                  <c:pt idx="8">
                    <c:v>2017</c:v>
                  </c:pt>
                </c:lvl>
                <c:lvl>
                  <c:pt idx="0">
                    <c:v>Total</c:v>
                  </c:pt>
                  <c:pt idx="3">
                    <c:v> Mobile networks (e.g. 3G or LTE)</c:v>
                  </c:pt>
                  <c:pt idx="6">
                    <c:v>Wireless network (Wi-Fi)</c:v>
                  </c:pt>
                </c:lvl>
              </c:multiLvlStrCache>
            </c:multiLvlStrRef>
          </c:cat>
          <c:val>
            <c:numRef>
              <c:f>F_EN!$E$106:$E$114</c:f>
              <c:numCache>
                <c:formatCode>0%</c:formatCode>
                <c:ptCount val="9"/>
                <c:pt idx="0">
                  <c:v>0.36999594668693803</c:v>
                </c:pt>
                <c:pt idx="1">
                  <c:v>0.412143702828275</c:v>
                </c:pt>
                <c:pt idx="2">
                  <c:v>0.50371415082770499</c:v>
                </c:pt>
                <c:pt idx="3">
                  <c:v>0.26937485913091203</c:v>
                </c:pt>
                <c:pt idx="4">
                  <c:v>0.30604783268458602</c:v>
                </c:pt>
                <c:pt idx="5">
                  <c:v>0.36042298548767499</c:v>
                </c:pt>
                <c:pt idx="6">
                  <c:v>0.234908637887426</c:v>
                </c:pt>
                <c:pt idx="7">
                  <c:v>0.30791327381295802</c:v>
                </c:pt>
                <c:pt idx="8">
                  <c:v>0.463289894249586</c:v>
                </c:pt>
              </c:numCache>
            </c:numRef>
          </c:val>
          <c:extLst>
            <c:ext xmlns:c16="http://schemas.microsoft.com/office/drawing/2014/chart" uri="{C3380CC4-5D6E-409C-BE32-E72D297353CC}">
              <c16:uniqueId val="{00000007-B915-4E52-91AF-AD90A5363B1F}"/>
            </c:ext>
          </c:extLst>
        </c:ser>
        <c:dLbls>
          <c:showLegendKey val="0"/>
          <c:showVal val="1"/>
          <c:showCatName val="0"/>
          <c:showSerName val="0"/>
          <c:showPercent val="0"/>
          <c:showBubbleSize val="0"/>
        </c:dLbls>
        <c:gapWidth val="57"/>
        <c:axId val="200699392"/>
        <c:axId val="200647808"/>
      </c:barChart>
      <c:catAx>
        <c:axId val="200699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0647808"/>
        <c:crosses val="autoZero"/>
        <c:auto val="1"/>
        <c:lblAlgn val="ctr"/>
        <c:lblOffset val="40"/>
        <c:noMultiLvlLbl val="0"/>
      </c:catAx>
      <c:valAx>
        <c:axId val="200647808"/>
        <c:scaling>
          <c:orientation val="minMax"/>
          <c:max val="1"/>
        </c:scaling>
        <c:delete val="0"/>
        <c:axPos val="l"/>
        <c:numFmt formatCode="0%" sourceLinked="1"/>
        <c:majorTickMark val="none"/>
        <c:minorTickMark val="none"/>
        <c:tickLblPos val="none"/>
        <c:spPr>
          <a:ln w="9525">
            <a:noFill/>
          </a:ln>
        </c:spPr>
        <c:txPr>
          <a:bodyPr/>
          <a:lstStyle/>
          <a:p>
            <a:pPr>
              <a:defRPr>
                <a:solidFill>
                  <a:sysClr val="windowText" lastClr="000000"/>
                </a:solidFill>
              </a:defRPr>
            </a:pPr>
            <a:endParaRPr lang="cs-CZ"/>
          </a:p>
        </c:txPr>
        <c:crossAx val="200699392"/>
        <c:crosses val="autoZero"/>
        <c:crossBetween val="between"/>
        <c:majorUnit val="0.25"/>
        <c:minorUnit val="0.01"/>
      </c:valAx>
      <c:spPr>
        <a:noFill/>
        <a:ln w="12700">
          <a:solidFill>
            <a:srgbClr val="969696"/>
          </a:solidFill>
          <a:prstDash val="solid"/>
        </a:ln>
      </c:spPr>
    </c:plotArea>
    <c:legend>
      <c:legendPos val="t"/>
      <c:layout>
        <c:manualLayout>
          <c:xMode val="edge"/>
          <c:yMode val="edge"/>
          <c:x val="0.311470588235294"/>
          <c:y val="0.19246655049779399"/>
          <c:w val="0.45176470588235301"/>
          <c:h val="0.15764360612638001"/>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cs-CZ" sz="800"/>
              <a:t>Figure </a:t>
            </a:r>
            <a:r>
              <a:rPr lang="en-US" sz="800"/>
              <a:t>A1</a:t>
            </a:r>
            <a:r>
              <a:rPr lang="cs-CZ" sz="800"/>
              <a:t>4</a:t>
            </a:r>
            <a:r>
              <a:rPr lang="en-US" sz="800"/>
              <a:t> </a:t>
            </a:r>
            <a:r>
              <a:rPr lang="cs-CZ" sz="800"/>
              <a:t>Fixed broadband subscriptions per 100</a:t>
            </a:r>
            <a:r>
              <a:rPr lang="cs-CZ" sz="800" baseline="0"/>
              <a:t> inhabitants in EU countries</a:t>
            </a:r>
            <a:endParaRPr lang="en-US" sz="800"/>
          </a:p>
        </c:rich>
      </c:tx>
      <c:layout/>
      <c:overlay val="0"/>
    </c:title>
    <c:autoTitleDeleted val="0"/>
    <c:plotArea>
      <c:layout>
        <c:manualLayout>
          <c:layoutTarget val="inner"/>
          <c:xMode val="edge"/>
          <c:yMode val="edge"/>
          <c:x val="6.1240466798159102E-2"/>
          <c:y val="0.10207385657318502"/>
          <c:w val="0.91664217619986899"/>
          <c:h val="0.63352200043613349"/>
        </c:manualLayout>
      </c:layout>
      <c:barChart>
        <c:barDir val="col"/>
        <c:grouping val="clustered"/>
        <c:varyColors val="0"/>
        <c:ser>
          <c:idx val="0"/>
          <c:order val="0"/>
          <c:tx>
            <c:strRef>
              <c:f>A_EN!$C$192</c:f>
              <c:strCache>
                <c:ptCount val="1"/>
                <c:pt idx="0">
                  <c:v> 2016</c:v>
                </c:pt>
              </c:strCache>
            </c:strRef>
          </c:tx>
          <c:spPr>
            <a:solidFill>
              <a:srgbClr val="009BB4"/>
            </a:solidFill>
          </c:spPr>
          <c:invertIfNegative val="0"/>
          <c:dPt>
            <c:idx val="10"/>
            <c:invertIfNegative val="0"/>
            <c:bubble3D val="0"/>
            <c:spPr>
              <a:solidFill>
                <a:srgbClr val="009BB4"/>
              </a:solidFill>
              <a:ln>
                <a:solidFill>
                  <a:srgbClr val="FF0000"/>
                </a:solidFill>
              </a:ln>
            </c:spPr>
            <c:extLst>
              <c:ext xmlns:c16="http://schemas.microsoft.com/office/drawing/2014/chart" uri="{C3380CC4-5D6E-409C-BE32-E72D297353CC}">
                <c16:uniqueId val="{00000001-4F9E-47EF-AA40-F1F57601C079}"/>
              </c:ext>
            </c:extLst>
          </c:dPt>
          <c:dPt>
            <c:idx val="14"/>
            <c:invertIfNegative val="0"/>
            <c:bubble3D val="0"/>
            <c:spPr>
              <a:solidFill>
                <a:srgbClr val="009BB4"/>
              </a:solidFill>
              <a:ln>
                <a:noFill/>
              </a:ln>
            </c:spPr>
            <c:extLst>
              <c:ext xmlns:c16="http://schemas.microsoft.com/office/drawing/2014/chart" uri="{C3380CC4-5D6E-409C-BE32-E72D297353CC}">
                <c16:uniqueId val="{00000003-4F9E-47EF-AA40-F1F57601C079}"/>
              </c:ext>
            </c:extLst>
          </c:dPt>
          <c:dPt>
            <c:idx val="19"/>
            <c:invertIfNegative val="0"/>
            <c:bubble3D val="0"/>
            <c:spPr>
              <a:solidFill>
                <a:srgbClr val="009BB4"/>
              </a:solidFill>
              <a:ln>
                <a:solidFill>
                  <a:srgbClr val="FF0000"/>
                </a:solidFill>
              </a:ln>
            </c:spPr>
            <c:extLst>
              <c:ext xmlns:c16="http://schemas.microsoft.com/office/drawing/2014/chart" uri="{C3380CC4-5D6E-409C-BE32-E72D297353CC}">
                <c16:uniqueId val="{00000005-4F9E-47EF-AA40-F1F57601C079}"/>
              </c:ext>
            </c:extLst>
          </c:dPt>
          <c:dLbls>
            <c:numFmt formatCode="#,##0.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A_EN!$B$193:$B$221</c:f>
              <c:strCache>
                <c:ptCount val="29"/>
                <c:pt idx="0">
                  <c:v>Netherlands</c:v>
                </c:pt>
                <c:pt idx="1">
                  <c:v>Denmark</c:v>
                </c:pt>
                <c:pt idx="2">
                  <c:v>France</c:v>
                </c:pt>
                <c:pt idx="3">
                  <c:v>Malta</c:v>
                </c:pt>
                <c:pt idx="4">
                  <c:v>Germany</c:v>
                </c:pt>
                <c:pt idx="5">
                  <c:v>United Kingdom</c:v>
                </c:pt>
                <c:pt idx="6">
                  <c:v>Belgium</c:v>
                </c:pt>
                <c:pt idx="7">
                  <c:v>Sweden</c:v>
                </c:pt>
                <c:pt idx="8">
                  <c:v>Luxembourg</c:v>
                </c:pt>
                <c:pt idx="9">
                  <c:v>Greece</c:v>
                </c:pt>
                <c:pt idx="10">
                  <c:v>EU28</c:v>
                </c:pt>
                <c:pt idx="11">
                  <c:v>Cyprus</c:v>
                </c:pt>
                <c:pt idx="12">
                  <c:v>Portugal</c:v>
                </c:pt>
                <c:pt idx="13">
                  <c:v>Estonia</c:v>
                </c:pt>
                <c:pt idx="14">
                  <c:v>Finland</c:v>
                </c:pt>
                <c:pt idx="15">
                  <c:v>Slovenia</c:v>
                </c:pt>
                <c:pt idx="16">
                  <c:v>Spain</c:v>
                </c:pt>
                <c:pt idx="17">
                  <c:v>Lithuania</c:v>
                </c:pt>
                <c:pt idx="18">
                  <c:v>Ireland</c:v>
                </c:pt>
                <c:pt idx="19">
                  <c:v>Czech Republic</c:v>
                </c:pt>
                <c:pt idx="20">
                  <c:v>Austria</c:v>
                </c:pt>
                <c:pt idx="21">
                  <c:v>Hungary</c:v>
                </c:pt>
                <c:pt idx="22">
                  <c:v>Latvia</c:v>
                </c:pt>
                <c:pt idx="23">
                  <c:v>Italy</c:v>
                </c:pt>
                <c:pt idx="24">
                  <c:v>Slovakia</c:v>
                </c:pt>
                <c:pt idx="25">
                  <c:v>Croatia</c:v>
                </c:pt>
                <c:pt idx="26">
                  <c:v>Bulgaria</c:v>
                </c:pt>
                <c:pt idx="27">
                  <c:v>Romania</c:v>
                </c:pt>
                <c:pt idx="28">
                  <c:v>Poland</c:v>
                </c:pt>
              </c:strCache>
            </c:strRef>
          </c:cat>
          <c:val>
            <c:numRef>
              <c:f>A_EN!$C$193:$C$221</c:f>
              <c:numCache>
                <c:formatCode>0.0</c:formatCode>
                <c:ptCount val="29"/>
                <c:pt idx="0">
                  <c:v>44.341099999999997</c:v>
                </c:pt>
                <c:pt idx="1">
                  <c:v>43.103200000000001</c:v>
                </c:pt>
                <c:pt idx="2">
                  <c:v>41.743699999999997</c:v>
                </c:pt>
                <c:pt idx="3">
                  <c:v>39.431800000000003</c:v>
                </c:pt>
                <c:pt idx="4">
                  <c:v>38.877800000000001</c:v>
                </c:pt>
                <c:pt idx="5">
                  <c:v>38.495200000000011</c:v>
                </c:pt>
                <c:pt idx="6">
                  <c:v>37.777500000000003</c:v>
                </c:pt>
                <c:pt idx="7">
                  <c:v>37.351499999999987</c:v>
                </c:pt>
                <c:pt idx="8">
                  <c:v>35.246400000000001</c:v>
                </c:pt>
                <c:pt idx="9">
                  <c:v>33.492600000000003</c:v>
                </c:pt>
                <c:pt idx="10">
                  <c:v>33.197200000000002</c:v>
                </c:pt>
                <c:pt idx="11">
                  <c:v>32.827599999999997</c:v>
                </c:pt>
                <c:pt idx="12">
                  <c:v>32.724800000000002</c:v>
                </c:pt>
                <c:pt idx="13">
                  <c:v>31.496099999999981</c:v>
                </c:pt>
                <c:pt idx="14">
                  <c:v>31.202200000000001</c:v>
                </c:pt>
                <c:pt idx="15">
                  <c:v>30.3658</c:v>
                </c:pt>
                <c:pt idx="16">
                  <c:v>30.020700000000001</c:v>
                </c:pt>
                <c:pt idx="17">
                  <c:v>29.710799999999999</c:v>
                </c:pt>
                <c:pt idx="18">
                  <c:v>29.436699999999981</c:v>
                </c:pt>
                <c:pt idx="19">
                  <c:v>29.123999999999999</c:v>
                </c:pt>
                <c:pt idx="20">
                  <c:v>29.101400000000009</c:v>
                </c:pt>
                <c:pt idx="21">
                  <c:v>28.630600000000001</c:v>
                </c:pt>
                <c:pt idx="22">
                  <c:v>26.011700000000001</c:v>
                </c:pt>
                <c:pt idx="23">
                  <c:v>25.659600000000001</c:v>
                </c:pt>
                <c:pt idx="24">
                  <c:v>25.1356</c:v>
                </c:pt>
                <c:pt idx="25">
                  <c:v>24.907599999999999</c:v>
                </c:pt>
                <c:pt idx="26">
                  <c:v>23.73</c:v>
                </c:pt>
                <c:pt idx="27">
                  <c:v>21.715299999999999</c:v>
                </c:pt>
                <c:pt idx="28">
                  <c:v>18.428100000000001</c:v>
                </c:pt>
              </c:numCache>
            </c:numRef>
          </c:val>
          <c:extLst>
            <c:ext xmlns:c16="http://schemas.microsoft.com/office/drawing/2014/chart" uri="{C3380CC4-5D6E-409C-BE32-E72D297353CC}">
              <c16:uniqueId val="{00000006-4F9E-47EF-AA40-F1F57601C079}"/>
            </c:ext>
          </c:extLst>
        </c:ser>
        <c:dLbls>
          <c:showLegendKey val="0"/>
          <c:showVal val="0"/>
          <c:showCatName val="0"/>
          <c:showSerName val="0"/>
          <c:showPercent val="0"/>
          <c:showBubbleSize val="0"/>
        </c:dLbls>
        <c:gapWidth val="50"/>
        <c:axId val="161297408"/>
        <c:axId val="161360704"/>
      </c:barChart>
      <c:barChart>
        <c:barDir val="col"/>
        <c:grouping val="clustered"/>
        <c:varyColors val="0"/>
        <c:ser>
          <c:idx val="1"/>
          <c:order val="1"/>
          <c:tx>
            <c:strRef>
              <c:f>A_EN!$D$192</c:f>
              <c:strCache>
                <c:ptCount val="1"/>
                <c:pt idx="0">
                  <c:v> 2006</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A_EN!$B$193:$B$221</c:f>
              <c:strCache>
                <c:ptCount val="29"/>
                <c:pt idx="0">
                  <c:v>Netherlands</c:v>
                </c:pt>
                <c:pt idx="1">
                  <c:v>Denmark</c:v>
                </c:pt>
                <c:pt idx="2">
                  <c:v>France</c:v>
                </c:pt>
                <c:pt idx="3">
                  <c:v>Malta</c:v>
                </c:pt>
                <c:pt idx="4">
                  <c:v>Germany</c:v>
                </c:pt>
                <c:pt idx="5">
                  <c:v>United Kingdom</c:v>
                </c:pt>
                <c:pt idx="6">
                  <c:v>Belgium</c:v>
                </c:pt>
                <c:pt idx="7">
                  <c:v>Sweden</c:v>
                </c:pt>
                <c:pt idx="8">
                  <c:v>Luxembourg</c:v>
                </c:pt>
                <c:pt idx="9">
                  <c:v>Greece</c:v>
                </c:pt>
                <c:pt idx="10">
                  <c:v>EU28</c:v>
                </c:pt>
                <c:pt idx="11">
                  <c:v>Cyprus</c:v>
                </c:pt>
                <c:pt idx="12">
                  <c:v>Portugal</c:v>
                </c:pt>
                <c:pt idx="13">
                  <c:v>Estonia</c:v>
                </c:pt>
                <c:pt idx="14">
                  <c:v>Finland</c:v>
                </c:pt>
                <c:pt idx="15">
                  <c:v>Slovenia</c:v>
                </c:pt>
                <c:pt idx="16">
                  <c:v>Spain</c:v>
                </c:pt>
                <c:pt idx="17">
                  <c:v>Lithuania</c:v>
                </c:pt>
                <c:pt idx="18">
                  <c:v>Ireland</c:v>
                </c:pt>
                <c:pt idx="19">
                  <c:v>Czech Republic</c:v>
                </c:pt>
                <c:pt idx="20">
                  <c:v>Austria</c:v>
                </c:pt>
                <c:pt idx="21">
                  <c:v>Hungary</c:v>
                </c:pt>
                <c:pt idx="22">
                  <c:v>Latvia</c:v>
                </c:pt>
                <c:pt idx="23">
                  <c:v>Italy</c:v>
                </c:pt>
                <c:pt idx="24">
                  <c:v>Slovakia</c:v>
                </c:pt>
                <c:pt idx="25">
                  <c:v>Croatia</c:v>
                </c:pt>
                <c:pt idx="26">
                  <c:v>Bulgaria</c:v>
                </c:pt>
                <c:pt idx="27">
                  <c:v>Romania</c:v>
                </c:pt>
                <c:pt idx="28">
                  <c:v>Poland</c:v>
                </c:pt>
              </c:strCache>
            </c:strRef>
          </c:cat>
          <c:val>
            <c:numRef>
              <c:f>A_EN!$D$193:$D$221</c:f>
              <c:numCache>
                <c:formatCode>0.0</c:formatCode>
                <c:ptCount val="29"/>
                <c:pt idx="0">
                  <c:v>31.784800000000001</c:v>
                </c:pt>
                <c:pt idx="1">
                  <c:v>31.8871</c:v>
                </c:pt>
                <c:pt idx="2">
                  <c:v>20.379899999999999</c:v>
                </c:pt>
                <c:pt idx="3">
                  <c:v>12.485900000000001</c:v>
                </c:pt>
                <c:pt idx="4">
                  <c:v>18.073</c:v>
                </c:pt>
                <c:pt idx="5">
                  <c:v>21.686699999999981</c:v>
                </c:pt>
                <c:pt idx="6">
                  <c:v>22.8247</c:v>
                </c:pt>
                <c:pt idx="7">
                  <c:v>25.949400000000001</c:v>
                </c:pt>
                <c:pt idx="8">
                  <c:v>21.494</c:v>
                </c:pt>
                <c:pt idx="9">
                  <c:v>4.3863500000000002</c:v>
                </c:pt>
                <c:pt idx="10">
                  <c:v>18.125399999999999</c:v>
                </c:pt>
                <c:pt idx="11">
                  <c:v>8.8744800000000001</c:v>
                </c:pt>
                <c:pt idx="12">
                  <c:v>13.9155</c:v>
                </c:pt>
                <c:pt idx="13">
                  <c:v>18.36</c:v>
                </c:pt>
                <c:pt idx="14">
                  <c:v>27.139600000000009</c:v>
                </c:pt>
                <c:pt idx="15">
                  <c:v>13.959300000000001</c:v>
                </c:pt>
                <c:pt idx="16">
                  <c:v>15.203200000000001</c:v>
                </c:pt>
                <c:pt idx="17">
                  <c:v>10.565200000000001</c:v>
                </c:pt>
                <c:pt idx="18">
                  <c:v>12.290900000000001</c:v>
                </c:pt>
                <c:pt idx="19">
                  <c:v>10.6088</c:v>
                </c:pt>
                <c:pt idx="20">
                  <c:v>17.427600000000002</c:v>
                </c:pt>
                <c:pt idx="21">
                  <c:v>9.8821400000000033</c:v>
                </c:pt>
                <c:pt idx="22">
                  <c:v>10.526899999999999</c:v>
                </c:pt>
                <c:pt idx="23">
                  <c:v>14.419600000000001</c:v>
                </c:pt>
                <c:pt idx="24">
                  <c:v>5.1887999999999996</c:v>
                </c:pt>
                <c:pt idx="25">
                  <c:v>7.4861000000000004</c:v>
                </c:pt>
                <c:pt idx="26">
                  <c:v>4.4771099999999997</c:v>
                </c:pt>
                <c:pt idx="27">
                  <c:v>5.0275999999999899</c:v>
                </c:pt>
                <c:pt idx="28">
                  <c:v>5.2269699999999997</c:v>
                </c:pt>
              </c:numCache>
            </c:numRef>
          </c:val>
          <c:extLst>
            <c:ext xmlns:c16="http://schemas.microsoft.com/office/drawing/2014/chart" uri="{C3380CC4-5D6E-409C-BE32-E72D297353CC}">
              <c16:uniqueId val="{00000007-4F9E-47EF-AA40-F1F57601C079}"/>
            </c:ext>
          </c:extLst>
        </c:ser>
        <c:dLbls>
          <c:showLegendKey val="0"/>
          <c:showVal val="0"/>
          <c:showCatName val="0"/>
          <c:showSerName val="0"/>
          <c:showPercent val="0"/>
          <c:showBubbleSize val="0"/>
        </c:dLbls>
        <c:gapWidth val="200"/>
        <c:axId val="161559040"/>
        <c:axId val="161361280"/>
      </c:barChart>
      <c:catAx>
        <c:axId val="161297408"/>
        <c:scaling>
          <c:orientation val="minMax"/>
        </c:scaling>
        <c:delete val="0"/>
        <c:axPos val="b"/>
        <c:numFmt formatCode="General" sourceLinked="0"/>
        <c:majorTickMark val="out"/>
        <c:minorTickMark val="none"/>
        <c:tickLblPos val="nextTo"/>
        <c:spPr>
          <a:ln w="3175">
            <a:solidFill>
              <a:schemeClr val="tx1"/>
            </a:solidFill>
          </a:ln>
        </c:spPr>
        <c:crossAx val="161360704"/>
        <c:crosses val="autoZero"/>
        <c:auto val="1"/>
        <c:lblAlgn val="ctr"/>
        <c:lblOffset val="100"/>
        <c:noMultiLvlLbl val="0"/>
      </c:catAx>
      <c:valAx>
        <c:axId val="161360704"/>
        <c:scaling>
          <c:orientation val="minMax"/>
          <c:max val="50"/>
          <c:min val="0"/>
        </c:scaling>
        <c:delete val="1"/>
        <c:axPos val="l"/>
        <c:numFmt formatCode="#,##0" sourceLinked="0"/>
        <c:majorTickMark val="out"/>
        <c:minorTickMark val="none"/>
        <c:tickLblPos val="nextTo"/>
        <c:crossAx val="161297408"/>
        <c:crosses val="autoZero"/>
        <c:crossBetween val="between"/>
        <c:majorUnit val="5"/>
        <c:minorUnit val="0.05"/>
      </c:valAx>
      <c:valAx>
        <c:axId val="161361280"/>
        <c:scaling>
          <c:orientation val="minMax"/>
          <c:max val="50"/>
        </c:scaling>
        <c:delete val="0"/>
        <c:axPos val="r"/>
        <c:numFmt formatCode="0.0" sourceLinked="1"/>
        <c:majorTickMark val="none"/>
        <c:minorTickMark val="none"/>
        <c:tickLblPos val="none"/>
        <c:crossAx val="161559040"/>
        <c:crosses val="max"/>
        <c:crossBetween val="between"/>
      </c:valAx>
      <c:catAx>
        <c:axId val="161559040"/>
        <c:scaling>
          <c:orientation val="minMax"/>
        </c:scaling>
        <c:delete val="1"/>
        <c:axPos val="b"/>
        <c:numFmt formatCode="General" sourceLinked="0"/>
        <c:majorTickMark val="out"/>
        <c:minorTickMark val="none"/>
        <c:tickLblPos val="none"/>
        <c:crossAx val="16136128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299"/>
          <c:y val="0.17449509803921601"/>
          <c:w val="7.1111932938855996E-2"/>
          <c:h val="0.116382098765432"/>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00246913580299"/>
          <c:y val="0.16443986373569"/>
          <c:w val="0.64897809138842799"/>
          <c:h val="0.62942761681252235"/>
        </c:manualLayout>
      </c:layout>
      <c:barChart>
        <c:barDir val="bar"/>
        <c:grouping val="clustered"/>
        <c:varyColors val="0"/>
        <c:ser>
          <c:idx val="0"/>
          <c:order val="0"/>
          <c:tx>
            <c:strRef>
              <c:f>F_EN!$B$92</c:f>
              <c:strCache>
                <c:ptCount val="1"/>
                <c:pt idx="0">
                  <c:v> All individuals (aged 16+)</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F_EN!$A$93:$A$97</c:f>
              <c:strCache>
                <c:ptCount val="5"/>
                <c:pt idx="0">
                  <c:v>Internet banking</c:v>
                </c:pt>
                <c:pt idx="1">
                  <c:v>Purchasing over the Internet</c:v>
                </c:pt>
                <c:pt idx="2">
                  <c:v>Playing games</c:v>
                </c:pt>
                <c:pt idx="3">
                  <c:v>Reading online news</c:v>
                </c:pt>
                <c:pt idx="4">
                  <c:v>Participating in social networks</c:v>
                </c:pt>
              </c:strCache>
            </c:strRef>
          </c:cat>
          <c:val>
            <c:numRef>
              <c:f>F_EN!$B$93:$B$97</c:f>
              <c:numCache>
                <c:formatCode>###0.0%</c:formatCode>
                <c:ptCount val="5"/>
                <c:pt idx="0">
                  <c:v>0.48017399758345403</c:v>
                </c:pt>
                <c:pt idx="1">
                  <c:v>0.27366655669474499</c:v>
                </c:pt>
                <c:pt idx="2">
                  <c:v>0.19366293388150299</c:v>
                </c:pt>
                <c:pt idx="3">
                  <c:v>0.66186212923015297</c:v>
                </c:pt>
                <c:pt idx="4">
                  <c:v>0.41020998649582402</c:v>
                </c:pt>
              </c:numCache>
            </c:numRef>
          </c:val>
          <c:extLst>
            <c:ext xmlns:c16="http://schemas.microsoft.com/office/drawing/2014/chart" uri="{C3380CC4-5D6E-409C-BE32-E72D297353CC}">
              <c16:uniqueId val="{00000000-3669-4337-8A6F-EC5A6D31CBAA}"/>
            </c:ext>
          </c:extLst>
        </c:ser>
        <c:ser>
          <c:idx val="1"/>
          <c:order val="1"/>
          <c:tx>
            <c:strRef>
              <c:f>F_EN!$C$92</c:f>
              <c:strCache>
                <c:ptCount val="1"/>
                <c:pt idx="0">
                  <c:v> Students (aged 16+)</c:v>
                </c:pt>
              </c:strCache>
            </c:strRef>
          </c:tx>
          <c:spPr>
            <a:solidFill>
              <a:srgbClr val="47E5FF"/>
            </a:solidFill>
          </c:spPr>
          <c:invertIfNegative val="0"/>
          <c:dLbls>
            <c:dLbl>
              <c:idx val="1"/>
              <c:layout>
                <c:manualLayout>
                  <c:x val="-0.1094080061260829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69-4337-8A6F-EC5A6D31CBAA}"/>
                </c:ext>
              </c:extLst>
            </c:dLbl>
            <c:numFmt formatCode="0%" sourceLinked="0"/>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F_EN!$A$93:$A$97</c:f>
              <c:strCache>
                <c:ptCount val="5"/>
                <c:pt idx="0">
                  <c:v>Internet banking</c:v>
                </c:pt>
                <c:pt idx="1">
                  <c:v>Purchasing over the Internet</c:v>
                </c:pt>
                <c:pt idx="2">
                  <c:v>Playing games</c:v>
                </c:pt>
                <c:pt idx="3">
                  <c:v>Reading online news</c:v>
                </c:pt>
                <c:pt idx="4">
                  <c:v>Participating in social networks</c:v>
                </c:pt>
              </c:strCache>
            </c:strRef>
          </c:cat>
          <c:val>
            <c:numRef>
              <c:f>F_EN!$C$93:$C$97</c:f>
              <c:numCache>
                <c:formatCode>###0.0%</c:formatCode>
                <c:ptCount val="5"/>
                <c:pt idx="0">
                  <c:v>0.34191760358565698</c:v>
                </c:pt>
                <c:pt idx="1">
                  <c:v>0.37522565127173602</c:v>
                </c:pt>
                <c:pt idx="2">
                  <c:v>0.63214397413143097</c:v>
                </c:pt>
                <c:pt idx="3">
                  <c:v>0.83536049428433601</c:v>
                </c:pt>
                <c:pt idx="4">
                  <c:v>0.93808200552249599</c:v>
                </c:pt>
              </c:numCache>
            </c:numRef>
          </c:val>
          <c:extLst>
            <c:ext xmlns:c16="http://schemas.microsoft.com/office/drawing/2014/chart" uri="{C3380CC4-5D6E-409C-BE32-E72D297353CC}">
              <c16:uniqueId val="{00000002-3669-4337-8A6F-EC5A6D31CBAA}"/>
            </c:ext>
          </c:extLst>
        </c:ser>
        <c:dLbls>
          <c:showLegendKey val="0"/>
          <c:showVal val="0"/>
          <c:showCatName val="0"/>
          <c:showSerName val="0"/>
          <c:showPercent val="0"/>
          <c:showBubbleSize val="0"/>
        </c:dLbls>
        <c:gapWidth val="49"/>
        <c:axId val="200802304"/>
        <c:axId val="195972480"/>
      </c:barChart>
      <c:catAx>
        <c:axId val="20080230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5972480"/>
        <c:crosses val="autoZero"/>
        <c:auto val="1"/>
        <c:lblAlgn val="ctr"/>
        <c:lblOffset val="100"/>
        <c:tickLblSkip val="1"/>
        <c:tickMarkSkip val="1"/>
        <c:noMultiLvlLbl val="0"/>
      </c:catAx>
      <c:valAx>
        <c:axId val="195972480"/>
        <c:scaling>
          <c:orientation val="minMax"/>
          <c:max val="1.2"/>
          <c:min val="0"/>
        </c:scaling>
        <c:delete val="0"/>
        <c:axPos val="b"/>
        <c:numFmt formatCode="###0.0%" sourceLinked="1"/>
        <c:majorTickMark val="none"/>
        <c:minorTickMark val="none"/>
        <c:tickLblPos val="none"/>
        <c:spPr>
          <a:ln w="9525">
            <a:noFill/>
          </a:ln>
        </c:spPr>
        <c:crossAx val="200802304"/>
        <c:crosses val="autoZero"/>
        <c:crossBetween val="between"/>
        <c:majorUnit val="0.2"/>
        <c:minorUnit val="0.01"/>
      </c:valAx>
      <c:spPr>
        <a:noFill/>
        <a:ln w="12700">
          <a:solidFill>
            <a:srgbClr val="969696"/>
          </a:solidFill>
          <a:prstDash val="solid"/>
        </a:ln>
      </c:spPr>
    </c:plotArea>
    <c:legend>
      <c:legendPos val="r"/>
      <c:layout>
        <c:manualLayout>
          <c:xMode val="edge"/>
          <c:yMode val="edge"/>
          <c:x val="0.61127596439169196"/>
          <c:y val="0.50971111727858198"/>
          <c:w val="0.34520276953511397"/>
          <c:h val="0.19929483285896099"/>
        </c:manualLayout>
      </c:layout>
      <c:overlay val="0"/>
      <c:spPr>
        <a:ln>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991869918699203E-2"/>
          <c:y val="0.13374518518518499"/>
          <c:w val="0.78379065040650397"/>
          <c:h val="0.71813703703703702"/>
        </c:manualLayout>
      </c:layout>
      <c:barChart>
        <c:barDir val="bar"/>
        <c:grouping val="clustered"/>
        <c:varyColors val="0"/>
        <c:ser>
          <c:idx val="1"/>
          <c:order val="0"/>
          <c:tx>
            <c:strRef>
              <c:f>F_EN!$D$119</c:f>
              <c:strCache>
                <c:ptCount val="1"/>
                <c:pt idx="0">
                  <c:v> % of internet users</c:v>
                </c:pt>
              </c:strCache>
            </c:strRef>
          </c:tx>
          <c:spPr>
            <a:solidFill>
              <a:srgbClr val="47E5FF"/>
            </a:solidFill>
            <a:ln w="19050">
              <a:noFill/>
            </a:ln>
          </c:spPr>
          <c:invertIfNegative val="0"/>
          <c:dLbls>
            <c:numFmt formatCode="0%" sourceLinked="0"/>
            <c:spPr>
              <a:noFill/>
              <a:ln>
                <a:noFill/>
              </a:ln>
              <a:effectLst/>
            </c:spPr>
            <c:txPr>
              <a:bodyPr rot="0" vert="horz"/>
              <a:lstStyle/>
              <a:p>
                <a:pPr>
                  <a:defRPr b="1" i="0">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F_EN!$B$120:$B$127</c:f>
              <c:strCache>
                <c:ptCount val="8"/>
                <c:pt idx="0">
                  <c:v>  55+</c:v>
                </c:pt>
                <c:pt idx="1">
                  <c:v>  35–54</c:v>
                </c:pt>
                <c:pt idx="2">
                  <c:v>  16–34</c:v>
                </c:pt>
                <c:pt idx="4">
                  <c:v>Females</c:v>
                </c:pt>
                <c:pt idx="5">
                  <c:v>Males</c:v>
                </c:pt>
                <c:pt idx="7">
                  <c:v>Total</c:v>
                </c:pt>
              </c:strCache>
            </c:strRef>
          </c:cat>
          <c:val>
            <c:numRef>
              <c:f>F_EN!$D$120:$D$127</c:f>
              <c:numCache>
                <c:formatCode>0%</c:formatCode>
                <c:ptCount val="8"/>
                <c:pt idx="0">
                  <c:v>0.52636758300278896</c:v>
                </c:pt>
                <c:pt idx="1">
                  <c:v>0.66782724048877196</c:v>
                </c:pt>
                <c:pt idx="2">
                  <c:v>0.82117398355776405</c:v>
                </c:pt>
                <c:pt idx="4">
                  <c:v>0.66800000000000004</c:v>
                </c:pt>
                <c:pt idx="5">
                  <c:v>0.69799999999999995</c:v>
                </c:pt>
                <c:pt idx="7">
                  <c:v>0.68300000000000005</c:v>
                </c:pt>
              </c:numCache>
            </c:numRef>
          </c:val>
          <c:extLst>
            <c:ext xmlns:c16="http://schemas.microsoft.com/office/drawing/2014/chart" uri="{C3380CC4-5D6E-409C-BE32-E72D297353CC}">
              <c16:uniqueId val="{00000000-00C5-4F7A-A3A9-72E348301C84}"/>
            </c:ext>
          </c:extLst>
        </c:ser>
        <c:ser>
          <c:idx val="0"/>
          <c:order val="1"/>
          <c:tx>
            <c:strRef>
              <c:f>F_EN!$C$119</c:f>
              <c:strCache>
                <c:ptCount val="1"/>
                <c:pt idx="0">
                  <c:v> % of all individuals</c:v>
                </c:pt>
              </c:strCache>
            </c:strRef>
          </c:tx>
          <c:spPr>
            <a:solidFill>
              <a:srgbClr val="009BB4"/>
            </a:solidFill>
            <a:ln w="19050">
              <a:noFill/>
            </a:ln>
          </c:spPr>
          <c:invertIfNegative val="0"/>
          <c:dLbls>
            <c:numFmt formatCode="0%" sourceLinked="0"/>
            <c:spPr>
              <a:noFill/>
              <a:ln>
                <a:noFill/>
              </a:ln>
              <a:effectLst/>
            </c:spPr>
            <c:txPr>
              <a:bodyPr rot="0" vert="horz"/>
              <a:lstStyle/>
              <a:p>
                <a:pPr>
                  <a:defRPr b="1" i="0">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F_EN!$B$120:$B$127</c:f>
              <c:strCache>
                <c:ptCount val="8"/>
                <c:pt idx="0">
                  <c:v>  55+</c:v>
                </c:pt>
                <c:pt idx="1">
                  <c:v>  35–54</c:v>
                </c:pt>
                <c:pt idx="2">
                  <c:v>  16–34</c:v>
                </c:pt>
                <c:pt idx="4">
                  <c:v>Females</c:v>
                </c:pt>
                <c:pt idx="5">
                  <c:v>Males</c:v>
                </c:pt>
                <c:pt idx="7">
                  <c:v>Total</c:v>
                </c:pt>
              </c:strCache>
            </c:strRef>
          </c:cat>
          <c:val>
            <c:numRef>
              <c:f>F_EN!$C$120:$C$127</c:f>
              <c:numCache>
                <c:formatCode>0%</c:formatCode>
                <c:ptCount val="8"/>
                <c:pt idx="0">
                  <c:v>0.26761653976452998</c:v>
                </c:pt>
                <c:pt idx="1">
                  <c:v>0.63249225076412996</c:v>
                </c:pt>
                <c:pt idx="2">
                  <c:v>0.80204055396276397</c:v>
                </c:pt>
                <c:pt idx="4">
                  <c:v>0.50900000000000001</c:v>
                </c:pt>
                <c:pt idx="5">
                  <c:v>0.57099999999999995</c:v>
                </c:pt>
                <c:pt idx="7">
                  <c:v>0.53900000000000003</c:v>
                </c:pt>
              </c:numCache>
            </c:numRef>
          </c:val>
          <c:extLst>
            <c:ext xmlns:c16="http://schemas.microsoft.com/office/drawing/2014/chart" uri="{C3380CC4-5D6E-409C-BE32-E72D297353CC}">
              <c16:uniqueId val="{00000001-00C5-4F7A-A3A9-72E348301C84}"/>
            </c:ext>
          </c:extLst>
        </c:ser>
        <c:dLbls>
          <c:showLegendKey val="0"/>
          <c:showVal val="0"/>
          <c:showCatName val="0"/>
          <c:showSerName val="0"/>
          <c:showPercent val="0"/>
          <c:showBubbleSize val="0"/>
        </c:dLbls>
        <c:gapWidth val="40"/>
        <c:axId val="200695808"/>
        <c:axId val="200649536"/>
      </c:barChart>
      <c:catAx>
        <c:axId val="20069580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0649536"/>
        <c:crosses val="autoZero"/>
        <c:auto val="1"/>
        <c:lblAlgn val="ctr"/>
        <c:lblOffset val="140"/>
        <c:noMultiLvlLbl val="0"/>
      </c:catAx>
      <c:valAx>
        <c:axId val="200649536"/>
        <c:scaling>
          <c:orientation val="minMax"/>
          <c:max val="1.1000000000000001"/>
          <c:min val="0"/>
        </c:scaling>
        <c:delete val="0"/>
        <c:axPos val="b"/>
        <c:majorGridlines>
          <c:spPr>
            <a:ln w="12700">
              <a:noFill/>
              <a:prstDash val="dash"/>
            </a:ln>
          </c:spPr>
        </c:majorGridlines>
        <c:numFmt formatCode="0%" sourceLinked="1"/>
        <c:majorTickMark val="none"/>
        <c:minorTickMark val="none"/>
        <c:tickLblPos val="none"/>
        <c:spPr>
          <a:ln w="9525">
            <a:noFill/>
          </a:ln>
        </c:spPr>
        <c:crossAx val="200695808"/>
        <c:crosses val="autoZero"/>
        <c:crossBetween val="between"/>
        <c:majorUnit val="1"/>
        <c:minorUnit val="0.02"/>
      </c:valAx>
      <c:spPr>
        <a:noFill/>
        <a:ln w="12700">
          <a:solidFill>
            <a:srgbClr val="A6A6A6"/>
          </a:solidFill>
          <a:prstDash val="solid"/>
        </a:ln>
      </c:spPr>
    </c:plotArea>
    <c:legend>
      <c:legendPos val="r"/>
      <c:legendEntry>
        <c:idx val="0"/>
        <c:txPr>
          <a:bodyPr/>
          <a:lstStyle/>
          <a:p>
            <a:pPr>
              <a:defRPr b="0" i="0" baseline="0"/>
            </a:pPr>
            <a:endParaRPr lang="cs-CZ"/>
          </a:p>
        </c:txPr>
      </c:legendEntry>
      <c:legendEntry>
        <c:idx val="1"/>
        <c:txPr>
          <a:bodyPr/>
          <a:lstStyle/>
          <a:p>
            <a:pPr>
              <a:defRPr b="0" i="0" baseline="0"/>
            </a:pPr>
            <a:endParaRPr lang="cs-CZ"/>
          </a:p>
        </c:txPr>
      </c:legendEntry>
      <c:layout>
        <c:manualLayout>
          <c:xMode val="edge"/>
          <c:yMode val="edge"/>
          <c:x val="0.59043056364942337"/>
          <c:y val="0.22393407407407401"/>
          <c:w val="0.35794347242739238"/>
          <c:h val="0.13569946035699459"/>
        </c:manualLayout>
      </c:layout>
      <c:overlay val="0"/>
      <c:spPr>
        <a:ln>
          <a:solidFill>
            <a:schemeClr val="bg1">
              <a:lumMod val="50000"/>
            </a:schemeClr>
          </a:solidFill>
        </a:ln>
      </c:spPr>
      <c:txPr>
        <a:bodyPr/>
        <a:lstStyle/>
        <a:p>
          <a:pPr>
            <a:defRPr b="0" i="0" baseline="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405491698595E-2"/>
          <c:y val="0.17774029802937144"/>
          <c:w val="0.80513729246487897"/>
          <c:h val="0.66120192323406646"/>
        </c:manualLayout>
      </c:layout>
      <c:barChart>
        <c:barDir val="bar"/>
        <c:grouping val="clustered"/>
        <c:varyColors val="0"/>
        <c:ser>
          <c:idx val="2"/>
          <c:order val="0"/>
          <c:tx>
            <c:strRef>
              <c:f>F_EN!$D$135</c:f>
              <c:strCache>
                <c:ptCount val="1"/>
                <c:pt idx="0">
                  <c:v> % of internet users</c:v>
                </c:pt>
              </c:strCache>
            </c:strRef>
          </c:tx>
          <c:spPr>
            <a:solidFill>
              <a:srgbClr val="47E5FF"/>
            </a:solidFill>
          </c:spPr>
          <c:invertIfNegative val="0"/>
          <c:dLbls>
            <c:numFmt formatCode="0.0%" sourceLinked="0"/>
            <c:spPr>
              <a:noFill/>
              <a:ln>
                <a:noFill/>
              </a:ln>
              <a:effectLst/>
            </c:spPr>
            <c:txPr>
              <a:bodyPr rot="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F_EN!$B$136:$B$143</c:f>
              <c:strCache>
                <c:ptCount val="8"/>
                <c:pt idx="0">
                  <c:v>  55+</c:v>
                </c:pt>
                <c:pt idx="1">
                  <c:v>  35–54</c:v>
                </c:pt>
                <c:pt idx="2">
                  <c:v>  16–34</c:v>
                </c:pt>
                <c:pt idx="4">
                  <c:v>Females</c:v>
                </c:pt>
                <c:pt idx="5">
                  <c:v>Males</c:v>
                </c:pt>
                <c:pt idx="7">
                  <c:v>Total</c:v>
                </c:pt>
              </c:strCache>
            </c:strRef>
          </c:cat>
          <c:val>
            <c:numRef>
              <c:f>F_EN!$D$136:$D$143</c:f>
              <c:numCache>
                <c:formatCode>0%</c:formatCode>
                <c:ptCount val="8"/>
                <c:pt idx="0">
                  <c:v>1.6674907606770501E-2</c:v>
                </c:pt>
                <c:pt idx="1">
                  <c:v>3.9302593919453302E-2</c:v>
                </c:pt>
                <c:pt idx="2">
                  <c:v>8.9125621279546902E-2</c:v>
                </c:pt>
                <c:pt idx="4">
                  <c:v>1.2999999999999999E-2</c:v>
                </c:pt>
                <c:pt idx="5">
                  <c:v>8.5999999999999993E-2</c:v>
                </c:pt>
                <c:pt idx="7">
                  <c:v>0.05</c:v>
                </c:pt>
              </c:numCache>
            </c:numRef>
          </c:val>
          <c:extLst>
            <c:ext xmlns:c16="http://schemas.microsoft.com/office/drawing/2014/chart" uri="{C3380CC4-5D6E-409C-BE32-E72D297353CC}">
              <c16:uniqueId val="{00000000-6CD1-4A00-9626-ECE5078DC3B7}"/>
            </c:ext>
          </c:extLst>
        </c:ser>
        <c:ser>
          <c:idx val="0"/>
          <c:order val="1"/>
          <c:tx>
            <c:strRef>
              <c:f>F_EN!$C$135</c:f>
              <c:strCache>
                <c:ptCount val="1"/>
                <c:pt idx="0">
                  <c:v> % of all individuals</c:v>
                </c:pt>
              </c:strCache>
            </c:strRef>
          </c:tx>
          <c:spPr>
            <a:solidFill>
              <a:srgbClr val="009BB4"/>
            </a:solidFill>
          </c:spPr>
          <c:invertIfNegative val="0"/>
          <c:dLbls>
            <c:numFmt formatCode="0.0%" sourceLinked="0"/>
            <c:spPr>
              <a:noFill/>
            </c:spPr>
            <c:txPr>
              <a:bodyPr rot="0" vert="horz"/>
              <a:lstStyle/>
              <a:p>
                <a:pPr>
                  <a:defRPr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F_EN!$B$136:$B$143</c:f>
              <c:strCache>
                <c:ptCount val="8"/>
                <c:pt idx="0">
                  <c:v>  55+</c:v>
                </c:pt>
                <c:pt idx="1">
                  <c:v>  35–54</c:v>
                </c:pt>
                <c:pt idx="2">
                  <c:v>  16–34</c:v>
                </c:pt>
                <c:pt idx="4">
                  <c:v>Females</c:v>
                </c:pt>
                <c:pt idx="5">
                  <c:v>Males</c:v>
                </c:pt>
                <c:pt idx="7">
                  <c:v>Total</c:v>
                </c:pt>
              </c:strCache>
            </c:strRef>
          </c:cat>
          <c:val>
            <c:numRef>
              <c:f>F_EN!$C$136:$C$143</c:f>
              <c:numCache>
                <c:formatCode>0%</c:formatCode>
                <c:ptCount val="8"/>
                <c:pt idx="0">
                  <c:v>8.3997151173253199E-3</c:v>
                </c:pt>
                <c:pt idx="1">
                  <c:v>3.71331573326628E-2</c:v>
                </c:pt>
                <c:pt idx="2">
                  <c:v>8.7750286944772299E-2</c:v>
                </c:pt>
                <c:pt idx="4">
                  <c:v>9.4370539476613304E-3</c:v>
                </c:pt>
                <c:pt idx="5">
                  <c:v>7.0999999999999994E-2</c:v>
                </c:pt>
                <c:pt idx="7">
                  <c:v>3.9E-2</c:v>
                </c:pt>
              </c:numCache>
            </c:numRef>
          </c:val>
          <c:extLst>
            <c:ext xmlns:c16="http://schemas.microsoft.com/office/drawing/2014/chart" uri="{C3380CC4-5D6E-409C-BE32-E72D297353CC}">
              <c16:uniqueId val="{00000001-6CD1-4A00-9626-ECE5078DC3B7}"/>
            </c:ext>
          </c:extLst>
        </c:ser>
        <c:dLbls>
          <c:showLegendKey val="0"/>
          <c:showVal val="0"/>
          <c:showCatName val="0"/>
          <c:showSerName val="0"/>
          <c:showPercent val="0"/>
          <c:showBubbleSize val="0"/>
        </c:dLbls>
        <c:gapWidth val="50"/>
        <c:axId val="200805376"/>
        <c:axId val="200651264"/>
      </c:barChart>
      <c:catAx>
        <c:axId val="200805376"/>
        <c:scaling>
          <c:orientation val="minMax"/>
        </c:scaling>
        <c:delete val="0"/>
        <c:axPos val="l"/>
        <c:numFmt formatCode="General" sourceLinked="1"/>
        <c:majorTickMark val="out"/>
        <c:minorTickMark val="none"/>
        <c:tickLblPos val="nextTo"/>
        <c:spPr>
          <a:ln w="3175">
            <a:solidFill>
              <a:schemeClr val="tx1"/>
            </a:solidFill>
          </a:ln>
        </c:spPr>
        <c:crossAx val="200651264"/>
        <c:crosses val="autoZero"/>
        <c:auto val="1"/>
        <c:lblAlgn val="ctr"/>
        <c:lblOffset val="100"/>
        <c:noMultiLvlLbl val="0"/>
      </c:catAx>
      <c:valAx>
        <c:axId val="200651264"/>
        <c:scaling>
          <c:orientation val="minMax"/>
          <c:max val="0.3"/>
        </c:scaling>
        <c:delete val="0"/>
        <c:axPos val="b"/>
        <c:numFmt formatCode="0%" sourceLinked="1"/>
        <c:majorTickMark val="none"/>
        <c:minorTickMark val="none"/>
        <c:tickLblPos val="none"/>
        <c:crossAx val="200805376"/>
        <c:crossesAt val="1"/>
        <c:crossBetween val="between"/>
        <c:majorUnit val="0.1"/>
      </c:valAx>
      <c:spPr>
        <a:ln w="12700">
          <a:solidFill>
            <a:schemeClr val="bg1">
              <a:lumMod val="65000"/>
            </a:schemeClr>
          </a:solidFill>
        </a:ln>
      </c:spPr>
    </c:plotArea>
    <c:legend>
      <c:legendPos val="t"/>
      <c:layout>
        <c:manualLayout>
          <c:xMode val="edge"/>
          <c:yMode val="edge"/>
          <c:x val="0.5697795531033073"/>
          <c:y val="0.20914712871351854"/>
          <c:w val="0.35554597701149399"/>
          <c:h val="0.12929336510395725"/>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9.8363888888888903E-2"/>
          <c:w val="0.87603874893057032"/>
          <c:h val="0.52488515372444544"/>
        </c:manualLayout>
      </c:layout>
      <c:barChart>
        <c:barDir val="col"/>
        <c:grouping val="clustered"/>
        <c:varyColors val="0"/>
        <c:ser>
          <c:idx val="0"/>
          <c:order val="0"/>
          <c:tx>
            <c:strRef>
              <c:f>F_EN!$C$152</c:f>
              <c:strCache>
                <c:ptCount val="1"/>
                <c:pt idx="0">
                  <c:v> Total</c:v>
                </c:pt>
              </c:strCache>
            </c:strRef>
          </c:tx>
          <c:spPr>
            <a:solidFill>
              <a:srgbClr val="009BB4"/>
            </a:solidFill>
          </c:spPr>
          <c:invertIfNegative val="0"/>
          <c:dPt>
            <c:idx val="8"/>
            <c:invertIfNegative val="0"/>
            <c:bubble3D val="0"/>
            <c:spPr>
              <a:solidFill>
                <a:srgbClr val="009BB4"/>
              </a:solidFill>
              <a:ln w="9525">
                <a:solidFill>
                  <a:srgbClr val="C00000"/>
                </a:solidFill>
              </a:ln>
            </c:spPr>
            <c:extLst>
              <c:ext xmlns:c16="http://schemas.microsoft.com/office/drawing/2014/chart" uri="{C3380CC4-5D6E-409C-BE32-E72D297353CC}">
                <c16:uniqueId val="{00000001-DDDC-4F2A-BA0B-710D16363533}"/>
              </c:ext>
            </c:extLst>
          </c:dPt>
          <c:dPt>
            <c:idx val="9"/>
            <c:invertIfNegative val="0"/>
            <c:bubble3D val="0"/>
            <c:extLst>
              <c:ext xmlns:c16="http://schemas.microsoft.com/office/drawing/2014/chart" uri="{C3380CC4-5D6E-409C-BE32-E72D297353CC}">
                <c16:uniqueId val="{00000002-DDDC-4F2A-BA0B-710D16363533}"/>
              </c:ext>
            </c:extLst>
          </c:dPt>
          <c:dPt>
            <c:idx val="16"/>
            <c:invertIfNegative val="0"/>
            <c:bubble3D val="0"/>
            <c:spPr>
              <a:solidFill>
                <a:srgbClr val="009BB4"/>
              </a:solidFill>
              <a:ln w="9525">
                <a:solidFill>
                  <a:srgbClr val="C00000"/>
                </a:solidFill>
              </a:ln>
            </c:spPr>
            <c:extLst>
              <c:ext xmlns:c16="http://schemas.microsoft.com/office/drawing/2014/chart" uri="{C3380CC4-5D6E-409C-BE32-E72D297353CC}">
                <c16:uniqueId val="{00000004-DDDC-4F2A-BA0B-710D16363533}"/>
              </c:ext>
            </c:extLst>
          </c:dPt>
          <c:dLbls>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F_EN!$B$153:$B$180</c:f>
              <c:strCache>
                <c:ptCount val="28"/>
                <c:pt idx="0">
                  <c:v>Netherlands</c:v>
                </c:pt>
                <c:pt idx="1">
                  <c:v>Denmark</c:v>
                </c:pt>
                <c:pt idx="2">
                  <c:v>Finland</c:v>
                </c:pt>
                <c:pt idx="3">
                  <c:v>Sweden</c:v>
                </c:pt>
                <c:pt idx="4">
                  <c:v>United Kingdom</c:v>
                </c:pt>
                <c:pt idx="5">
                  <c:v>Austria</c:v>
                </c:pt>
                <c:pt idx="6">
                  <c:v>Belgium</c:v>
                </c:pt>
                <c:pt idx="7">
                  <c:v>Slovenia</c:v>
                </c:pt>
                <c:pt idx="8">
                  <c:v>Czech Republic</c:v>
                </c:pt>
                <c:pt idx="9">
                  <c:v>Estonia</c:v>
                </c:pt>
                <c:pt idx="10">
                  <c:v>Slovakia</c:v>
                </c:pt>
                <c:pt idx="11">
                  <c:v>Lithuania</c:v>
                </c:pt>
                <c:pt idx="12">
                  <c:v>France</c:v>
                </c:pt>
                <c:pt idx="13">
                  <c:v>Germany</c:v>
                </c:pt>
                <c:pt idx="14">
                  <c:v>Malta</c:v>
                </c:pt>
                <c:pt idx="15">
                  <c:v>Greece</c:v>
                </c:pt>
                <c:pt idx="16">
                  <c:v>EU28</c:v>
                </c:pt>
                <c:pt idx="17">
                  <c:v>Portugal</c:v>
                </c:pt>
                <c:pt idx="18">
                  <c:v>Spain</c:v>
                </c:pt>
                <c:pt idx="19">
                  <c:v>Hungary</c:v>
                </c:pt>
                <c:pt idx="20">
                  <c:v>Ireland</c:v>
                </c:pt>
                <c:pt idx="21">
                  <c:v>Croatia</c:v>
                </c:pt>
                <c:pt idx="22">
                  <c:v>Latvia</c:v>
                </c:pt>
                <c:pt idx="23">
                  <c:v>Itálie</c:v>
                </c:pt>
                <c:pt idx="24">
                  <c:v>Poland</c:v>
                </c:pt>
                <c:pt idx="25">
                  <c:v>Cyprus</c:v>
                </c:pt>
                <c:pt idx="26">
                  <c:v>Bulgaria</c:v>
                </c:pt>
                <c:pt idx="27">
                  <c:v>Romania</c:v>
                </c:pt>
              </c:strCache>
            </c:strRef>
          </c:cat>
          <c:val>
            <c:numRef>
              <c:f>F_EN!$C$153:$C$180</c:f>
              <c:numCache>
                <c:formatCode>0%</c:formatCode>
                <c:ptCount val="28"/>
                <c:pt idx="0">
                  <c:v>0.56506100000000004</c:v>
                </c:pt>
                <c:pt idx="1">
                  <c:v>0.56348100000000001</c:v>
                </c:pt>
                <c:pt idx="2">
                  <c:v>0.51280700000000001</c:v>
                </c:pt>
                <c:pt idx="3">
                  <c:v>0.50621799999999995</c:v>
                </c:pt>
                <c:pt idx="4">
                  <c:v>0.49471900000000002</c:v>
                </c:pt>
                <c:pt idx="5">
                  <c:v>0.464283</c:v>
                </c:pt>
                <c:pt idx="6">
                  <c:v>0.45071</c:v>
                </c:pt>
                <c:pt idx="7">
                  <c:v>0.44696999999999998</c:v>
                </c:pt>
                <c:pt idx="8">
                  <c:v>0.44459599999999999</c:v>
                </c:pt>
                <c:pt idx="9">
                  <c:v>0.42618800000000001</c:v>
                </c:pt>
                <c:pt idx="10">
                  <c:v>0.41619499999999998</c:v>
                </c:pt>
                <c:pt idx="11">
                  <c:v>0.40876600000000002</c:v>
                </c:pt>
                <c:pt idx="12">
                  <c:v>0.40287899999999999</c:v>
                </c:pt>
                <c:pt idx="13">
                  <c:v>0.400422</c:v>
                </c:pt>
                <c:pt idx="14">
                  <c:v>0.38656099999999999</c:v>
                </c:pt>
                <c:pt idx="15">
                  <c:v>0.386347</c:v>
                </c:pt>
                <c:pt idx="16">
                  <c:v>0.38333400000000001</c:v>
                </c:pt>
                <c:pt idx="17">
                  <c:v>0.38005499999999998</c:v>
                </c:pt>
                <c:pt idx="18">
                  <c:v>0.35819400000000001</c:v>
                </c:pt>
                <c:pt idx="19">
                  <c:v>0.346086</c:v>
                </c:pt>
                <c:pt idx="20">
                  <c:v>0.34395700000000001</c:v>
                </c:pt>
                <c:pt idx="21">
                  <c:v>0.32145200000000002</c:v>
                </c:pt>
                <c:pt idx="22">
                  <c:v>0.30892599999999998</c:v>
                </c:pt>
                <c:pt idx="23">
                  <c:v>0.30704500000000001</c:v>
                </c:pt>
                <c:pt idx="24">
                  <c:v>0.28087699999999999</c:v>
                </c:pt>
                <c:pt idx="25">
                  <c:v>0.235231</c:v>
                </c:pt>
                <c:pt idx="26">
                  <c:v>0.163741</c:v>
                </c:pt>
                <c:pt idx="27">
                  <c:v>0.13734299999999999</c:v>
                </c:pt>
              </c:numCache>
            </c:numRef>
          </c:val>
          <c:extLst>
            <c:ext xmlns:c16="http://schemas.microsoft.com/office/drawing/2014/chart" uri="{C3380CC4-5D6E-409C-BE32-E72D297353CC}">
              <c16:uniqueId val="{00000005-DDDC-4F2A-BA0B-710D16363533}"/>
            </c:ext>
          </c:extLst>
        </c:ser>
        <c:dLbls>
          <c:showLegendKey val="0"/>
          <c:showVal val="0"/>
          <c:showCatName val="0"/>
          <c:showSerName val="0"/>
          <c:showPercent val="0"/>
          <c:showBubbleSize val="0"/>
        </c:dLbls>
        <c:gapWidth val="50"/>
        <c:axId val="201523712"/>
        <c:axId val="200652992"/>
      </c:barChart>
      <c:barChart>
        <c:barDir val="col"/>
        <c:grouping val="clustered"/>
        <c:varyColors val="0"/>
        <c:ser>
          <c:idx val="1"/>
          <c:order val="1"/>
          <c:tx>
            <c:strRef>
              <c:f>F_EN!$D$152</c:f>
              <c:strCache>
                <c:ptCount val="1"/>
                <c:pt idx="0">
                  <c:v> using advanced functions</c:v>
                </c:pt>
              </c:strCache>
            </c:strRef>
          </c:tx>
          <c:spPr>
            <a:solidFill>
              <a:srgbClr val="47E5FF"/>
            </a:solidFill>
            <a:ln w="28575">
              <a:noFill/>
            </a:ln>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F_EN!$B$153:$B$180</c:f>
              <c:strCache>
                <c:ptCount val="28"/>
                <c:pt idx="0">
                  <c:v>Netherlands</c:v>
                </c:pt>
                <c:pt idx="1">
                  <c:v>Denmark</c:v>
                </c:pt>
                <c:pt idx="2">
                  <c:v>Finland</c:v>
                </c:pt>
                <c:pt idx="3">
                  <c:v>Sweden</c:v>
                </c:pt>
                <c:pt idx="4">
                  <c:v>United Kingdom</c:v>
                </c:pt>
                <c:pt idx="5">
                  <c:v>Austria</c:v>
                </c:pt>
                <c:pt idx="6">
                  <c:v>Belgium</c:v>
                </c:pt>
                <c:pt idx="7">
                  <c:v>Slovenia</c:v>
                </c:pt>
                <c:pt idx="8">
                  <c:v>Czech Republic</c:v>
                </c:pt>
                <c:pt idx="9">
                  <c:v>Estonia</c:v>
                </c:pt>
                <c:pt idx="10">
                  <c:v>Slovakia</c:v>
                </c:pt>
                <c:pt idx="11">
                  <c:v>Lithuania</c:v>
                </c:pt>
                <c:pt idx="12">
                  <c:v>France</c:v>
                </c:pt>
                <c:pt idx="13">
                  <c:v>Germany</c:v>
                </c:pt>
                <c:pt idx="14">
                  <c:v>Malta</c:v>
                </c:pt>
                <c:pt idx="15">
                  <c:v>Greece</c:v>
                </c:pt>
                <c:pt idx="16">
                  <c:v>EU28</c:v>
                </c:pt>
                <c:pt idx="17">
                  <c:v>Portugal</c:v>
                </c:pt>
                <c:pt idx="18">
                  <c:v>Spain</c:v>
                </c:pt>
                <c:pt idx="19">
                  <c:v>Hungary</c:v>
                </c:pt>
                <c:pt idx="20">
                  <c:v>Ireland</c:v>
                </c:pt>
                <c:pt idx="21">
                  <c:v>Croatia</c:v>
                </c:pt>
                <c:pt idx="22">
                  <c:v>Latvia</c:v>
                </c:pt>
                <c:pt idx="23">
                  <c:v>Itálie</c:v>
                </c:pt>
                <c:pt idx="24">
                  <c:v>Poland</c:v>
                </c:pt>
                <c:pt idx="25">
                  <c:v>Cyprus</c:v>
                </c:pt>
                <c:pt idx="26">
                  <c:v>Bulgaria</c:v>
                </c:pt>
                <c:pt idx="27">
                  <c:v>Romania</c:v>
                </c:pt>
              </c:strCache>
            </c:strRef>
          </c:cat>
          <c:val>
            <c:numRef>
              <c:f>F_EN!$D$153:$D$180</c:f>
              <c:numCache>
                <c:formatCode>0%</c:formatCode>
                <c:ptCount val="28"/>
                <c:pt idx="0">
                  <c:v>0.35907299999999998</c:v>
                </c:pt>
                <c:pt idx="1">
                  <c:v>0.29679800000000001</c:v>
                </c:pt>
                <c:pt idx="2">
                  <c:v>0.33694000000000002</c:v>
                </c:pt>
                <c:pt idx="3">
                  <c:v>0.27637</c:v>
                </c:pt>
                <c:pt idx="4">
                  <c:v>0.33529999999999999</c:v>
                </c:pt>
                <c:pt idx="5">
                  <c:v>0.32829000000000003</c:v>
                </c:pt>
                <c:pt idx="6">
                  <c:v>0.21964500000000001</c:v>
                </c:pt>
                <c:pt idx="7">
                  <c:v>0.32390600000000003</c:v>
                </c:pt>
                <c:pt idx="8">
                  <c:v>0.188024</c:v>
                </c:pt>
                <c:pt idx="9">
                  <c:v>0.27877299999999999</c:v>
                </c:pt>
                <c:pt idx="10">
                  <c:v>0.215028</c:v>
                </c:pt>
                <c:pt idx="11">
                  <c:v>0.256411</c:v>
                </c:pt>
                <c:pt idx="12">
                  <c:v>0.267876</c:v>
                </c:pt>
                <c:pt idx="13">
                  <c:v>0.33147900000000002</c:v>
                </c:pt>
                <c:pt idx="14">
                  <c:v>0.313413</c:v>
                </c:pt>
                <c:pt idx="15">
                  <c:v>0.178812</c:v>
                </c:pt>
                <c:pt idx="16">
                  <c:v>0.25299700000000003</c:v>
                </c:pt>
                <c:pt idx="17">
                  <c:v>0.32069599999999998</c:v>
                </c:pt>
                <c:pt idx="18">
                  <c:v>0.22451699999999999</c:v>
                </c:pt>
                <c:pt idx="19">
                  <c:v>0.23792099999999999</c:v>
                </c:pt>
                <c:pt idx="20">
                  <c:v>0.19538</c:v>
                </c:pt>
                <c:pt idx="21">
                  <c:v>0.12981400000000001</c:v>
                </c:pt>
                <c:pt idx="22">
                  <c:v>0.208256</c:v>
                </c:pt>
                <c:pt idx="23">
                  <c:v>0.20390800000000001</c:v>
                </c:pt>
                <c:pt idx="24">
                  <c:v>0.13125999999999999</c:v>
                </c:pt>
                <c:pt idx="25">
                  <c:v>0.12402000000000001</c:v>
                </c:pt>
                <c:pt idx="26">
                  <c:v>9.1411999999999993E-2</c:v>
                </c:pt>
                <c:pt idx="27">
                  <c:v>8.4201999999999999E-2</c:v>
                </c:pt>
              </c:numCache>
            </c:numRef>
          </c:val>
          <c:extLst>
            <c:ext xmlns:c16="http://schemas.microsoft.com/office/drawing/2014/chart" uri="{C3380CC4-5D6E-409C-BE32-E72D297353CC}">
              <c16:uniqueId val="{00000006-DDDC-4F2A-BA0B-710D16363533}"/>
            </c:ext>
          </c:extLst>
        </c:ser>
        <c:dLbls>
          <c:showLegendKey val="0"/>
          <c:showVal val="0"/>
          <c:showCatName val="0"/>
          <c:showSerName val="0"/>
          <c:showPercent val="0"/>
          <c:showBubbleSize val="0"/>
        </c:dLbls>
        <c:gapWidth val="201"/>
        <c:axId val="201526272"/>
        <c:axId val="200653568"/>
      </c:barChart>
      <c:catAx>
        <c:axId val="201523712"/>
        <c:scaling>
          <c:orientation val="minMax"/>
        </c:scaling>
        <c:delete val="0"/>
        <c:axPos val="b"/>
        <c:numFmt formatCode="General" sourceLinked="1"/>
        <c:majorTickMark val="out"/>
        <c:minorTickMark val="none"/>
        <c:tickLblPos val="nextTo"/>
        <c:spPr>
          <a:ln w="3175">
            <a:solidFill>
              <a:schemeClr val="tx1"/>
            </a:solidFill>
          </a:ln>
        </c:spPr>
        <c:crossAx val="200652992"/>
        <c:crosses val="autoZero"/>
        <c:auto val="1"/>
        <c:lblAlgn val="ctr"/>
        <c:lblOffset val="100"/>
        <c:noMultiLvlLbl val="0"/>
      </c:catAx>
      <c:valAx>
        <c:axId val="200652992"/>
        <c:scaling>
          <c:orientation val="minMax"/>
          <c:max val="1"/>
          <c:min val="0"/>
        </c:scaling>
        <c:delete val="1"/>
        <c:axPos val="l"/>
        <c:numFmt formatCode="0%" sourceLinked="1"/>
        <c:majorTickMark val="out"/>
        <c:minorTickMark val="none"/>
        <c:tickLblPos val="nextTo"/>
        <c:crossAx val="201523712"/>
        <c:crosses val="autoZero"/>
        <c:crossBetween val="between"/>
        <c:majorUnit val="0.1"/>
        <c:minorUnit val="0.05"/>
      </c:valAx>
      <c:valAx>
        <c:axId val="200653568"/>
        <c:scaling>
          <c:orientation val="minMax"/>
          <c:max val="1"/>
        </c:scaling>
        <c:delete val="0"/>
        <c:axPos val="r"/>
        <c:numFmt formatCode="0%" sourceLinked="1"/>
        <c:majorTickMark val="none"/>
        <c:minorTickMark val="none"/>
        <c:tickLblPos val="nextTo"/>
        <c:txPr>
          <a:bodyPr/>
          <a:lstStyle/>
          <a:p>
            <a:pPr>
              <a:defRPr>
                <a:solidFill>
                  <a:schemeClr val="bg1"/>
                </a:solidFill>
              </a:defRPr>
            </a:pPr>
            <a:endParaRPr lang="cs-CZ"/>
          </a:p>
        </c:txPr>
        <c:crossAx val="201526272"/>
        <c:crosses val="max"/>
        <c:crossBetween val="between"/>
        <c:majorUnit val="0.1"/>
      </c:valAx>
      <c:catAx>
        <c:axId val="201526272"/>
        <c:scaling>
          <c:orientation val="minMax"/>
        </c:scaling>
        <c:delete val="1"/>
        <c:axPos val="b"/>
        <c:numFmt formatCode="General" sourceLinked="0"/>
        <c:majorTickMark val="out"/>
        <c:minorTickMark val="none"/>
        <c:tickLblPos val="nextTo"/>
        <c:crossAx val="2006535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5125821827744901"/>
          <c:y val="0.18348734567901201"/>
          <c:w val="0.25578911900065698"/>
          <c:h val="0.116382098765432"/>
        </c:manualLayout>
      </c:layout>
      <c:overlay val="0"/>
      <c:spPr>
        <a:solidFill>
          <a:schemeClr val="bg1"/>
        </a:solidFill>
        <a:ln>
          <a:solidFill>
            <a:schemeClr val="bg1">
              <a:lumMod val="50000"/>
            </a:schemeClr>
          </a:solidFill>
        </a:ln>
      </c:sp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6E-2"/>
          <c:y val="0.15064223095785001"/>
          <c:w val="0.95675548296401047"/>
          <c:h val="0.61905869854780005"/>
        </c:manualLayout>
      </c:layout>
      <c:barChart>
        <c:barDir val="col"/>
        <c:grouping val="clustered"/>
        <c:varyColors val="0"/>
        <c:ser>
          <c:idx val="2"/>
          <c:order val="0"/>
          <c:tx>
            <c:strRef>
              <c:f>F_EN!$B$188</c:f>
              <c:strCache>
                <c:ptCount val="1"/>
                <c:pt idx="0">
                  <c:v>  Thous. students</c:v>
                </c:pt>
              </c:strCache>
            </c:strRef>
          </c:tx>
          <c:spPr>
            <a:solidFill>
              <a:srgbClr val="009BB4"/>
            </a:solidFill>
            <a:ln w="25400">
              <a:noFill/>
            </a:ln>
          </c:spPr>
          <c:invertIfNegative val="0"/>
          <c:dLbls>
            <c:numFmt formatCode="#,##0.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F_EN!$C$187:$N$187</c:f>
              <c:numCache>
                <c:formatCode>@</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F_EN!$C$188:$N$188</c:f>
              <c:numCache>
                <c:formatCode>#,##0.0</c:formatCode>
                <c:ptCount val="12"/>
                <c:pt idx="0">
                  <c:v>13.815</c:v>
                </c:pt>
                <c:pt idx="1">
                  <c:v>15.494</c:v>
                </c:pt>
                <c:pt idx="2">
                  <c:v>17.245000000000001</c:v>
                </c:pt>
                <c:pt idx="3">
                  <c:v>18.135000000000009</c:v>
                </c:pt>
                <c:pt idx="4">
                  <c:v>18.951000000000001</c:v>
                </c:pt>
                <c:pt idx="5">
                  <c:v>19.762</c:v>
                </c:pt>
                <c:pt idx="6">
                  <c:v>19.734999999999999</c:v>
                </c:pt>
                <c:pt idx="7">
                  <c:v>19.594999999999999</c:v>
                </c:pt>
                <c:pt idx="8">
                  <c:v>19.260999999999999</c:v>
                </c:pt>
                <c:pt idx="9">
                  <c:v>18.175000000000001</c:v>
                </c:pt>
                <c:pt idx="10">
                  <c:v>17.757000000000001</c:v>
                </c:pt>
                <c:pt idx="11">
                  <c:v>17.251000000000001</c:v>
                </c:pt>
              </c:numCache>
            </c:numRef>
          </c:val>
          <c:extLst>
            <c:ext xmlns:c16="http://schemas.microsoft.com/office/drawing/2014/chart" uri="{C3380CC4-5D6E-409C-BE32-E72D297353CC}">
              <c16:uniqueId val="{00000000-61C7-4719-B32D-C1BF44CF2CF4}"/>
            </c:ext>
          </c:extLst>
        </c:ser>
        <c:dLbls>
          <c:showLegendKey val="0"/>
          <c:showVal val="0"/>
          <c:showCatName val="0"/>
          <c:showSerName val="0"/>
          <c:showPercent val="0"/>
          <c:showBubbleSize val="0"/>
        </c:dLbls>
        <c:gapWidth val="50"/>
        <c:axId val="201205248"/>
        <c:axId val="201736768"/>
      </c:barChart>
      <c:lineChart>
        <c:grouping val="standard"/>
        <c:varyColors val="0"/>
        <c:ser>
          <c:idx val="0"/>
          <c:order val="1"/>
          <c:tx>
            <c:strRef>
              <c:f>F_EN!$B$189</c:f>
              <c:strCache>
                <c:ptCount val="1"/>
                <c:pt idx="0">
                  <c:v>  % of all university students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7-4719-B32D-C1BF44CF2CF4}"/>
                </c:ext>
              </c:extLst>
            </c:dLbl>
            <c:dLbl>
              <c:idx val="1"/>
              <c:layout>
                <c:manualLayout>
                  <c:x val="-7.0608854243054395E-2"/>
                  <c:y val="6.8209281862689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C7-4719-B32D-C1BF44CF2CF4}"/>
                </c:ext>
              </c:extLst>
            </c:dLbl>
            <c:dLbl>
              <c:idx val="3"/>
              <c:layout>
                <c:manualLayout>
                  <c:x val="-7.0608854243054395E-2"/>
                  <c:y val="3.3825327707961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7-4719-B32D-C1BF44CF2CF4}"/>
                </c:ext>
              </c:extLst>
            </c:dLbl>
            <c:dLbl>
              <c:idx val="5"/>
              <c:layout>
                <c:manualLayout>
                  <c:x val="-6.6712118357676195E-2"/>
                  <c:y val="3.955598673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7-4719-B32D-C1BF44CF2CF4}"/>
                </c:ext>
              </c:extLst>
            </c:dLbl>
            <c:dLbl>
              <c:idx val="7"/>
              <c:layout>
                <c:manualLayout>
                  <c:x val="-6.6712118357676195E-2"/>
                  <c:y val="5.1017304785325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7-4719-B32D-C1BF44CF2CF4}"/>
                </c:ext>
              </c:extLst>
            </c:dLbl>
            <c:dLbl>
              <c:idx val="9"/>
              <c:layout>
                <c:manualLayout>
                  <c:x val="-7.8402326013811197E-2"/>
                  <c:y val="3.955598673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7-4719-B32D-C1BF44CF2CF4}"/>
                </c:ext>
              </c:extLst>
            </c:dLbl>
            <c:dLbl>
              <c:idx val="11"/>
              <c:layout>
                <c:manualLayout>
                  <c:x val="-7.8402326013811002E-2"/>
                  <c:y val="6.8209281862689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C7-4719-B32D-C1BF44CF2CF4}"/>
                </c:ext>
              </c:extLst>
            </c:dLbl>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F_EN!$C$187:$N$187</c:f>
              <c:numCache>
                <c:formatCode>@</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F_EN!$C$189:$N$189</c:f>
              <c:numCache>
                <c:formatCode>0.0%</c:formatCode>
                <c:ptCount val="12"/>
                <c:pt idx="0">
                  <c:v>4.8000000000000001E-2</c:v>
                </c:pt>
                <c:pt idx="1">
                  <c:v>4.9000000000000002E-2</c:v>
                </c:pt>
                <c:pt idx="2">
                  <c:v>0.05</c:v>
                </c:pt>
                <c:pt idx="3">
                  <c:v>4.9000000000000002E-2</c:v>
                </c:pt>
                <c:pt idx="4">
                  <c:v>4.9000000000000002E-2</c:v>
                </c:pt>
                <c:pt idx="5">
                  <c:v>0.05</c:v>
                </c:pt>
                <c:pt idx="6">
                  <c:v>0.05</c:v>
                </c:pt>
                <c:pt idx="7">
                  <c:v>5.0999999999999997E-2</c:v>
                </c:pt>
                <c:pt idx="8">
                  <c:v>5.1999999999999998E-2</c:v>
                </c:pt>
                <c:pt idx="9">
                  <c:v>5.1999999999999998E-2</c:v>
                </c:pt>
                <c:pt idx="10">
                  <c:v>5.3999999999999999E-2</c:v>
                </c:pt>
                <c:pt idx="11">
                  <c:v>5.5404072999999998E-2</c:v>
                </c:pt>
              </c:numCache>
            </c:numRef>
          </c:val>
          <c:smooth val="0"/>
          <c:extLst>
            <c:ext xmlns:c16="http://schemas.microsoft.com/office/drawing/2014/chart" uri="{C3380CC4-5D6E-409C-BE32-E72D297353CC}">
              <c16:uniqueId val="{00000008-61C7-4719-B32D-C1BF44CF2CF4}"/>
            </c:ext>
          </c:extLst>
        </c:ser>
        <c:dLbls>
          <c:showLegendKey val="0"/>
          <c:showVal val="0"/>
          <c:showCatName val="0"/>
          <c:showSerName val="0"/>
          <c:showPercent val="0"/>
          <c:showBubbleSize val="0"/>
        </c:dLbls>
        <c:marker val="1"/>
        <c:smooth val="0"/>
        <c:axId val="201206784"/>
        <c:axId val="201737344"/>
      </c:lineChart>
      <c:catAx>
        <c:axId val="201205248"/>
        <c:scaling>
          <c:orientation val="minMax"/>
        </c:scaling>
        <c:delete val="0"/>
        <c:axPos val="b"/>
        <c:numFmt formatCode="@" sourceLinked="1"/>
        <c:majorTickMark val="out"/>
        <c:minorTickMark val="none"/>
        <c:tickLblPos val="nextTo"/>
        <c:spPr>
          <a:ln w="3175">
            <a:solidFill>
              <a:srgbClr val="000000"/>
            </a:solidFill>
            <a:prstDash val="solid"/>
          </a:ln>
        </c:spPr>
        <c:txPr>
          <a:bodyPr rot="-5400000" vert="horz"/>
          <a:lstStyle/>
          <a:p>
            <a:pPr>
              <a:defRPr/>
            </a:pPr>
            <a:endParaRPr lang="cs-CZ"/>
          </a:p>
        </c:txPr>
        <c:crossAx val="201736768"/>
        <c:crosses val="autoZero"/>
        <c:auto val="1"/>
        <c:lblAlgn val="ctr"/>
        <c:lblOffset val="140"/>
        <c:tickLblSkip val="1"/>
        <c:tickMarkSkip val="1"/>
        <c:noMultiLvlLbl val="0"/>
      </c:catAx>
      <c:valAx>
        <c:axId val="201736768"/>
        <c:scaling>
          <c:orientation val="minMax"/>
          <c:max val="35"/>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205248"/>
        <c:crosses val="autoZero"/>
        <c:crossBetween val="between"/>
        <c:majorUnit val="5"/>
        <c:minorUnit val="0.02"/>
      </c:valAx>
      <c:valAx>
        <c:axId val="201737344"/>
        <c:scaling>
          <c:orientation val="minMax"/>
          <c:max val="7.4999999999999997E-2"/>
          <c:min val="0"/>
        </c:scaling>
        <c:delete val="0"/>
        <c:axPos val="r"/>
        <c:numFmt formatCode="0.0%" sourceLinked="1"/>
        <c:majorTickMark val="none"/>
        <c:minorTickMark val="none"/>
        <c:tickLblPos val="none"/>
        <c:txPr>
          <a:bodyPr/>
          <a:lstStyle/>
          <a:p>
            <a:pPr>
              <a:defRPr>
                <a:solidFill>
                  <a:schemeClr val="bg1"/>
                </a:solidFill>
              </a:defRPr>
            </a:pPr>
            <a:endParaRPr lang="cs-CZ"/>
          </a:p>
        </c:txPr>
        <c:crossAx val="201206784"/>
        <c:crosses val="max"/>
        <c:crossBetween val="between"/>
        <c:majorUnit val="5.000000000000001E-3"/>
      </c:valAx>
      <c:catAx>
        <c:axId val="201206784"/>
        <c:scaling>
          <c:orientation val="minMax"/>
        </c:scaling>
        <c:delete val="1"/>
        <c:axPos val="b"/>
        <c:numFmt formatCode="@" sourceLinked="1"/>
        <c:majorTickMark val="out"/>
        <c:minorTickMark val="none"/>
        <c:tickLblPos val="nextTo"/>
        <c:crossAx val="201737344"/>
        <c:crosses val="autoZero"/>
        <c:auto val="1"/>
        <c:lblAlgn val="ctr"/>
        <c:lblOffset val="100"/>
        <c:noMultiLvlLbl val="0"/>
      </c:catAx>
      <c:spPr>
        <a:noFill/>
        <a:ln w="12700">
          <a:solidFill>
            <a:srgbClr val="A6A6A6"/>
          </a:solidFill>
          <a:prstDash val="solid"/>
        </a:ln>
      </c:spPr>
    </c:plotArea>
    <c:legend>
      <c:legendPos val="t"/>
      <c:layout>
        <c:manualLayout>
          <c:xMode val="edge"/>
          <c:yMode val="edge"/>
          <c:x val="2.86264216972878E-2"/>
          <c:y val="0.15877828951175199"/>
          <c:w val="0.84321467823700602"/>
          <c:h val="8.0909234483225401E-2"/>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Arial CE"/>
          <a:cs typeface="Arial" panose="020B0604020202020204" pitchFamily="34" charset="0"/>
        </a:defRPr>
      </a:pPr>
      <a:endParaRPr lang="cs-CZ"/>
    </a:p>
  </c:txPr>
  <c:externalData r:id="rId1">
    <c:autoUpdate val="0"/>
  </c:externalData>
  <c:userShapes r:id="rId2"/>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F14 University students of ICT field of education in the Czech Republic by sex (%)</a:t>
            </a:r>
            <a:endParaRPr lang="en-US" sz="800" b="1"/>
          </a:p>
        </c:rich>
      </c:tx>
      <c:layout>
        <c:manualLayout>
          <c:xMode val="edge"/>
          <c:yMode val="edge"/>
          <c:x val="0.139067155067155"/>
          <c:y val="2.3031028417024799E-2"/>
        </c:manualLayout>
      </c:layout>
      <c:overlay val="1"/>
    </c:title>
    <c:autoTitleDeleted val="0"/>
    <c:plotArea>
      <c:layout>
        <c:manualLayout>
          <c:layoutTarget val="inner"/>
          <c:xMode val="edge"/>
          <c:yMode val="edge"/>
          <c:x val="0.149256459221667"/>
          <c:y val="0.20698003373048299"/>
          <c:w val="0.81924189708844497"/>
          <c:h val="0.63598317102805402"/>
        </c:manualLayout>
      </c:layout>
      <c:barChart>
        <c:barDir val="bar"/>
        <c:grouping val="stacked"/>
        <c:varyColors val="0"/>
        <c:ser>
          <c:idx val="0"/>
          <c:order val="0"/>
          <c:tx>
            <c:strRef>
              <c:f>F_EN!$B$199</c:f>
              <c:strCache>
                <c:ptCount val="1"/>
                <c:pt idx="0">
                  <c:v> Males</c:v>
                </c:pt>
              </c:strCache>
            </c:strRef>
          </c:tx>
          <c:spPr>
            <a:solidFill>
              <a:srgbClr val="009BB4"/>
            </a:solidFill>
          </c:spPr>
          <c:invertIfNegative val="0"/>
          <c:dLbls>
            <c:numFmt formatCode="0%" sourceLinked="0"/>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F_EN!$C$198:$F$198</c:f>
              <c:numCache>
                <c:formatCode>0</c:formatCode>
                <c:ptCount val="4"/>
                <c:pt idx="0">
                  <c:v>2005</c:v>
                </c:pt>
                <c:pt idx="1">
                  <c:v>2010</c:v>
                </c:pt>
                <c:pt idx="2">
                  <c:v>2015</c:v>
                </c:pt>
                <c:pt idx="3">
                  <c:v>2016</c:v>
                </c:pt>
              </c:numCache>
            </c:numRef>
          </c:cat>
          <c:val>
            <c:numRef>
              <c:f>F_EN!$C$199:$F$199</c:f>
              <c:numCache>
                <c:formatCode>0.0%</c:formatCode>
                <c:ptCount val="4"/>
                <c:pt idx="0">
                  <c:v>0.88900000000000001</c:v>
                </c:pt>
                <c:pt idx="1">
                  <c:v>0.88600000000000001</c:v>
                </c:pt>
                <c:pt idx="2">
                  <c:v>0.85399999999999998</c:v>
                </c:pt>
                <c:pt idx="3">
                  <c:v>0.84299999999999997</c:v>
                </c:pt>
              </c:numCache>
            </c:numRef>
          </c:val>
          <c:extLst>
            <c:ext xmlns:c16="http://schemas.microsoft.com/office/drawing/2014/chart" uri="{C3380CC4-5D6E-409C-BE32-E72D297353CC}">
              <c16:uniqueId val="{00000000-13CB-42DB-B6C3-9D69021FEB5F}"/>
            </c:ext>
          </c:extLst>
        </c:ser>
        <c:ser>
          <c:idx val="2"/>
          <c:order val="1"/>
          <c:tx>
            <c:strRef>
              <c:f>F_EN!$B$200</c:f>
              <c:strCache>
                <c:ptCount val="1"/>
                <c:pt idx="0">
                  <c:v> Females</c:v>
                </c:pt>
              </c:strCache>
            </c:strRef>
          </c:tx>
          <c:spPr>
            <a:solidFill>
              <a:srgbClr val="47E5FF"/>
            </a:solidFill>
          </c:spPr>
          <c:invertIfNegative val="0"/>
          <c:dLbls>
            <c:numFmt formatCode="0%" sourceLinked="0"/>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F_EN!$C$198:$F$198</c:f>
              <c:numCache>
                <c:formatCode>0</c:formatCode>
                <c:ptCount val="4"/>
                <c:pt idx="0">
                  <c:v>2005</c:v>
                </c:pt>
                <c:pt idx="1">
                  <c:v>2010</c:v>
                </c:pt>
                <c:pt idx="2">
                  <c:v>2015</c:v>
                </c:pt>
                <c:pt idx="3">
                  <c:v>2016</c:v>
                </c:pt>
              </c:numCache>
            </c:numRef>
          </c:cat>
          <c:val>
            <c:numRef>
              <c:f>F_EN!$C$200:$F$200</c:f>
              <c:numCache>
                <c:formatCode>0.0%</c:formatCode>
                <c:ptCount val="4"/>
                <c:pt idx="0">
                  <c:v>0.111</c:v>
                </c:pt>
                <c:pt idx="1">
                  <c:v>0.114</c:v>
                </c:pt>
                <c:pt idx="2">
                  <c:v>0.14599999999999999</c:v>
                </c:pt>
                <c:pt idx="3">
                  <c:v>0.157</c:v>
                </c:pt>
              </c:numCache>
            </c:numRef>
          </c:val>
          <c:extLst>
            <c:ext xmlns:c16="http://schemas.microsoft.com/office/drawing/2014/chart" uri="{C3380CC4-5D6E-409C-BE32-E72D297353CC}">
              <c16:uniqueId val="{00000001-13CB-42DB-B6C3-9D69021FEB5F}"/>
            </c:ext>
          </c:extLst>
        </c:ser>
        <c:dLbls>
          <c:showLegendKey val="0"/>
          <c:showVal val="0"/>
          <c:showCatName val="0"/>
          <c:showSerName val="0"/>
          <c:showPercent val="0"/>
          <c:showBubbleSize val="0"/>
        </c:dLbls>
        <c:gapWidth val="50"/>
        <c:overlap val="100"/>
        <c:axId val="201205760"/>
        <c:axId val="201739072"/>
      </c:barChart>
      <c:catAx>
        <c:axId val="201205760"/>
        <c:scaling>
          <c:orientation val="minMax"/>
        </c:scaling>
        <c:delete val="0"/>
        <c:axPos val="l"/>
        <c:numFmt formatCode="0" sourceLinked="1"/>
        <c:majorTickMark val="out"/>
        <c:minorTickMark val="none"/>
        <c:tickLblPos val="nextTo"/>
        <c:spPr>
          <a:ln w="3175">
            <a:solidFill>
              <a:schemeClr val="tx1"/>
            </a:solidFill>
          </a:ln>
        </c:spPr>
        <c:crossAx val="201739072"/>
        <c:crosses val="autoZero"/>
        <c:auto val="1"/>
        <c:lblAlgn val="ctr"/>
        <c:lblOffset val="100"/>
        <c:noMultiLvlLbl val="0"/>
      </c:catAx>
      <c:valAx>
        <c:axId val="201739072"/>
        <c:scaling>
          <c:orientation val="minMax"/>
          <c:max val="1"/>
          <c:min val="0"/>
        </c:scaling>
        <c:delete val="0"/>
        <c:axPos val="b"/>
        <c:numFmt formatCode="0.0%" sourceLinked="1"/>
        <c:majorTickMark val="none"/>
        <c:minorTickMark val="none"/>
        <c:tickLblPos val="none"/>
        <c:crossAx val="201205760"/>
        <c:crosses val="autoZero"/>
        <c:crossBetween val="between"/>
        <c:majorUnit val="0.25"/>
        <c:minorUnit val="0.05"/>
      </c:valAx>
      <c:spPr>
        <a:ln w="12700">
          <a:solidFill>
            <a:schemeClr val="bg1">
              <a:lumMod val="65000"/>
            </a:schemeClr>
          </a:solidFill>
        </a:ln>
      </c:spPr>
    </c:plotArea>
    <c:legend>
      <c:legendPos val="t"/>
      <c:layout>
        <c:manualLayout>
          <c:xMode val="edge"/>
          <c:yMode val="edge"/>
          <c:x val="0.24395689655172401"/>
          <c:y val="0.124367553451934"/>
          <c:w val="0.56546200510855704"/>
          <c:h val="6.3775637886948497E-2"/>
        </c:manualLayout>
      </c:layout>
      <c:overlay val="0"/>
      <c:spPr>
        <a:no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a:t>Figure F16 Earnings</a:t>
            </a:r>
            <a:r>
              <a:rPr lang="cs-CZ" sz="800" baseline="0"/>
              <a:t> of men and women ICT specialists in the Czech Republic</a:t>
            </a:r>
            <a:endParaRPr lang="cs-CZ" sz="800"/>
          </a:p>
        </c:rich>
      </c:tx>
      <c:layout>
        <c:manualLayout>
          <c:xMode val="edge"/>
          <c:yMode val="edge"/>
          <c:x val="8.5672527235465396E-2"/>
          <c:y val="9.2028807817707906E-3"/>
        </c:manualLayout>
      </c:layout>
      <c:overlay val="0"/>
    </c:title>
    <c:autoTitleDeleted val="0"/>
    <c:plotArea>
      <c:layout>
        <c:manualLayout>
          <c:layoutTarget val="inner"/>
          <c:xMode val="edge"/>
          <c:yMode val="edge"/>
          <c:x val="2.8070165098249299E-2"/>
          <c:y val="0.31249709892660299"/>
          <c:w val="0.94448243933588805"/>
          <c:h val="0.436413548012765"/>
        </c:manualLayout>
      </c:layout>
      <c:barChart>
        <c:barDir val="col"/>
        <c:grouping val="clustered"/>
        <c:varyColors val="0"/>
        <c:ser>
          <c:idx val="0"/>
          <c:order val="0"/>
          <c:tx>
            <c:strRef>
              <c:f>F_EN!$A$223</c:f>
              <c:strCache>
                <c:ptCount val="1"/>
                <c:pt idx="0">
                  <c:v> Average gross monthly earnings (wage) in thous. CZK</c:v>
                </c:pt>
              </c:strCache>
            </c:strRef>
          </c:tx>
          <c:spPr>
            <a:solidFill>
              <a:srgbClr val="009BB4"/>
            </a:solidFill>
          </c:spPr>
          <c:invertIfNegative val="0"/>
          <c:dPt>
            <c:idx val="3"/>
            <c:invertIfNegative val="0"/>
            <c:bubble3D val="0"/>
            <c:spPr>
              <a:solidFill>
                <a:srgbClr val="ABF3FF"/>
              </a:solidFill>
            </c:spPr>
            <c:extLst>
              <c:ext xmlns:c16="http://schemas.microsoft.com/office/drawing/2014/chart" uri="{C3380CC4-5D6E-409C-BE32-E72D297353CC}">
                <c16:uniqueId val="{00000001-47BB-4000-BCBD-68AD5CB2E001}"/>
              </c:ext>
            </c:extLst>
          </c:dPt>
          <c:dPt>
            <c:idx val="4"/>
            <c:invertIfNegative val="0"/>
            <c:bubble3D val="0"/>
            <c:spPr>
              <a:solidFill>
                <a:srgbClr val="ABF3FF"/>
              </a:solidFill>
            </c:spPr>
            <c:extLst>
              <c:ext xmlns:c16="http://schemas.microsoft.com/office/drawing/2014/chart" uri="{C3380CC4-5D6E-409C-BE32-E72D297353CC}">
                <c16:uniqueId val="{00000003-47BB-4000-BCBD-68AD5CB2E001}"/>
              </c:ext>
            </c:extLst>
          </c:dPt>
          <c:dPt>
            <c:idx val="5"/>
            <c:invertIfNegative val="0"/>
            <c:bubble3D val="0"/>
            <c:spPr>
              <a:solidFill>
                <a:srgbClr val="ABF3FF"/>
              </a:solidFill>
            </c:spPr>
            <c:extLst>
              <c:ext xmlns:c16="http://schemas.microsoft.com/office/drawing/2014/chart" uri="{C3380CC4-5D6E-409C-BE32-E72D297353CC}">
                <c16:uniqueId val="{00000005-47BB-4000-BCBD-68AD5CB2E001}"/>
              </c:ext>
            </c:extLst>
          </c:dPt>
          <c:dLbls>
            <c:dLbl>
              <c:idx val="0"/>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6-47BB-4000-BCBD-68AD5CB2E001}"/>
                </c:ext>
              </c:extLst>
            </c:dLbl>
            <c:dLbl>
              <c:idx val="1"/>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7-47BB-4000-BCBD-68AD5CB2E001}"/>
                </c:ext>
              </c:extLst>
            </c:dLbl>
            <c:dLbl>
              <c:idx val="2"/>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8-47BB-4000-BCBD-68AD5CB2E001}"/>
                </c:ext>
              </c:extLst>
            </c:dLbl>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F_EN!$B$221:$G$222</c:f>
              <c:multiLvlStrCache>
                <c:ptCount val="6"/>
                <c:lvl>
                  <c:pt idx="0">
                    <c:v>2014</c:v>
                  </c:pt>
                  <c:pt idx="1">
                    <c:v>2015</c:v>
                  </c:pt>
                  <c:pt idx="2">
                    <c:v>2016</c:v>
                  </c:pt>
                  <c:pt idx="3">
                    <c:v>2014</c:v>
                  </c:pt>
                  <c:pt idx="4">
                    <c:v>2015</c:v>
                  </c:pt>
                  <c:pt idx="5">
                    <c:v>2016</c:v>
                  </c:pt>
                </c:lvl>
                <c:lvl>
                  <c:pt idx="0">
                    <c:v>Men ICT professionals</c:v>
                  </c:pt>
                  <c:pt idx="3">
                    <c:v>Women ICT professionals</c:v>
                  </c:pt>
                </c:lvl>
              </c:multiLvlStrCache>
            </c:multiLvlStrRef>
          </c:cat>
          <c:val>
            <c:numRef>
              <c:f>F_EN!$B$223:$G$223</c:f>
              <c:numCache>
                <c:formatCode>#,##0.0</c:formatCode>
                <c:ptCount val="6"/>
                <c:pt idx="0">
                  <c:v>50.206460900000003</c:v>
                </c:pt>
                <c:pt idx="1">
                  <c:v>52.296331700000003</c:v>
                </c:pt>
                <c:pt idx="2">
                  <c:v>54.325000000000003</c:v>
                </c:pt>
                <c:pt idx="3">
                  <c:v>42.380536399999997</c:v>
                </c:pt>
                <c:pt idx="4">
                  <c:v>43.700932299999998</c:v>
                </c:pt>
                <c:pt idx="5">
                  <c:v>45.369</c:v>
                </c:pt>
              </c:numCache>
            </c:numRef>
          </c:val>
          <c:extLst>
            <c:ext xmlns:c16="http://schemas.microsoft.com/office/drawing/2014/chart" uri="{C3380CC4-5D6E-409C-BE32-E72D297353CC}">
              <c16:uniqueId val="{00000009-47BB-4000-BCBD-68AD5CB2E001}"/>
            </c:ext>
          </c:extLst>
        </c:ser>
        <c:dLbls>
          <c:showLegendKey val="0"/>
          <c:showVal val="0"/>
          <c:showCatName val="0"/>
          <c:showSerName val="0"/>
          <c:showPercent val="0"/>
          <c:showBubbleSize val="0"/>
        </c:dLbls>
        <c:gapWidth val="40"/>
        <c:axId val="201323520"/>
        <c:axId val="201743104"/>
      </c:barChart>
      <c:scatterChart>
        <c:scatterStyle val="lineMarker"/>
        <c:varyColors val="0"/>
        <c:ser>
          <c:idx val="1"/>
          <c:order val="1"/>
          <c:tx>
            <c:strRef>
              <c:f>F_EN!$A$224</c:f>
              <c:strCache>
                <c:ptCount val="1"/>
                <c:pt idx="0">
                  <c:v> as % of average gross monthly earnings of all men and women workers</c:v>
                </c:pt>
              </c:strCache>
            </c:strRef>
          </c:tx>
          <c:spPr>
            <a:ln w="28575">
              <a:noFill/>
            </a:ln>
          </c:spPr>
          <c:marker>
            <c:symbol val="triangle"/>
            <c:size val="5"/>
            <c:spPr>
              <a:solidFill>
                <a:srgbClr val="47E5FF"/>
              </a:solidFill>
              <a:ln>
                <a:noFill/>
              </a:ln>
            </c:spPr>
          </c:marker>
          <c:dLbls>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multiLvlStrRef>
              <c:f>[IS2018_Grafy_Shrnutí_F.xlsx]F_EN!$B$221:$G$222</c:f>
              <c:multiLvlStrCache>
                <c:ptCount val="6"/>
                <c:lvl>
                  <c:pt idx="0">
                    <c:v>2014</c:v>
                  </c:pt>
                  <c:pt idx="1">
                    <c:v>2015</c:v>
                  </c:pt>
                  <c:pt idx="2">
                    <c:v>2016</c:v>
                  </c:pt>
                  <c:pt idx="3">
                    <c:v>2014</c:v>
                  </c:pt>
                  <c:pt idx="4">
                    <c:v>2015</c:v>
                  </c:pt>
                  <c:pt idx="5">
                    <c:v>2016</c:v>
                  </c:pt>
                </c:lvl>
                <c:lvl>
                  <c:pt idx="0">
                    <c:v>Men ICT professionals</c:v>
                  </c:pt>
                  <c:pt idx="3">
                    <c:v>Women ICT professionals</c:v>
                  </c:pt>
                </c:lvl>
              </c:multiLvlStrCache>
            </c:multiLvlStrRef>
          </c:xVal>
          <c:yVal>
            <c:numRef>
              <c:f>F_EN!$B$224:$G$224</c:f>
              <c:numCache>
                <c:formatCode>0%</c:formatCode>
                <c:ptCount val="6"/>
                <c:pt idx="0">
                  <c:v>1.689258803539585</c:v>
                </c:pt>
                <c:pt idx="1">
                  <c:v>1.6956206374424481</c:v>
                </c:pt>
                <c:pt idx="2">
                  <c:v>1.690571273417564</c:v>
                </c:pt>
                <c:pt idx="3">
                  <c:v>1.826511071844158</c:v>
                </c:pt>
                <c:pt idx="4">
                  <c:v>1.8137682535070969</c:v>
                </c:pt>
                <c:pt idx="5">
                  <c:v>1.794464418779417</c:v>
                </c:pt>
              </c:numCache>
            </c:numRef>
          </c:yVal>
          <c:smooth val="0"/>
          <c:extLst>
            <c:ext xmlns:c16="http://schemas.microsoft.com/office/drawing/2014/chart" uri="{C3380CC4-5D6E-409C-BE32-E72D297353CC}">
              <c16:uniqueId val="{0000000A-47BB-4000-BCBD-68AD5CB2E001}"/>
            </c:ext>
          </c:extLst>
        </c:ser>
        <c:dLbls>
          <c:showLegendKey val="0"/>
          <c:showVal val="0"/>
          <c:showCatName val="0"/>
          <c:showSerName val="0"/>
          <c:showPercent val="0"/>
          <c:showBubbleSize val="0"/>
        </c:dLbls>
        <c:axId val="201867264"/>
        <c:axId val="201743680"/>
      </c:scatterChart>
      <c:catAx>
        <c:axId val="201323520"/>
        <c:scaling>
          <c:orientation val="minMax"/>
        </c:scaling>
        <c:delete val="0"/>
        <c:axPos val="b"/>
        <c:numFmt formatCode="General" sourceLinked="1"/>
        <c:majorTickMark val="out"/>
        <c:minorTickMark val="none"/>
        <c:tickLblPos val="nextTo"/>
        <c:spPr>
          <a:ln w="3175">
            <a:solidFill>
              <a:schemeClr val="tx1"/>
            </a:solidFill>
          </a:ln>
        </c:spPr>
        <c:crossAx val="201743104"/>
        <c:crosses val="autoZero"/>
        <c:auto val="1"/>
        <c:lblAlgn val="ctr"/>
        <c:lblOffset val="100"/>
        <c:noMultiLvlLbl val="0"/>
      </c:catAx>
      <c:valAx>
        <c:axId val="201743104"/>
        <c:scaling>
          <c:orientation val="minMax"/>
          <c:max val="80"/>
          <c:min val="0"/>
        </c:scaling>
        <c:delete val="0"/>
        <c:axPos val="l"/>
        <c:numFmt formatCode="#,##0.0" sourceLinked="1"/>
        <c:majorTickMark val="none"/>
        <c:minorTickMark val="none"/>
        <c:tickLblPos val="none"/>
        <c:crossAx val="201323520"/>
        <c:crosses val="autoZero"/>
        <c:crossBetween val="between"/>
        <c:majorUnit val="10"/>
        <c:minorUnit val="1"/>
      </c:valAx>
      <c:valAx>
        <c:axId val="201743680"/>
        <c:scaling>
          <c:orientation val="minMax"/>
          <c:max val="2.2999999999999998"/>
          <c:min val="0"/>
        </c:scaling>
        <c:delete val="0"/>
        <c:axPos val="r"/>
        <c:numFmt formatCode="0%" sourceLinked="1"/>
        <c:majorTickMark val="none"/>
        <c:minorTickMark val="none"/>
        <c:tickLblPos val="none"/>
        <c:crossAx val="201867264"/>
        <c:crosses val="max"/>
        <c:crossBetween val="midCat"/>
        <c:majorUnit val="1"/>
        <c:minorUnit val="0.1"/>
      </c:valAx>
      <c:valAx>
        <c:axId val="201867264"/>
        <c:scaling>
          <c:orientation val="minMax"/>
        </c:scaling>
        <c:delete val="1"/>
        <c:axPos val="b"/>
        <c:majorTickMark val="out"/>
        <c:minorTickMark val="none"/>
        <c:tickLblPos val="none"/>
        <c:crossAx val="201743680"/>
        <c:crosses val="autoZero"/>
        <c:crossBetween val="midCat"/>
      </c:valAx>
      <c:spPr>
        <a:ln w="12700">
          <a:solidFill>
            <a:schemeClr val="bg1">
              <a:lumMod val="50000"/>
            </a:schemeClr>
          </a:solidFill>
        </a:ln>
      </c:spPr>
    </c:plotArea>
    <c:legend>
      <c:legendPos val="t"/>
      <c:layout>
        <c:manualLayout>
          <c:xMode val="edge"/>
          <c:yMode val="edge"/>
          <c:x val="2.5809067688377998E-2"/>
          <c:y val="0.12929141282274401"/>
          <c:w val="0.94289974457215797"/>
          <c:h val="0.175176602843052"/>
        </c:manualLayout>
      </c:layout>
      <c:overlay val="0"/>
      <c:spPr>
        <a:ln>
          <a:solidFill>
            <a:schemeClr val="bg1">
              <a:lumMod val="50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t>Figure F15 ICT</a:t>
            </a:r>
            <a:r>
              <a:rPr lang="cs-CZ" sz="800" b="1" baseline="0"/>
              <a:t> specialists in the Czech Republic</a:t>
            </a:r>
            <a:endParaRPr lang="en-US" sz="800" b="1"/>
          </a:p>
        </c:rich>
      </c:tx>
      <c:layout>
        <c:manualLayout>
          <c:xMode val="edge"/>
          <c:yMode val="edge"/>
          <c:x val="0.10154079796629195"/>
          <c:y val="4.5477061846142461E-3"/>
        </c:manualLayout>
      </c:layout>
      <c:overlay val="0"/>
    </c:title>
    <c:autoTitleDeleted val="0"/>
    <c:plotArea>
      <c:layout>
        <c:manualLayout>
          <c:layoutTarget val="inner"/>
          <c:xMode val="edge"/>
          <c:yMode val="edge"/>
          <c:x val="2.0602668568867999E-2"/>
          <c:y val="0.114313230994152"/>
          <c:w val="0.94717788874052"/>
          <c:h val="0.68095036900875205"/>
        </c:manualLayout>
      </c:layout>
      <c:barChart>
        <c:barDir val="col"/>
        <c:grouping val="stacked"/>
        <c:varyColors val="0"/>
        <c:ser>
          <c:idx val="1"/>
          <c:order val="0"/>
          <c:tx>
            <c:strRef>
              <c:f>F_EN!$C$214</c:f>
              <c:strCache>
                <c:ptCount val="1"/>
                <c:pt idx="0">
                  <c:v> thousand of persons</c:v>
                </c:pt>
              </c:strCache>
            </c:strRef>
          </c:tx>
          <c:spPr>
            <a:solidFill>
              <a:srgbClr val="009BB4"/>
            </a:solidFill>
            <a:ln w="25400">
              <a:noFill/>
            </a:ln>
          </c:spPr>
          <c:invertIfNegative val="0"/>
          <c:dLbls>
            <c:numFmt formatCode="#,##0.0" sourceLinked="0"/>
            <c:spPr>
              <a:noFill/>
              <a:ln w="25400">
                <a:noFill/>
              </a:ln>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F_EN!$D$213:$L$213</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F_EN!$D$214:$L$214</c:f>
              <c:numCache>
                <c:formatCode>0.0</c:formatCode>
                <c:ptCount val="9"/>
                <c:pt idx="0">
                  <c:v>25.88547012500003</c:v>
                </c:pt>
                <c:pt idx="1">
                  <c:v>34.737062725000023</c:v>
                </c:pt>
                <c:pt idx="2">
                  <c:v>36.799999999999997</c:v>
                </c:pt>
                <c:pt idx="3">
                  <c:v>48.9</c:v>
                </c:pt>
                <c:pt idx="4">
                  <c:v>53.203000000000003</c:v>
                </c:pt>
                <c:pt idx="5">
                  <c:v>57.369</c:v>
                </c:pt>
                <c:pt idx="6">
                  <c:v>63.414999999999999</c:v>
                </c:pt>
                <c:pt idx="7">
                  <c:v>66.572999999999979</c:v>
                </c:pt>
                <c:pt idx="8">
                  <c:v>71.926000000000002</c:v>
                </c:pt>
              </c:numCache>
            </c:numRef>
          </c:val>
          <c:extLst>
            <c:ext xmlns:c16="http://schemas.microsoft.com/office/drawing/2014/chart" uri="{C3380CC4-5D6E-409C-BE32-E72D297353CC}">
              <c16:uniqueId val="{00000000-EB01-4AA2-BEC3-FDC18872BEC2}"/>
            </c:ext>
          </c:extLst>
        </c:ser>
        <c:dLbls>
          <c:showLegendKey val="0"/>
          <c:showVal val="0"/>
          <c:showCatName val="0"/>
          <c:showSerName val="0"/>
          <c:showPercent val="0"/>
          <c:showBubbleSize val="0"/>
        </c:dLbls>
        <c:gapWidth val="60"/>
        <c:overlap val="100"/>
        <c:axId val="201322496"/>
        <c:axId val="201740800"/>
      </c:barChart>
      <c:lineChart>
        <c:grouping val="standard"/>
        <c:varyColors val="0"/>
        <c:ser>
          <c:idx val="0"/>
          <c:order val="1"/>
          <c:tx>
            <c:strRef>
              <c:f>F_EN!$C$215</c:f>
              <c:strCache>
                <c:ptCount val="1"/>
                <c:pt idx="0">
                  <c:v> % of total employment</c:v>
                </c:pt>
              </c:strCache>
            </c:strRef>
          </c:tx>
          <c:spPr>
            <a:ln w="19050">
              <a:solidFill>
                <a:srgbClr val="47E5FF"/>
              </a:solidFill>
            </a:ln>
          </c:spPr>
          <c:marker>
            <c:symbol val="diamond"/>
            <c:size val="5"/>
            <c:spPr>
              <a:solidFill>
                <a:srgbClr val="ABF3FF"/>
              </a:solidFill>
              <a:ln w="12700">
                <a:solidFill>
                  <a:srgbClr val="47E5FF"/>
                </a:solidFill>
              </a:ln>
            </c:spPr>
          </c:marker>
          <c:dLbls>
            <c:numFmt formatCode="0.00%" sourceLinked="0"/>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F_EN!$D$213:$L$213</c:f>
              <c:numCache>
                <c:formatCode>General</c:formatCode>
                <c:ptCount val="9"/>
                <c:pt idx="0">
                  <c:v>1995</c:v>
                </c:pt>
                <c:pt idx="1">
                  <c:v>2000</c:v>
                </c:pt>
                <c:pt idx="2">
                  <c:v>2005</c:v>
                </c:pt>
                <c:pt idx="3">
                  <c:v>2010</c:v>
                </c:pt>
                <c:pt idx="4">
                  <c:v>2012</c:v>
                </c:pt>
                <c:pt idx="5">
                  <c:v>2013</c:v>
                </c:pt>
                <c:pt idx="6">
                  <c:v>2014</c:v>
                </c:pt>
                <c:pt idx="7">
                  <c:v>2015</c:v>
                </c:pt>
                <c:pt idx="8">
                  <c:v>2016</c:v>
                </c:pt>
              </c:numCache>
            </c:numRef>
          </c:cat>
          <c:val>
            <c:numRef>
              <c:f>F_EN!$D$215:$L$215</c:f>
              <c:numCache>
                <c:formatCode>0.0%</c:formatCode>
                <c:ptCount val="9"/>
                <c:pt idx="0">
                  <c:v>5.2161336244368698E-3</c:v>
                </c:pt>
                <c:pt idx="1">
                  <c:v>7.3414999287982601E-3</c:v>
                </c:pt>
                <c:pt idx="2">
                  <c:v>7.7297221101102799E-3</c:v>
                </c:pt>
                <c:pt idx="3">
                  <c:v>1.0006851305772699E-2</c:v>
                </c:pt>
                <c:pt idx="4">
                  <c:v>1.08798411796355E-2</c:v>
                </c:pt>
                <c:pt idx="5">
                  <c:v>1.1572621147061901E-2</c:v>
                </c:pt>
                <c:pt idx="6">
                  <c:v>1.2725421584858799E-2</c:v>
                </c:pt>
                <c:pt idx="7">
                  <c:v>1.32040573299267E-2</c:v>
                </c:pt>
                <c:pt idx="8">
                  <c:v>1.3967450520178301E-2</c:v>
                </c:pt>
              </c:numCache>
            </c:numRef>
          </c:val>
          <c:smooth val="0"/>
          <c:extLst>
            <c:ext xmlns:c16="http://schemas.microsoft.com/office/drawing/2014/chart" uri="{C3380CC4-5D6E-409C-BE32-E72D297353CC}">
              <c16:uniqueId val="{00000001-EB01-4AA2-BEC3-FDC18872BEC2}"/>
            </c:ext>
          </c:extLst>
        </c:ser>
        <c:dLbls>
          <c:showLegendKey val="0"/>
          <c:showVal val="0"/>
          <c:showCatName val="0"/>
          <c:showSerName val="0"/>
          <c:showPercent val="0"/>
          <c:showBubbleSize val="0"/>
        </c:dLbls>
        <c:marker val="1"/>
        <c:smooth val="0"/>
        <c:axId val="201324544"/>
        <c:axId val="201741376"/>
      </c:lineChart>
      <c:catAx>
        <c:axId val="201322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1740800"/>
        <c:crosses val="autoZero"/>
        <c:auto val="0"/>
        <c:lblAlgn val="ctr"/>
        <c:lblOffset val="100"/>
        <c:tickLblSkip val="1"/>
        <c:tickMarkSkip val="1"/>
        <c:noMultiLvlLbl val="0"/>
      </c:catAx>
      <c:valAx>
        <c:axId val="201740800"/>
        <c:scaling>
          <c:orientation val="minMax"/>
          <c:max val="100"/>
          <c:min val="0"/>
        </c:scaling>
        <c:delete val="0"/>
        <c:axPos val="l"/>
        <c:majorGridlines>
          <c:spPr>
            <a:ln w="12700">
              <a:noFill/>
              <a:prstDash val="dash"/>
            </a:ln>
          </c:spPr>
        </c:majorGridlines>
        <c:numFmt formatCode="0.0" sourceLinked="1"/>
        <c:majorTickMark val="none"/>
        <c:minorTickMark val="none"/>
        <c:tickLblPos val="none"/>
        <c:spPr>
          <a:ln w="9525">
            <a:noFill/>
          </a:ln>
        </c:spPr>
        <c:crossAx val="201322496"/>
        <c:crosses val="autoZero"/>
        <c:crossBetween val="between"/>
        <c:majorUnit val="20"/>
        <c:minorUnit val="10"/>
      </c:valAx>
      <c:valAx>
        <c:axId val="201741376"/>
        <c:scaling>
          <c:orientation val="minMax"/>
          <c:max val="1.7999999999999999E-2"/>
          <c:min val="0"/>
        </c:scaling>
        <c:delete val="0"/>
        <c:axPos val="r"/>
        <c:numFmt formatCode="0.0%" sourceLinked="1"/>
        <c:majorTickMark val="none"/>
        <c:minorTickMark val="none"/>
        <c:tickLblPos val="none"/>
        <c:crossAx val="201324544"/>
        <c:crosses val="max"/>
        <c:crossBetween val="between"/>
        <c:majorUnit val="1E-3"/>
        <c:minorUnit val="1E-4"/>
      </c:valAx>
      <c:catAx>
        <c:axId val="201324544"/>
        <c:scaling>
          <c:orientation val="minMax"/>
        </c:scaling>
        <c:delete val="1"/>
        <c:axPos val="b"/>
        <c:numFmt formatCode="General" sourceLinked="1"/>
        <c:majorTickMark val="out"/>
        <c:minorTickMark val="none"/>
        <c:tickLblPos val="none"/>
        <c:crossAx val="201741376"/>
        <c:crosses val="autoZero"/>
        <c:auto val="0"/>
        <c:lblAlgn val="ctr"/>
        <c:lblOffset val="100"/>
        <c:noMultiLvlLbl val="0"/>
      </c:catAx>
      <c:spPr>
        <a:noFill/>
        <a:ln w="12700">
          <a:solidFill>
            <a:srgbClr val="A6A6A6"/>
          </a:solidFill>
        </a:ln>
      </c:spPr>
    </c:plotArea>
    <c:legend>
      <c:legendPos val="t"/>
      <c:layout>
        <c:manualLayout>
          <c:xMode val="edge"/>
          <c:yMode val="edge"/>
          <c:x val="4.4604235791280804E-2"/>
          <c:y val="0.12750951905659677"/>
          <c:w val="0.46544540229885101"/>
          <c:h val="0.166398391812866"/>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G1 Independent physicians in the Czech Republic with access to the internet in their medical office and with a website (%)*</a:t>
            </a:r>
            <a:endParaRPr lang="cs-CZ" sz="800">
              <a:effectLst/>
              <a:latin typeface="Arial" panose="020B0604020202020204" pitchFamily="34" charset="0"/>
              <a:cs typeface="Arial" panose="020B0604020202020204" pitchFamily="34" charset="0"/>
            </a:endParaRPr>
          </a:p>
        </c:rich>
      </c:tx>
      <c:layout>
        <c:manualLayout>
          <c:xMode val="edge"/>
          <c:yMode val="edge"/>
          <c:x val="0.11345320152737917"/>
          <c:y val="1.4195826086312248E-3"/>
        </c:manualLayout>
      </c:layout>
      <c:overlay val="0"/>
    </c:title>
    <c:autoTitleDeleted val="0"/>
    <c:plotArea>
      <c:layout>
        <c:manualLayout>
          <c:layoutTarget val="inner"/>
          <c:xMode val="edge"/>
          <c:yMode val="edge"/>
          <c:x val="0.14552515815817399"/>
          <c:y val="0.14807839506172801"/>
          <c:w val="0.80679200568240905"/>
          <c:h val="0.70463950617283999"/>
        </c:manualLayout>
      </c:layout>
      <c:barChart>
        <c:barDir val="bar"/>
        <c:grouping val="clustered"/>
        <c:varyColors val="0"/>
        <c:ser>
          <c:idx val="0"/>
          <c:order val="0"/>
          <c:tx>
            <c:strRef>
              <c:f>G_EN!$J$3</c:f>
              <c:strCache>
                <c:ptCount val="1"/>
                <c:pt idx="0">
                  <c:v> Internet access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G_EN!$I$4:$I$6</c:f>
              <c:strCache>
                <c:ptCount val="3"/>
                <c:pt idx="0">
                  <c:v>2016</c:v>
                </c:pt>
                <c:pt idx="1">
                  <c:v>2011</c:v>
                </c:pt>
                <c:pt idx="2">
                  <c:v> 2006</c:v>
                </c:pt>
              </c:strCache>
            </c:strRef>
          </c:cat>
          <c:val>
            <c:numRef>
              <c:f>G_EN!$J$4:$J$6</c:f>
              <c:numCache>
                <c:formatCode>0%</c:formatCode>
                <c:ptCount val="3"/>
                <c:pt idx="0">
                  <c:v>0.92254411522181301</c:v>
                </c:pt>
                <c:pt idx="1">
                  <c:v>0.77</c:v>
                </c:pt>
                <c:pt idx="2">
                  <c:v>0.60259724643780399</c:v>
                </c:pt>
              </c:numCache>
            </c:numRef>
          </c:val>
          <c:extLst>
            <c:ext xmlns:c16="http://schemas.microsoft.com/office/drawing/2014/chart" uri="{C3380CC4-5D6E-409C-BE32-E72D297353CC}">
              <c16:uniqueId val="{00000000-12D6-4665-980E-7412CA3E2BE6}"/>
            </c:ext>
          </c:extLst>
        </c:ser>
        <c:ser>
          <c:idx val="1"/>
          <c:order val="1"/>
          <c:tx>
            <c:strRef>
              <c:f>G_EN!$K$3</c:f>
              <c:strCache>
                <c:ptCount val="1"/>
                <c:pt idx="0">
                  <c:v> Website</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D6-4665-980E-7412CA3E2BE6}"/>
                </c:ext>
              </c:extLst>
            </c:dLbl>
            <c:dLbl>
              <c:idx val="2"/>
              <c:layout>
                <c:manualLayout>
                  <c:x val="-9.30669934640522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D6-4665-980E-7412CA3E2BE6}"/>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G_EN!$I$4:$I$6</c:f>
              <c:strCache>
                <c:ptCount val="3"/>
                <c:pt idx="0">
                  <c:v>2016</c:v>
                </c:pt>
                <c:pt idx="1">
                  <c:v>2011</c:v>
                </c:pt>
                <c:pt idx="2">
                  <c:v> 2006</c:v>
                </c:pt>
              </c:strCache>
            </c:strRef>
          </c:cat>
          <c:val>
            <c:numRef>
              <c:f>G_EN!$K$4:$K$6</c:f>
              <c:numCache>
                <c:formatCode>0%</c:formatCode>
                <c:ptCount val="3"/>
                <c:pt idx="0">
                  <c:v>0.36111263811775102</c:v>
                </c:pt>
                <c:pt idx="1">
                  <c:v>0.23</c:v>
                </c:pt>
                <c:pt idx="2">
                  <c:v>9.9921842121084598E-2</c:v>
                </c:pt>
              </c:numCache>
            </c:numRef>
          </c:val>
          <c:extLst>
            <c:ext xmlns:c16="http://schemas.microsoft.com/office/drawing/2014/chart" uri="{C3380CC4-5D6E-409C-BE32-E72D297353CC}">
              <c16:uniqueId val="{00000003-12D6-4665-980E-7412CA3E2BE6}"/>
            </c:ext>
          </c:extLst>
        </c:ser>
        <c:dLbls>
          <c:showLegendKey val="0"/>
          <c:showVal val="0"/>
          <c:showCatName val="0"/>
          <c:showSerName val="0"/>
          <c:showPercent val="0"/>
          <c:showBubbleSize val="0"/>
        </c:dLbls>
        <c:gapWidth val="30"/>
        <c:axId val="201325568"/>
        <c:axId val="201868992"/>
      </c:barChart>
      <c:catAx>
        <c:axId val="201325568"/>
        <c:scaling>
          <c:orientation val="minMax"/>
        </c:scaling>
        <c:delete val="0"/>
        <c:axPos val="l"/>
        <c:numFmt formatCode="General" sourceLinked="1"/>
        <c:majorTickMark val="out"/>
        <c:minorTickMark val="none"/>
        <c:tickLblPos val="nextTo"/>
        <c:spPr>
          <a:ln w="3175">
            <a:solidFill>
              <a:schemeClr val="tx1"/>
            </a:solidFill>
          </a:ln>
        </c:spPr>
        <c:crossAx val="201868992"/>
        <c:crosses val="autoZero"/>
        <c:auto val="1"/>
        <c:lblAlgn val="ctr"/>
        <c:lblOffset val="100"/>
        <c:noMultiLvlLbl val="0"/>
      </c:catAx>
      <c:valAx>
        <c:axId val="201868992"/>
        <c:scaling>
          <c:orientation val="minMax"/>
          <c:max val="1"/>
        </c:scaling>
        <c:delete val="0"/>
        <c:axPos val="b"/>
        <c:numFmt formatCode="0%" sourceLinked="1"/>
        <c:majorTickMark val="none"/>
        <c:minorTickMark val="none"/>
        <c:tickLblPos val="none"/>
        <c:crossAx val="201325568"/>
        <c:crosses val="autoZero"/>
        <c:crossBetween val="between"/>
        <c:majorUnit val="0.1"/>
        <c:minorUnit val="0.05"/>
      </c:valAx>
      <c:spPr>
        <a:ln w="12700">
          <a:solidFill>
            <a:schemeClr val="bg1">
              <a:lumMod val="65000"/>
            </a:schemeClr>
          </a:solidFill>
        </a:ln>
      </c:spPr>
    </c:plotArea>
    <c:legend>
      <c:legendPos val="r"/>
      <c:layout>
        <c:manualLayout>
          <c:xMode val="edge"/>
          <c:yMode val="edge"/>
          <c:x val="0.64777287581699405"/>
          <c:y val="0.20575679012345699"/>
          <c:w val="0.263059150326797"/>
          <c:h val="0.202452160493827"/>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G2 Independent physicians in the Czech Republic with a website by type of practice (%)*</a:t>
            </a:r>
            <a:endParaRPr lang="cs-CZ" sz="800">
              <a:effectLst/>
              <a:latin typeface="Arial" panose="020B0604020202020204" pitchFamily="34" charset="0"/>
              <a:cs typeface="Arial" panose="020B0604020202020204" pitchFamily="34" charset="0"/>
            </a:endParaRPr>
          </a:p>
        </c:rich>
      </c:tx>
      <c:layout>
        <c:manualLayout>
          <c:xMode val="edge"/>
          <c:yMode val="edge"/>
          <c:x val="0.10050205262803688"/>
          <c:y val="1.8819101387908727E-2"/>
        </c:manualLayout>
      </c:layout>
      <c:overlay val="0"/>
    </c:title>
    <c:autoTitleDeleted val="0"/>
    <c:plotArea>
      <c:layout>
        <c:manualLayout>
          <c:layoutTarget val="inner"/>
          <c:xMode val="edge"/>
          <c:yMode val="edge"/>
          <c:x val="0.24516344349538899"/>
          <c:y val="0.14807839506172801"/>
          <c:w val="0.70715368972811499"/>
          <c:h val="0.70463950617283999"/>
        </c:manualLayout>
      </c:layout>
      <c:barChart>
        <c:barDir val="bar"/>
        <c:grouping val="clustered"/>
        <c:varyColors val="0"/>
        <c:ser>
          <c:idx val="0"/>
          <c:order val="0"/>
          <c:tx>
            <c:strRef>
              <c:f>G_EN!$J$20</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G_EN!$I$21:$I$25</c:f>
              <c:strCache>
                <c:ptCount val="5"/>
                <c:pt idx="0">
                  <c:v>Specialist</c:v>
                </c:pt>
                <c:pt idx="1">
                  <c:v>Gynecologist</c:v>
                </c:pt>
                <c:pt idx="2">
                  <c:v>Dentist</c:v>
                </c:pt>
                <c:pt idx="3">
                  <c:v>GP for children</c:v>
                </c:pt>
                <c:pt idx="4">
                  <c:v>GP for adults</c:v>
                </c:pt>
              </c:strCache>
            </c:strRef>
          </c:cat>
          <c:val>
            <c:numRef>
              <c:f>G_EN!$J$21:$J$25</c:f>
              <c:numCache>
                <c:formatCode>0%</c:formatCode>
                <c:ptCount val="5"/>
                <c:pt idx="0">
                  <c:v>0.27600000000000002</c:v>
                </c:pt>
                <c:pt idx="1">
                  <c:v>0.35099999999999998</c:v>
                </c:pt>
                <c:pt idx="2">
                  <c:v>0.13300000000000001</c:v>
                </c:pt>
                <c:pt idx="3">
                  <c:v>0.318</c:v>
                </c:pt>
                <c:pt idx="4">
                  <c:v>0.19400000000000001</c:v>
                </c:pt>
              </c:numCache>
            </c:numRef>
          </c:val>
          <c:extLst>
            <c:ext xmlns:c16="http://schemas.microsoft.com/office/drawing/2014/chart" uri="{C3380CC4-5D6E-409C-BE32-E72D297353CC}">
              <c16:uniqueId val="{00000000-51BB-43D8-8141-0DB0C9A90286}"/>
            </c:ext>
          </c:extLst>
        </c:ser>
        <c:ser>
          <c:idx val="1"/>
          <c:order val="1"/>
          <c:tx>
            <c:strRef>
              <c:f>G_EN!$K$20</c:f>
              <c:strCache>
                <c:ptCount val="1"/>
                <c:pt idx="0">
                  <c:v> 2016</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BB-43D8-8141-0DB0C9A90286}"/>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G_EN!$I$21:$I$25</c:f>
              <c:strCache>
                <c:ptCount val="5"/>
                <c:pt idx="0">
                  <c:v>Specialist</c:v>
                </c:pt>
                <c:pt idx="1">
                  <c:v>Gynecologist</c:v>
                </c:pt>
                <c:pt idx="2">
                  <c:v>Dentist</c:v>
                </c:pt>
                <c:pt idx="3">
                  <c:v>GP for children</c:v>
                </c:pt>
                <c:pt idx="4">
                  <c:v>GP for adults</c:v>
                </c:pt>
              </c:strCache>
            </c:strRef>
          </c:cat>
          <c:val>
            <c:numRef>
              <c:f>G_EN!$K$21:$K$25</c:f>
              <c:numCache>
                <c:formatCode>0%</c:formatCode>
                <c:ptCount val="5"/>
                <c:pt idx="0">
                  <c:v>0.40172166427546602</c:v>
                </c:pt>
                <c:pt idx="1">
                  <c:v>0.56353591160220995</c:v>
                </c:pt>
                <c:pt idx="2">
                  <c:v>0.22968624296057899</c:v>
                </c:pt>
                <c:pt idx="3">
                  <c:v>0.508654383026242</c:v>
                </c:pt>
                <c:pt idx="4">
                  <c:v>0.340132710739739</c:v>
                </c:pt>
              </c:numCache>
            </c:numRef>
          </c:val>
          <c:extLst>
            <c:ext xmlns:c16="http://schemas.microsoft.com/office/drawing/2014/chart" uri="{C3380CC4-5D6E-409C-BE32-E72D297353CC}">
              <c16:uniqueId val="{00000002-51BB-43D8-8141-0DB0C9A90286}"/>
            </c:ext>
          </c:extLst>
        </c:ser>
        <c:dLbls>
          <c:showLegendKey val="0"/>
          <c:showVal val="0"/>
          <c:showCatName val="0"/>
          <c:showSerName val="0"/>
          <c:showPercent val="0"/>
          <c:showBubbleSize val="0"/>
        </c:dLbls>
        <c:gapWidth val="30"/>
        <c:axId val="201974272"/>
        <c:axId val="201870720"/>
      </c:barChart>
      <c:catAx>
        <c:axId val="201974272"/>
        <c:scaling>
          <c:orientation val="minMax"/>
        </c:scaling>
        <c:delete val="0"/>
        <c:axPos val="l"/>
        <c:numFmt formatCode="General" sourceLinked="1"/>
        <c:majorTickMark val="out"/>
        <c:minorTickMark val="none"/>
        <c:tickLblPos val="nextTo"/>
        <c:spPr>
          <a:ln w="3175">
            <a:solidFill>
              <a:schemeClr val="tx1"/>
            </a:solidFill>
          </a:ln>
        </c:spPr>
        <c:crossAx val="201870720"/>
        <c:crosses val="autoZero"/>
        <c:auto val="1"/>
        <c:lblAlgn val="ctr"/>
        <c:lblOffset val="100"/>
        <c:noMultiLvlLbl val="0"/>
      </c:catAx>
      <c:valAx>
        <c:axId val="201870720"/>
        <c:scaling>
          <c:orientation val="minMax"/>
          <c:max val="0.9"/>
        </c:scaling>
        <c:delete val="0"/>
        <c:axPos val="b"/>
        <c:numFmt formatCode="0%" sourceLinked="1"/>
        <c:majorTickMark val="none"/>
        <c:minorTickMark val="none"/>
        <c:tickLblPos val="none"/>
        <c:crossAx val="201974272"/>
        <c:crosses val="autoZero"/>
        <c:crossBetween val="between"/>
        <c:majorUnit val="0.1"/>
        <c:minorUnit val="0.1"/>
      </c:valAx>
      <c:spPr>
        <a:ln w="12700">
          <a:solidFill>
            <a:schemeClr val="bg1">
              <a:lumMod val="65000"/>
            </a:schemeClr>
          </a:solidFill>
        </a:ln>
      </c:spPr>
    </c:plotArea>
    <c:legend>
      <c:legendPos val="r"/>
      <c:layout>
        <c:manualLayout>
          <c:xMode val="edge"/>
          <c:yMode val="edge"/>
          <c:x val="0.66852450980392097"/>
          <c:y val="0.237114814814815"/>
          <c:w val="0.22570620915032699"/>
          <c:h val="0.17893364197530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87802607076403E-2"/>
          <c:y val="0.12827777777777799"/>
          <c:w val="0.80887331667273599"/>
          <c:h val="0.59745146198830401"/>
        </c:manualLayout>
      </c:layout>
      <c:barChart>
        <c:barDir val="col"/>
        <c:grouping val="stacked"/>
        <c:varyColors val="0"/>
        <c:ser>
          <c:idx val="0"/>
          <c:order val="0"/>
          <c:tx>
            <c:strRef>
              <c:f>A_EN!$B$244</c:f>
              <c:strCache>
                <c:ptCount val="1"/>
                <c:pt idx="0">
                  <c:v> xDSL</c:v>
                </c:pt>
              </c:strCache>
            </c:strRef>
          </c:tx>
          <c:spPr>
            <a:solidFill>
              <a:srgbClr val="ABF3FF"/>
            </a:solidFill>
            <a:ln>
              <a:noFill/>
            </a:ln>
          </c:spPr>
          <c:invertIfNegative val="0"/>
          <c:dPt>
            <c:idx val="7"/>
            <c:invertIfNegative val="0"/>
            <c:bubble3D val="0"/>
            <c:spPr>
              <a:solidFill>
                <a:srgbClr val="ABF3FF"/>
              </a:solidFill>
              <a:ln>
                <a:solidFill>
                  <a:srgbClr val="FF0000"/>
                </a:solidFill>
              </a:ln>
            </c:spPr>
            <c:extLst>
              <c:ext xmlns:c16="http://schemas.microsoft.com/office/drawing/2014/chart" uri="{C3380CC4-5D6E-409C-BE32-E72D297353CC}">
                <c16:uniqueId val="{00000001-7EEB-4CC4-87C5-CEB29083ECBA}"/>
              </c:ext>
            </c:extLst>
          </c:dPt>
          <c:dPt>
            <c:idx val="8"/>
            <c:invertIfNegative val="0"/>
            <c:bubble3D val="0"/>
            <c:spPr>
              <a:solidFill>
                <a:srgbClr val="ABF3FF"/>
              </a:solidFill>
              <a:ln w="19050">
                <a:noFill/>
              </a:ln>
            </c:spPr>
            <c:extLst>
              <c:ext xmlns:c16="http://schemas.microsoft.com/office/drawing/2014/chart" uri="{C3380CC4-5D6E-409C-BE32-E72D297353CC}">
                <c16:uniqueId val="{00000003-7EEB-4CC4-87C5-CEB29083ECBA}"/>
              </c:ext>
            </c:extLst>
          </c:dPt>
          <c:dPt>
            <c:idx val="11"/>
            <c:invertIfNegative val="0"/>
            <c:bubble3D val="0"/>
            <c:extLst>
              <c:ext xmlns:c16="http://schemas.microsoft.com/office/drawing/2014/chart" uri="{C3380CC4-5D6E-409C-BE32-E72D297353CC}">
                <c16:uniqueId val="{00000004-7EEB-4CC4-87C5-CEB29083ECBA}"/>
              </c:ext>
            </c:extLst>
          </c:dPt>
          <c:dPt>
            <c:idx val="12"/>
            <c:invertIfNegative val="0"/>
            <c:bubble3D val="0"/>
            <c:extLst>
              <c:ext xmlns:c16="http://schemas.microsoft.com/office/drawing/2014/chart" uri="{C3380CC4-5D6E-409C-BE32-E72D297353CC}">
                <c16:uniqueId val="{00000005-7EEB-4CC4-87C5-CEB29083ECBA}"/>
              </c:ext>
            </c:extLst>
          </c:dPt>
          <c:dPt>
            <c:idx val="13"/>
            <c:invertIfNegative val="0"/>
            <c:bubble3D val="0"/>
            <c:spPr>
              <a:solidFill>
                <a:srgbClr val="ABF3FF"/>
              </a:solidFill>
              <a:ln w="19050">
                <a:noFill/>
              </a:ln>
            </c:spPr>
            <c:extLst>
              <c:ext xmlns:c16="http://schemas.microsoft.com/office/drawing/2014/chart" uri="{C3380CC4-5D6E-409C-BE32-E72D297353CC}">
                <c16:uniqueId val="{00000007-7EEB-4CC4-87C5-CEB29083ECBA}"/>
              </c:ext>
            </c:extLst>
          </c:dPt>
          <c:dPt>
            <c:idx val="16"/>
            <c:invertIfNegative val="0"/>
            <c:bubble3D val="0"/>
            <c:spPr>
              <a:solidFill>
                <a:srgbClr val="ABF3FF"/>
              </a:solidFill>
              <a:ln>
                <a:solidFill>
                  <a:srgbClr val="FF0000"/>
                </a:solidFill>
              </a:ln>
            </c:spPr>
            <c:extLst>
              <c:ext xmlns:c16="http://schemas.microsoft.com/office/drawing/2014/chart" uri="{C3380CC4-5D6E-409C-BE32-E72D297353CC}">
                <c16:uniqueId val="{00000009-7EEB-4CC4-87C5-CEB29083ECBA}"/>
              </c:ext>
            </c:extLst>
          </c:dPt>
          <c:dPt>
            <c:idx val="17"/>
            <c:invertIfNegative val="0"/>
            <c:bubble3D val="0"/>
            <c:extLst>
              <c:ext xmlns:c16="http://schemas.microsoft.com/office/drawing/2014/chart" uri="{C3380CC4-5D6E-409C-BE32-E72D297353CC}">
                <c16:uniqueId val="{0000000A-7EEB-4CC4-87C5-CEB29083ECBA}"/>
              </c:ext>
            </c:extLst>
          </c:dPt>
          <c:dPt>
            <c:idx val="26"/>
            <c:invertIfNegative val="0"/>
            <c:bubble3D val="0"/>
            <c:spPr>
              <a:solidFill>
                <a:srgbClr val="ABF3FF"/>
              </a:solidFill>
              <a:ln>
                <a:solidFill>
                  <a:srgbClr val="FF0000"/>
                </a:solidFill>
              </a:ln>
            </c:spPr>
            <c:extLst>
              <c:ext xmlns:c16="http://schemas.microsoft.com/office/drawing/2014/chart" uri="{C3380CC4-5D6E-409C-BE32-E72D297353CC}">
                <c16:uniqueId val="{0000000C-7EEB-4CC4-87C5-CEB29083ECBA}"/>
              </c:ext>
            </c:extLst>
          </c:dPt>
          <c:dLbls>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A_EN!$A$245:$A$270</c:f>
              <c:strCache>
                <c:ptCount val="26"/>
                <c:pt idx="0">
                  <c:v>Netherlands</c:v>
                </c:pt>
                <c:pt idx="1">
                  <c:v>Denmark</c:v>
                </c:pt>
                <c:pt idx="2">
                  <c:v>France</c:v>
                </c:pt>
                <c:pt idx="3">
                  <c:v>Germany</c:v>
                </c:pt>
                <c:pt idx="4">
                  <c:v>United Kingdom</c:v>
                </c:pt>
                <c:pt idx="5">
                  <c:v>Belgium</c:v>
                </c:pt>
                <c:pt idx="6">
                  <c:v>Sweden</c:v>
                </c:pt>
                <c:pt idx="7">
                  <c:v>EU28</c:v>
                </c:pt>
                <c:pt idx="8">
                  <c:v>Portugal</c:v>
                </c:pt>
                <c:pt idx="9">
                  <c:v>Greece</c:v>
                </c:pt>
                <c:pt idx="10">
                  <c:v>Estonia</c:v>
                </c:pt>
                <c:pt idx="11">
                  <c:v>Finland</c:v>
                </c:pt>
                <c:pt idx="12">
                  <c:v>Slovenia</c:v>
                </c:pt>
                <c:pt idx="13">
                  <c:v>Spain</c:v>
                </c:pt>
                <c:pt idx="14">
                  <c:v>Lithuania</c:v>
                </c:pt>
                <c:pt idx="15">
                  <c:v>Ireland</c:v>
                </c:pt>
                <c:pt idx="16">
                  <c:v>Czech Republic</c:v>
                </c:pt>
                <c:pt idx="17">
                  <c:v>Hungary</c:v>
                </c:pt>
                <c:pt idx="18">
                  <c:v>Austria</c:v>
                </c:pt>
                <c:pt idx="19">
                  <c:v>Latvia</c:v>
                </c:pt>
                <c:pt idx="20">
                  <c:v>Italy</c:v>
                </c:pt>
                <c:pt idx="21">
                  <c:v>Croatia</c:v>
                </c:pt>
                <c:pt idx="22">
                  <c:v>Slovakia</c:v>
                </c:pt>
                <c:pt idx="23">
                  <c:v>Bulgaria</c:v>
                </c:pt>
                <c:pt idx="24">
                  <c:v>Romania</c:v>
                </c:pt>
                <c:pt idx="25">
                  <c:v>Poland</c:v>
                </c:pt>
              </c:strCache>
            </c:strRef>
          </c:cat>
          <c:val>
            <c:numRef>
              <c:f>A_EN!$B$245:$B$270</c:f>
              <c:numCache>
                <c:formatCode>#,##0.0</c:formatCode>
                <c:ptCount val="26"/>
                <c:pt idx="0">
                  <c:v>16.388684978745829</c:v>
                </c:pt>
                <c:pt idx="1">
                  <c:v>18.36745234047693</c:v>
                </c:pt>
                <c:pt idx="2">
                  <c:v>33.536416252669753</c:v>
                </c:pt>
                <c:pt idx="3">
                  <c:v>29.298780565220319</c:v>
                </c:pt>
                <c:pt idx="4">
                  <c:v>20.625225894089141</c:v>
                </c:pt>
                <c:pt idx="5">
                  <c:v>18.193317902140791</c:v>
                </c:pt>
                <c:pt idx="6">
                  <c:v>9.7470371891001477</c:v>
                </c:pt>
                <c:pt idx="7">
                  <c:v>20.122948585829558</c:v>
                </c:pt>
                <c:pt idx="8">
                  <c:v>8.8271203736887198</c:v>
                </c:pt>
                <c:pt idx="9">
                  <c:v>32.211923121080673</c:v>
                </c:pt>
                <c:pt idx="10">
                  <c:v>10.537532325238001</c:v>
                </c:pt>
                <c:pt idx="11">
                  <c:v>13.63587135471219</c:v>
                </c:pt>
                <c:pt idx="12">
                  <c:v>11.5123904282383</c:v>
                </c:pt>
                <c:pt idx="13">
                  <c:v>13.6407133784084</c:v>
                </c:pt>
                <c:pt idx="14">
                  <c:v>5.4085809021166966</c:v>
                </c:pt>
                <c:pt idx="15">
                  <c:v>19.764739388558539</c:v>
                </c:pt>
                <c:pt idx="16">
                  <c:v>8.5731839014934277</c:v>
                </c:pt>
                <c:pt idx="17">
                  <c:v>8.0588265630816966</c:v>
                </c:pt>
                <c:pt idx="18">
                  <c:v>18.75085297671513</c:v>
                </c:pt>
                <c:pt idx="19">
                  <c:v>6.5899529568187249</c:v>
                </c:pt>
                <c:pt idx="20">
                  <c:v>23.94889087718709</c:v>
                </c:pt>
                <c:pt idx="21">
                  <c:v>19.423178936050789</c:v>
                </c:pt>
                <c:pt idx="22">
                  <c:v>8.9484476925795402</c:v>
                </c:pt>
                <c:pt idx="23">
                  <c:v>2.6839817855837782</c:v>
                </c:pt>
                <c:pt idx="24">
                  <c:v>4.510538255906793</c:v>
                </c:pt>
                <c:pt idx="25">
                  <c:v>6.5293695834677381</c:v>
                </c:pt>
              </c:numCache>
            </c:numRef>
          </c:val>
          <c:extLst>
            <c:ext xmlns:c16="http://schemas.microsoft.com/office/drawing/2014/chart" uri="{C3380CC4-5D6E-409C-BE32-E72D297353CC}">
              <c16:uniqueId val="{0000000D-7EEB-4CC4-87C5-CEB29083ECBA}"/>
            </c:ext>
          </c:extLst>
        </c:ser>
        <c:ser>
          <c:idx val="1"/>
          <c:order val="1"/>
          <c:tx>
            <c:strRef>
              <c:f>A_EN!$C$244</c:f>
              <c:strCache>
                <c:ptCount val="1"/>
                <c:pt idx="0">
                  <c:v> Cable modem (CATV)</c:v>
                </c:pt>
              </c:strCache>
            </c:strRef>
          </c:tx>
          <c:spPr>
            <a:solidFill>
              <a:srgbClr val="47E5FF"/>
            </a:solidFill>
          </c:spPr>
          <c:invertIfNegative val="0"/>
          <c:dPt>
            <c:idx val="7"/>
            <c:invertIfNegative val="0"/>
            <c:bubble3D val="0"/>
            <c:spPr>
              <a:solidFill>
                <a:srgbClr val="47E5FF"/>
              </a:solidFill>
              <a:ln>
                <a:solidFill>
                  <a:srgbClr val="FF0000"/>
                </a:solidFill>
              </a:ln>
            </c:spPr>
            <c:extLst>
              <c:ext xmlns:c16="http://schemas.microsoft.com/office/drawing/2014/chart" uri="{C3380CC4-5D6E-409C-BE32-E72D297353CC}">
                <c16:uniqueId val="{0000000F-7EEB-4CC4-87C5-CEB29083ECBA}"/>
              </c:ext>
            </c:extLst>
          </c:dPt>
          <c:dPt>
            <c:idx val="16"/>
            <c:invertIfNegative val="0"/>
            <c:bubble3D val="0"/>
            <c:spPr>
              <a:solidFill>
                <a:srgbClr val="47E5FF"/>
              </a:solidFill>
              <a:ln>
                <a:solidFill>
                  <a:srgbClr val="FF0000"/>
                </a:solidFill>
              </a:ln>
            </c:spPr>
            <c:extLst>
              <c:ext xmlns:c16="http://schemas.microsoft.com/office/drawing/2014/chart" uri="{C3380CC4-5D6E-409C-BE32-E72D297353CC}">
                <c16:uniqueId val="{00000011-7EEB-4CC4-87C5-CEB29083ECBA}"/>
              </c:ext>
            </c:extLst>
          </c:dPt>
          <c:dLbls>
            <c:dLbl>
              <c:idx val="14"/>
              <c:delete val="1"/>
              <c:extLst>
                <c:ext xmlns:c15="http://schemas.microsoft.com/office/drawing/2012/chart" uri="{CE6537A1-D6FC-4f65-9D91-7224C49458BB}"/>
                <c:ext xmlns:c16="http://schemas.microsoft.com/office/drawing/2014/chart" uri="{C3380CC4-5D6E-409C-BE32-E72D297353CC}">
                  <c16:uniqueId val="{00000012-7EEB-4CC4-87C5-CEB29083ECBA}"/>
                </c:ext>
              </c:extLst>
            </c:dLbl>
            <c:dLbl>
              <c:idx val="16"/>
              <c:layout>
                <c:manualLayout>
                  <c:x val="0"/>
                  <c:y val="-6.80791355713071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EEB-4CC4-87C5-CEB29083ECBA}"/>
                </c:ext>
              </c:extLst>
            </c:dLbl>
            <c:dLbl>
              <c:idx val="19"/>
              <c:delete val="1"/>
              <c:extLst>
                <c:ext xmlns:c15="http://schemas.microsoft.com/office/drawing/2012/chart" uri="{CE6537A1-D6FC-4f65-9D91-7224C49458BB}"/>
                <c:ext xmlns:c16="http://schemas.microsoft.com/office/drawing/2014/chart" uri="{C3380CC4-5D6E-409C-BE32-E72D297353CC}">
                  <c16:uniqueId val="{00000013-7EEB-4CC4-87C5-CEB29083ECBA}"/>
                </c:ext>
              </c:extLst>
            </c:dLbl>
            <c:dLbl>
              <c:idx val="23"/>
              <c:layout>
                <c:manualLayout>
                  <c:x val="0"/>
                  <c:y val="-1.485380116959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EEB-4CC4-87C5-CEB29083ECBA}"/>
                </c:ext>
              </c:extLst>
            </c:dLbl>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A_EN!$A$245:$A$270</c:f>
              <c:strCache>
                <c:ptCount val="26"/>
                <c:pt idx="0">
                  <c:v>Netherlands</c:v>
                </c:pt>
                <c:pt idx="1">
                  <c:v>Denmark</c:v>
                </c:pt>
                <c:pt idx="2">
                  <c:v>France</c:v>
                </c:pt>
                <c:pt idx="3">
                  <c:v>Germany</c:v>
                </c:pt>
                <c:pt idx="4">
                  <c:v>United Kingdom</c:v>
                </c:pt>
                <c:pt idx="5">
                  <c:v>Belgium</c:v>
                </c:pt>
                <c:pt idx="6">
                  <c:v>Sweden</c:v>
                </c:pt>
                <c:pt idx="7">
                  <c:v>EU28</c:v>
                </c:pt>
                <c:pt idx="8">
                  <c:v>Portugal</c:v>
                </c:pt>
                <c:pt idx="9">
                  <c:v>Greece</c:v>
                </c:pt>
                <c:pt idx="10">
                  <c:v>Estonia</c:v>
                </c:pt>
                <c:pt idx="11">
                  <c:v>Finland</c:v>
                </c:pt>
                <c:pt idx="12">
                  <c:v>Slovenia</c:v>
                </c:pt>
                <c:pt idx="13">
                  <c:v>Spain</c:v>
                </c:pt>
                <c:pt idx="14">
                  <c:v>Lithuania</c:v>
                </c:pt>
                <c:pt idx="15">
                  <c:v>Ireland</c:v>
                </c:pt>
                <c:pt idx="16">
                  <c:v>Czech Republic</c:v>
                </c:pt>
                <c:pt idx="17">
                  <c:v>Hungary</c:v>
                </c:pt>
                <c:pt idx="18">
                  <c:v>Austria</c:v>
                </c:pt>
                <c:pt idx="19">
                  <c:v>Latvia</c:v>
                </c:pt>
                <c:pt idx="20">
                  <c:v>Italy</c:v>
                </c:pt>
                <c:pt idx="21">
                  <c:v>Croatia</c:v>
                </c:pt>
                <c:pt idx="22">
                  <c:v>Slovakia</c:v>
                </c:pt>
                <c:pt idx="23">
                  <c:v>Bulgaria</c:v>
                </c:pt>
                <c:pt idx="24">
                  <c:v>Romania</c:v>
                </c:pt>
                <c:pt idx="25">
                  <c:v>Poland</c:v>
                </c:pt>
              </c:strCache>
            </c:strRef>
          </c:cat>
          <c:val>
            <c:numRef>
              <c:f>A_EN!$C$245:$C$270</c:f>
              <c:numCache>
                <c:formatCode>#,##0.0</c:formatCode>
                <c:ptCount val="26"/>
                <c:pt idx="0">
                  <c:v>19.673486062848021</c:v>
                </c:pt>
                <c:pt idx="1">
                  <c:v>12.88168323158615</c:v>
                </c:pt>
                <c:pt idx="2">
                  <c:v>5.3213276928907902</c:v>
                </c:pt>
                <c:pt idx="3">
                  <c:v>8.7896341695661064</c:v>
                </c:pt>
                <c:pt idx="4">
                  <c:v>7.4843209095853016</c:v>
                </c:pt>
                <c:pt idx="5">
                  <c:v>19.23921538451922</c:v>
                </c:pt>
                <c:pt idx="6">
                  <c:v>6.8729832977434446</c:v>
                </c:pt>
                <c:pt idx="7">
                  <c:v>6.7747216192509816</c:v>
                </c:pt>
                <c:pt idx="8">
                  <c:v>10.781799229764051</c:v>
                </c:pt>
                <c:pt idx="10">
                  <c:v>7.1320485019528483</c:v>
                </c:pt>
                <c:pt idx="11">
                  <c:v>7.48119434532917</c:v>
                </c:pt>
                <c:pt idx="12">
                  <c:v>8.7887735566654577</c:v>
                </c:pt>
                <c:pt idx="13">
                  <c:v>5.7656564390767686</c:v>
                </c:pt>
                <c:pt idx="14">
                  <c:v>1.0282475812765699</c:v>
                </c:pt>
                <c:pt idx="15">
                  <c:v>7.7590551827540803</c:v>
                </c:pt>
                <c:pt idx="16">
                  <c:v>5.3084234611670382</c:v>
                </c:pt>
                <c:pt idx="17">
                  <c:v>14.128578885402771</c:v>
                </c:pt>
                <c:pt idx="18">
                  <c:v>9.4064177365438599</c:v>
                </c:pt>
                <c:pt idx="19">
                  <c:v>0.90001167198672405</c:v>
                </c:pt>
                <c:pt idx="21">
                  <c:v>3.4069777239266941</c:v>
                </c:pt>
                <c:pt idx="22">
                  <c:v>3.037038560909942</c:v>
                </c:pt>
                <c:pt idx="23">
                  <c:v>3.9551319821625039</c:v>
                </c:pt>
                <c:pt idx="24">
                  <c:v>3.9873328471722971</c:v>
                </c:pt>
                <c:pt idx="25">
                  <c:v>7.0980140700667311</c:v>
                </c:pt>
              </c:numCache>
            </c:numRef>
          </c:val>
          <c:extLst>
            <c:ext xmlns:c16="http://schemas.microsoft.com/office/drawing/2014/chart" uri="{C3380CC4-5D6E-409C-BE32-E72D297353CC}">
              <c16:uniqueId val="{00000015-7EEB-4CC4-87C5-CEB29083ECBA}"/>
            </c:ext>
          </c:extLst>
        </c:ser>
        <c:ser>
          <c:idx val="2"/>
          <c:order val="2"/>
          <c:tx>
            <c:strRef>
              <c:f>A_EN!$D$244</c:f>
              <c:strCache>
                <c:ptCount val="1"/>
                <c:pt idx="0">
                  <c:v> Fibre (FTTH/B)</c:v>
                </c:pt>
              </c:strCache>
            </c:strRef>
          </c:tx>
          <c:spPr>
            <a:solidFill>
              <a:srgbClr val="009BB4"/>
            </a:solidFill>
          </c:spPr>
          <c:invertIfNegative val="0"/>
          <c:dPt>
            <c:idx val="7"/>
            <c:invertIfNegative val="0"/>
            <c:bubble3D val="0"/>
            <c:spPr>
              <a:solidFill>
                <a:srgbClr val="009BB4"/>
              </a:solidFill>
              <a:ln>
                <a:solidFill>
                  <a:srgbClr val="FF0000"/>
                </a:solidFill>
              </a:ln>
            </c:spPr>
            <c:extLst>
              <c:ext xmlns:c16="http://schemas.microsoft.com/office/drawing/2014/chart" uri="{C3380CC4-5D6E-409C-BE32-E72D297353CC}">
                <c16:uniqueId val="{00000017-7EEB-4CC4-87C5-CEB29083ECBA}"/>
              </c:ext>
            </c:extLst>
          </c:dPt>
          <c:dPt>
            <c:idx val="16"/>
            <c:invertIfNegative val="0"/>
            <c:bubble3D val="0"/>
            <c:spPr>
              <a:solidFill>
                <a:srgbClr val="009BB4"/>
              </a:solidFill>
              <a:ln>
                <a:solidFill>
                  <a:srgbClr val="FF0000"/>
                </a:solidFill>
              </a:ln>
            </c:spPr>
            <c:extLst>
              <c:ext xmlns:c16="http://schemas.microsoft.com/office/drawing/2014/chart" uri="{C3380CC4-5D6E-409C-BE32-E72D297353CC}">
                <c16:uniqueId val="{00000019-7EEB-4CC4-87C5-CEB29083ECBA}"/>
              </c:ext>
            </c:extLst>
          </c:dPt>
          <c:dLbls>
            <c:dLbl>
              <c:idx val="3"/>
              <c:delete val="1"/>
              <c:extLst>
                <c:ext xmlns:c15="http://schemas.microsoft.com/office/drawing/2012/chart" uri="{CE6537A1-D6FC-4f65-9D91-7224C49458BB}"/>
                <c:ext xmlns:c16="http://schemas.microsoft.com/office/drawing/2014/chart" uri="{C3380CC4-5D6E-409C-BE32-E72D297353CC}">
                  <c16:uniqueId val="{0000001A-7EEB-4CC4-87C5-CEB29083ECBA}"/>
                </c:ext>
              </c:extLst>
            </c:dLbl>
            <c:dLbl>
              <c:idx val="5"/>
              <c:delete val="1"/>
              <c:extLst>
                <c:ext xmlns:c15="http://schemas.microsoft.com/office/drawing/2012/chart" uri="{CE6537A1-D6FC-4f65-9D91-7224C49458BB}"/>
                <c:ext xmlns:c16="http://schemas.microsoft.com/office/drawing/2014/chart" uri="{C3380CC4-5D6E-409C-BE32-E72D297353CC}">
                  <c16:uniqueId val="{0000001B-7EEB-4CC4-87C5-CEB29083ECBA}"/>
                </c:ext>
              </c:extLst>
            </c:dLbl>
            <c:dLbl>
              <c:idx val="7"/>
              <c:layout>
                <c:manualLayout>
                  <c:x val="0"/>
                  <c:y val="-6.80791355713071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EEB-4CC4-87C5-CEB29083ECBA}"/>
                </c:ext>
              </c:extLst>
            </c:dLbl>
            <c:dLbl>
              <c:idx val="9"/>
              <c:delete val="1"/>
              <c:extLst>
                <c:ext xmlns:c15="http://schemas.microsoft.com/office/drawing/2012/chart" uri="{CE6537A1-D6FC-4f65-9D91-7224C49458BB}"/>
                <c:ext xmlns:c16="http://schemas.microsoft.com/office/drawing/2014/chart" uri="{C3380CC4-5D6E-409C-BE32-E72D297353CC}">
                  <c16:uniqueId val="{0000001C-7EEB-4CC4-87C5-CEB29083ECBA}"/>
                </c:ext>
              </c:extLst>
            </c:dLbl>
            <c:dLbl>
              <c:idx val="15"/>
              <c:delete val="1"/>
              <c:extLst>
                <c:ext xmlns:c15="http://schemas.microsoft.com/office/drawing/2012/chart" uri="{CE6537A1-D6FC-4f65-9D91-7224C49458BB}"/>
                <c:ext xmlns:c16="http://schemas.microsoft.com/office/drawing/2014/chart" uri="{C3380CC4-5D6E-409C-BE32-E72D297353CC}">
                  <c16:uniqueId val="{0000001D-7EEB-4CC4-87C5-CEB29083ECBA}"/>
                </c:ext>
              </c:extLst>
            </c:dLbl>
            <c:dLbl>
              <c:idx val="16"/>
              <c:layout>
                <c:manualLayout>
                  <c:x val="0"/>
                  <c:y val="6.80791355713071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EEB-4CC4-87C5-CEB29083ECBA}"/>
                </c:ext>
              </c:extLst>
            </c:dLbl>
            <c:dLbl>
              <c:idx val="18"/>
              <c:delete val="1"/>
              <c:extLst>
                <c:ext xmlns:c15="http://schemas.microsoft.com/office/drawing/2012/chart" uri="{CE6537A1-D6FC-4f65-9D91-7224C49458BB}"/>
                <c:ext xmlns:c16="http://schemas.microsoft.com/office/drawing/2014/chart" uri="{C3380CC4-5D6E-409C-BE32-E72D297353CC}">
                  <c16:uniqueId val="{0000001E-7EEB-4CC4-87C5-CEB29083ECBA}"/>
                </c:ext>
              </c:extLst>
            </c:dLbl>
            <c:dLbl>
              <c:idx val="20"/>
              <c:delete val="1"/>
              <c:extLst>
                <c:ext xmlns:c15="http://schemas.microsoft.com/office/drawing/2012/chart" uri="{CE6537A1-D6FC-4f65-9D91-7224C49458BB}"/>
                <c:ext xmlns:c16="http://schemas.microsoft.com/office/drawing/2014/chart" uri="{C3380CC4-5D6E-409C-BE32-E72D297353CC}">
                  <c16:uniqueId val="{0000001F-7EEB-4CC4-87C5-CEB29083ECBA}"/>
                </c:ext>
              </c:extLst>
            </c:dLbl>
            <c:dLbl>
              <c:idx val="21"/>
              <c:delete val="1"/>
              <c:extLst>
                <c:ext xmlns:c15="http://schemas.microsoft.com/office/drawing/2012/chart" uri="{CE6537A1-D6FC-4f65-9D91-7224C49458BB}"/>
                <c:ext xmlns:c16="http://schemas.microsoft.com/office/drawing/2014/chart" uri="{C3380CC4-5D6E-409C-BE32-E72D297353CC}">
                  <c16:uniqueId val="{00000020-7EEB-4CC4-87C5-CEB29083ECBA}"/>
                </c:ext>
              </c:extLst>
            </c:dLbl>
            <c:dLbl>
              <c:idx val="25"/>
              <c:delete val="1"/>
              <c:extLst>
                <c:ext xmlns:c15="http://schemas.microsoft.com/office/drawing/2012/chart" uri="{CE6537A1-D6FC-4f65-9D91-7224C49458BB}"/>
                <c:ext xmlns:c16="http://schemas.microsoft.com/office/drawing/2014/chart" uri="{C3380CC4-5D6E-409C-BE32-E72D297353CC}">
                  <c16:uniqueId val="{00000021-7EEB-4CC4-87C5-CEB29083ECBA}"/>
                </c:ext>
              </c:extLst>
            </c:dLbl>
            <c:spPr>
              <a:noFill/>
              <a:ln>
                <a:noFill/>
              </a:ln>
              <a:effectLst/>
            </c:spPr>
            <c:txPr>
              <a:bodyPr rot="-5400000" vert="horz"/>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A_EN!$A$245:$A$270</c:f>
              <c:strCache>
                <c:ptCount val="26"/>
                <c:pt idx="0">
                  <c:v>Netherlands</c:v>
                </c:pt>
                <c:pt idx="1">
                  <c:v>Denmark</c:v>
                </c:pt>
                <c:pt idx="2">
                  <c:v>France</c:v>
                </c:pt>
                <c:pt idx="3">
                  <c:v>Germany</c:v>
                </c:pt>
                <c:pt idx="4">
                  <c:v>United Kingdom</c:v>
                </c:pt>
                <c:pt idx="5">
                  <c:v>Belgium</c:v>
                </c:pt>
                <c:pt idx="6">
                  <c:v>Sweden</c:v>
                </c:pt>
                <c:pt idx="7">
                  <c:v>EU28</c:v>
                </c:pt>
                <c:pt idx="8">
                  <c:v>Portugal</c:v>
                </c:pt>
                <c:pt idx="9">
                  <c:v>Greece</c:v>
                </c:pt>
                <c:pt idx="10">
                  <c:v>Estonia</c:v>
                </c:pt>
                <c:pt idx="11">
                  <c:v>Finland</c:v>
                </c:pt>
                <c:pt idx="12">
                  <c:v>Slovenia</c:v>
                </c:pt>
                <c:pt idx="13">
                  <c:v>Spain</c:v>
                </c:pt>
                <c:pt idx="14">
                  <c:v>Lithuania</c:v>
                </c:pt>
                <c:pt idx="15">
                  <c:v>Ireland</c:v>
                </c:pt>
                <c:pt idx="16">
                  <c:v>Czech Republic</c:v>
                </c:pt>
                <c:pt idx="17">
                  <c:v>Hungary</c:v>
                </c:pt>
                <c:pt idx="18">
                  <c:v>Austria</c:v>
                </c:pt>
                <c:pt idx="19">
                  <c:v>Latvia</c:v>
                </c:pt>
                <c:pt idx="20">
                  <c:v>Italy</c:v>
                </c:pt>
                <c:pt idx="21">
                  <c:v>Croatia</c:v>
                </c:pt>
                <c:pt idx="22">
                  <c:v>Slovakia</c:v>
                </c:pt>
                <c:pt idx="23">
                  <c:v>Bulgaria</c:v>
                </c:pt>
                <c:pt idx="24">
                  <c:v>Romania</c:v>
                </c:pt>
                <c:pt idx="25">
                  <c:v>Poland</c:v>
                </c:pt>
              </c:strCache>
            </c:strRef>
          </c:cat>
          <c:val>
            <c:numRef>
              <c:f>A_EN!$D$245:$D$270</c:f>
              <c:numCache>
                <c:formatCode>#,##0.0</c:formatCode>
                <c:ptCount val="26"/>
                <c:pt idx="0">
                  <c:v>6.2222844908528883</c:v>
                </c:pt>
                <c:pt idx="1">
                  <c:v>11.04664496916071</c:v>
                </c:pt>
                <c:pt idx="2">
                  <c:v>3.376045589130761</c:v>
                </c:pt>
                <c:pt idx="3">
                  <c:v>0.70317073356528903</c:v>
                </c:pt>
                <c:pt idx="4">
                  <c:v>10.15050425017572</c:v>
                </c:pt>
                <c:pt idx="5">
                  <c:v>0.11227834535191999</c:v>
                </c:pt>
                <c:pt idx="6">
                  <c:v>20.630080732638969</c:v>
                </c:pt>
                <c:pt idx="7">
                  <c:v>5.2361245896025714</c:v>
                </c:pt>
                <c:pt idx="8">
                  <c:v>10.502691622056981</c:v>
                </c:pt>
                <c:pt idx="9">
                  <c:v>5.42216916094794E-2</c:v>
                </c:pt>
                <c:pt idx="10">
                  <c:v>10.830370103974101</c:v>
                </c:pt>
                <c:pt idx="11">
                  <c:v>9.8453026385701818</c:v>
                </c:pt>
                <c:pt idx="12">
                  <c:v>8.5597682617998672</c:v>
                </c:pt>
                <c:pt idx="13">
                  <c:v>10.664695819259251</c:v>
                </c:pt>
                <c:pt idx="14">
                  <c:v>18.751007908882631</c:v>
                </c:pt>
                <c:pt idx="15">
                  <c:v>0.361296533827838</c:v>
                </c:pt>
                <c:pt idx="16">
                  <c:v>4.9246499864715183</c:v>
                </c:pt>
                <c:pt idx="17">
                  <c:v>5.3622980820505433</c:v>
                </c:pt>
                <c:pt idx="18">
                  <c:v>0.46946001882201799</c:v>
                </c:pt>
                <c:pt idx="19">
                  <c:v>16.528801895936631</c:v>
                </c:pt>
                <c:pt idx="20">
                  <c:v>0.77856719285152198</c:v>
                </c:pt>
                <c:pt idx="21">
                  <c:v>0.95156606574711</c:v>
                </c:pt>
                <c:pt idx="22">
                  <c:v>7.0213206010486724</c:v>
                </c:pt>
                <c:pt idx="23">
                  <c:v>11.954970445183021</c:v>
                </c:pt>
                <c:pt idx="24">
                  <c:v>11.279879854887859</c:v>
                </c:pt>
                <c:pt idx="25">
                  <c:v>1.455619589681044</c:v>
                </c:pt>
              </c:numCache>
            </c:numRef>
          </c:val>
          <c:extLst>
            <c:ext xmlns:c16="http://schemas.microsoft.com/office/drawing/2014/chart" uri="{C3380CC4-5D6E-409C-BE32-E72D297353CC}">
              <c16:uniqueId val="{00000022-7EEB-4CC4-87C5-CEB29083ECBA}"/>
            </c:ext>
          </c:extLst>
        </c:ser>
        <c:ser>
          <c:idx val="3"/>
          <c:order val="3"/>
          <c:tx>
            <c:strRef>
              <c:f>A_EN!$E$244</c:f>
              <c:strCache>
                <c:ptCount val="1"/>
                <c:pt idx="0">
                  <c:v> Wireless (FWA, Wi-Fi)</c:v>
                </c:pt>
              </c:strCache>
            </c:strRef>
          </c:tx>
          <c:spPr>
            <a:solidFill>
              <a:srgbClr val="00C5E6"/>
            </a:solidFill>
          </c:spPr>
          <c:invertIfNegative val="0"/>
          <c:dPt>
            <c:idx val="7"/>
            <c:invertIfNegative val="0"/>
            <c:bubble3D val="0"/>
            <c:spPr>
              <a:solidFill>
                <a:srgbClr val="00C5E6"/>
              </a:solidFill>
              <a:ln>
                <a:solidFill>
                  <a:srgbClr val="FF0000"/>
                </a:solidFill>
              </a:ln>
            </c:spPr>
            <c:extLst>
              <c:ext xmlns:c16="http://schemas.microsoft.com/office/drawing/2014/chart" uri="{C3380CC4-5D6E-409C-BE32-E72D297353CC}">
                <c16:uniqueId val="{00000024-7EEB-4CC4-87C5-CEB29083ECBA}"/>
              </c:ext>
            </c:extLst>
          </c:dPt>
          <c:dPt>
            <c:idx val="16"/>
            <c:invertIfNegative val="0"/>
            <c:bubble3D val="0"/>
            <c:spPr>
              <a:solidFill>
                <a:srgbClr val="00C5E6"/>
              </a:solidFill>
              <a:ln>
                <a:solidFill>
                  <a:srgbClr val="FF0000"/>
                </a:solidFill>
              </a:ln>
            </c:spPr>
            <c:extLst>
              <c:ext xmlns:c16="http://schemas.microsoft.com/office/drawing/2014/chart" uri="{C3380CC4-5D6E-409C-BE32-E72D297353CC}">
                <c16:uniqueId val="{00000026-7EEB-4CC4-87C5-CEB29083ECBA}"/>
              </c:ext>
            </c:extLst>
          </c:dPt>
          <c:dLbls>
            <c:dLbl>
              <c:idx val="1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7-7EEB-4CC4-87C5-CEB29083ECBA}"/>
                </c:ext>
              </c:extLst>
            </c:dLbl>
            <c:dLbl>
              <c:idx val="16"/>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6-7EEB-4CC4-87C5-CEB29083ECBA}"/>
                </c:ext>
              </c:extLst>
            </c:dLbl>
            <c:spPr>
              <a:noFill/>
              <a:ln>
                <a:noFill/>
              </a:ln>
              <a:effectLst/>
            </c:spPr>
            <c:txPr>
              <a:bodyPr rot="-5400000" vert="horz"/>
              <a:lstStyle/>
              <a:p>
                <a:pPr>
                  <a:defRPr b="1"/>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A_EN!$A$245:$A$270</c:f>
              <c:strCache>
                <c:ptCount val="26"/>
                <c:pt idx="0">
                  <c:v>Netherlands</c:v>
                </c:pt>
                <c:pt idx="1">
                  <c:v>Denmark</c:v>
                </c:pt>
                <c:pt idx="2">
                  <c:v>France</c:v>
                </c:pt>
                <c:pt idx="3">
                  <c:v>Germany</c:v>
                </c:pt>
                <c:pt idx="4">
                  <c:v>United Kingdom</c:v>
                </c:pt>
                <c:pt idx="5">
                  <c:v>Belgium</c:v>
                </c:pt>
                <c:pt idx="6">
                  <c:v>Sweden</c:v>
                </c:pt>
                <c:pt idx="7">
                  <c:v>EU28</c:v>
                </c:pt>
                <c:pt idx="8">
                  <c:v>Portugal</c:v>
                </c:pt>
                <c:pt idx="9">
                  <c:v>Greece</c:v>
                </c:pt>
                <c:pt idx="10">
                  <c:v>Estonia</c:v>
                </c:pt>
                <c:pt idx="11">
                  <c:v>Finland</c:v>
                </c:pt>
                <c:pt idx="12">
                  <c:v>Slovenia</c:v>
                </c:pt>
                <c:pt idx="13">
                  <c:v>Spain</c:v>
                </c:pt>
                <c:pt idx="14">
                  <c:v>Lithuania</c:v>
                </c:pt>
                <c:pt idx="15">
                  <c:v>Ireland</c:v>
                </c:pt>
                <c:pt idx="16">
                  <c:v>Czech Republic</c:v>
                </c:pt>
                <c:pt idx="17">
                  <c:v>Hungary</c:v>
                </c:pt>
                <c:pt idx="18">
                  <c:v>Austria</c:v>
                </c:pt>
                <c:pt idx="19">
                  <c:v>Latvia</c:v>
                </c:pt>
                <c:pt idx="20">
                  <c:v>Italy</c:v>
                </c:pt>
                <c:pt idx="21">
                  <c:v>Croatia</c:v>
                </c:pt>
                <c:pt idx="22">
                  <c:v>Slovakia</c:v>
                </c:pt>
                <c:pt idx="23">
                  <c:v>Bulgaria</c:v>
                </c:pt>
                <c:pt idx="24">
                  <c:v>Romania</c:v>
                </c:pt>
                <c:pt idx="25">
                  <c:v>Poland</c:v>
                </c:pt>
              </c:strCache>
            </c:strRef>
          </c:cat>
          <c:val>
            <c:numRef>
              <c:f>A_EN!$E$245:$E$270</c:f>
              <c:numCache>
                <c:formatCode>#,##0.0</c:formatCode>
                <c:ptCount val="26"/>
                <c:pt idx="1">
                  <c:v>0.31529078918112602</c:v>
                </c:pt>
                <c:pt idx="3">
                  <c:v>2.42935722186619E-2</c:v>
                </c:pt>
                <c:pt idx="4">
                  <c:v>2.8737512991237699E-2</c:v>
                </c:pt>
                <c:pt idx="5">
                  <c:v>1.88407166198628E-3</c:v>
                </c:pt>
                <c:pt idx="6">
                  <c:v>7.8881565124101702E-2</c:v>
                </c:pt>
                <c:pt idx="7">
                  <c:v>0.82249410325939398</c:v>
                </c:pt>
                <c:pt idx="8">
                  <c:v>2.3984472253003308</c:v>
                </c:pt>
                <c:pt idx="9">
                  <c:v>8.3871943815454503E-3</c:v>
                </c:pt>
                <c:pt idx="10">
                  <c:v>1.89941864097613</c:v>
                </c:pt>
                <c:pt idx="11">
                  <c:v>5.4514411066280098E-2</c:v>
                </c:pt>
                <c:pt idx="12">
                  <c:v>1.62037738791122</c:v>
                </c:pt>
                <c:pt idx="13">
                  <c:v>0.34192079430432398</c:v>
                </c:pt>
                <c:pt idx="14">
                  <c:v>3.9413406486170901</c:v>
                </c:pt>
                <c:pt idx="15">
                  <c:v>0.98599726877127303</c:v>
                </c:pt>
                <c:pt idx="16">
                  <c:v>10.06133571301412</c:v>
                </c:pt>
                <c:pt idx="17">
                  <c:v>1.3328848005096949</c:v>
                </c:pt>
                <c:pt idx="18">
                  <c:v>0.22942548998024301</c:v>
                </c:pt>
                <c:pt idx="19">
                  <c:v>0.60044759531699599</c:v>
                </c:pt>
                <c:pt idx="20">
                  <c:v>1.4350359914560229</c:v>
                </c:pt>
                <c:pt idx="21">
                  <c:v>0.91971428334083005</c:v>
                </c:pt>
                <c:pt idx="22">
                  <c:v>5.5137027944141899</c:v>
                </c:pt>
                <c:pt idx="23">
                  <c:v>0.92156005459725499</c:v>
                </c:pt>
                <c:pt idx="24">
                  <c:v>0.94270511454522699</c:v>
                </c:pt>
                <c:pt idx="25">
                  <c:v>2.1621393240602012</c:v>
                </c:pt>
              </c:numCache>
            </c:numRef>
          </c:val>
          <c:extLst>
            <c:ext xmlns:c16="http://schemas.microsoft.com/office/drawing/2014/chart" uri="{C3380CC4-5D6E-409C-BE32-E72D297353CC}">
              <c16:uniqueId val="{00000028-7EEB-4CC4-87C5-CEB29083ECBA}"/>
            </c:ext>
          </c:extLst>
        </c:ser>
        <c:ser>
          <c:idx val="4"/>
          <c:order val="4"/>
          <c:tx>
            <c:strRef>
              <c:f>A_EN!$F$244</c:f>
              <c:strCache>
                <c:ptCount val="1"/>
                <c:pt idx="0">
                  <c:v> Other (e.g. satellite)</c:v>
                </c:pt>
              </c:strCache>
            </c:strRef>
          </c:tx>
          <c:spPr>
            <a:solidFill>
              <a:srgbClr val="007D91"/>
            </a:solidFill>
          </c:spPr>
          <c:invertIfNegative val="0"/>
          <c:cat>
            <c:strRef>
              <c:f>A_EN!$A$245:$A$270</c:f>
              <c:strCache>
                <c:ptCount val="26"/>
                <c:pt idx="0">
                  <c:v>Netherlands</c:v>
                </c:pt>
                <c:pt idx="1">
                  <c:v>Denmark</c:v>
                </c:pt>
                <c:pt idx="2">
                  <c:v>France</c:v>
                </c:pt>
                <c:pt idx="3">
                  <c:v>Germany</c:v>
                </c:pt>
                <c:pt idx="4">
                  <c:v>United Kingdom</c:v>
                </c:pt>
                <c:pt idx="5">
                  <c:v>Belgium</c:v>
                </c:pt>
                <c:pt idx="6">
                  <c:v>Sweden</c:v>
                </c:pt>
                <c:pt idx="7">
                  <c:v>EU28</c:v>
                </c:pt>
                <c:pt idx="8">
                  <c:v>Portugal</c:v>
                </c:pt>
                <c:pt idx="9">
                  <c:v>Greece</c:v>
                </c:pt>
                <c:pt idx="10">
                  <c:v>Estonia</c:v>
                </c:pt>
                <c:pt idx="11">
                  <c:v>Finland</c:v>
                </c:pt>
                <c:pt idx="12">
                  <c:v>Slovenia</c:v>
                </c:pt>
                <c:pt idx="13">
                  <c:v>Spain</c:v>
                </c:pt>
                <c:pt idx="14">
                  <c:v>Lithuania</c:v>
                </c:pt>
                <c:pt idx="15">
                  <c:v>Ireland</c:v>
                </c:pt>
                <c:pt idx="16">
                  <c:v>Czech Republic</c:v>
                </c:pt>
                <c:pt idx="17">
                  <c:v>Hungary</c:v>
                </c:pt>
                <c:pt idx="18">
                  <c:v>Austria</c:v>
                </c:pt>
                <c:pt idx="19">
                  <c:v>Latvia</c:v>
                </c:pt>
                <c:pt idx="20">
                  <c:v>Italy</c:v>
                </c:pt>
                <c:pt idx="21">
                  <c:v>Croatia</c:v>
                </c:pt>
                <c:pt idx="22">
                  <c:v>Slovakia</c:v>
                </c:pt>
                <c:pt idx="23">
                  <c:v>Bulgaria</c:v>
                </c:pt>
                <c:pt idx="24">
                  <c:v>Romania</c:v>
                </c:pt>
                <c:pt idx="25">
                  <c:v>Poland</c:v>
                </c:pt>
              </c:strCache>
            </c:strRef>
          </c:cat>
          <c:val>
            <c:numRef>
              <c:f>A_EN!$F$245:$F$270</c:f>
              <c:numCache>
                <c:formatCode>#,##0.0</c:formatCode>
                <c:ptCount val="26"/>
                <c:pt idx="0">
                  <c:v>1.2</c:v>
                </c:pt>
                <c:pt idx="1">
                  <c:v>0.45727581335009398</c:v>
                </c:pt>
                <c:pt idx="2">
                  <c:v>0.56705205089748001</c:v>
                </c:pt>
                <c:pt idx="3">
                  <c:v>7.9350864030805102E-2</c:v>
                </c:pt>
                <c:pt idx="4">
                  <c:v>0</c:v>
                </c:pt>
                <c:pt idx="5">
                  <c:v>4.94172627977989E-2</c:v>
                </c:pt>
                <c:pt idx="6">
                  <c:v>7.6411433638901197E-2</c:v>
                </c:pt>
                <c:pt idx="7">
                  <c:v>0.352813637392007</c:v>
                </c:pt>
                <c:pt idx="8">
                  <c:v>3.63973752623383E-2</c:v>
                </c:pt>
                <c:pt idx="9">
                  <c:v>4.9509483252257097E-2</c:v>
                </c:pt>
                <c:pt idx="10">
                  <c:v>0.81872768472816304</c:v>
                </c:pt>
                <c:pt idx="11">
                  <c:v>9.81259399193041E-2</c:v>
                </c:pt>
                <c:pt idx="12">
                  <c:v>0.60236483462328105</c:v>
                </c:pt>
                <c:pt idx="13">
                  <c:v>3.6006198037196201E-2</c:v>
                </c:pt>
                <c:pt idx="14">
                  <c:v>0.36489310234439998</c:v>
                </c:pt>
                <c:pt idx="15">
                  <c:v>0.111953294042121</c:v>
                </c:pt>
                <c:pt idx="16">
                  <c:v>6.4508851095005898E-2</c:v>
                </c:pt>
                <c:pt idx="17">
                  <c:v>0</c:v>
                </c:pt>
                <c:pt idx="18">
                  <c:v>5.7391200344990003E-3</c:v>
                </c:pt>
                <c:pt idx="19">
                  <c:v>1.7266928186832999</c:v>
                </c:pt>
                <c:pt idx="20">
                  <c:v>2.51136052001266E-2</c:v>
                </c:pt>
                <c:pt idx="21">
                  <c:v>7.2509087370483505E-2</c:v>
                </c:pt>
                <c:pt idx="22">
                  <c:v>2.9223664445472201E-2</c:v>
                </c:pt>
                <c:pt idx="23">
                  <c:v>4.2884842923516446</c:v>
                </c:pt>
                <c:pt idx="24">
                  <c:v>1.774090036936341</c:v>
                </c:pt>
                <c:pt idx="25">
                  <c:v>1.429895190010781</c:v>
                </c:pt>
              </c:numCache>
            </c:numRef>
          </c:val>
          <c:extLst>
            <c:ext xmlns:c16="http://schemas.microsoft.com/office/drawing/2014/chart" uri="{C3380CC4-5D6E-409C-BE32-E72D297353CC}">
              <c16:uniqueId val="{00000029-7EEB-4CC4-87C5-CEB29083ECBA}"/>
            </c:ext>
          </c:extLst>
        </c:ser>
        <c:dLbls>
          <c:showLegendKey val="0"/>
          <c:showVal val="0"/>
          <c:showCatName val="0"/>
          <c:showSerName val="0"/>
          <c:showPercent val="0"/>
          <c:showBubbleSize val="0"/>
        </c:dLbls>
        <c:gapWidth val="40"/>
        <c:overlap val="100"/>
        <c:axId val="161298944"/>
        <c:axId val="161363008"/>
      </c:barChart>
      <c:catAx>
        <c:axId val="161298944"/>
        <c:scaling>
          <c:orientation val="minMax"/>
        </c:scaling>
        <c:delete val="0"/>
        <c:axPos val="b"/>
        <c:numFmt formatCode="#,##0.0" sourceLinked="0"/>
        <c:majorTickMark val="out"/>
        <c:minorTickMark val="none"/>
        <c:tickLblPos val="nextTo"/>
        <c:spPr>
          <a:ln w="3175">
            <a:solidFill>
              <a:schemeClr val="tx1"/>
            </a:solidFill>
          </a:ln>
        </c:spPr>
        <c:txPr>
          <a:bodyPr rot="-2700000" vert="horz"/>
          <a:lstStyle/>
          <a:p>
            <a:pPr>
              <a:defRPr/>
            </a:pPr>
            <a:endParaRPr lang="cs-CZ"/>
          </a:p>
        </c:txPr>
        <c:crossAx val="161363008"/>
        <c:crosses val="autoZero"/>
        <c:auto val="1"/>
        <c:lblAlgn val="ctr"/>
        <c:lblOffset val="100"/>
        <c:tickLblSkip val="1"/>
        <c:noMultiLvlLbl val="0"/>
      </c:catAx>
      <c:valAx>
        <c:axId val="161363008"/>
        <c:scaling>
          <c:orientation val="minMax"/>
          <c:max val="45"/>
          <c:min val="0"/>
        </c:scaling>
        <c:delete val="0"/>
        <c:axPos val="l"/>
        <c:majorGridlines>
          <c:spPr>
            <a:ln w="12700">
              <a:solidFill>
                <a:srgbClr val="A6A6A6"/>
              </a:solidFill>
              <a:prstDash val="solid"/>
            </a:ln>
          </c:spPr>
        </c:majorGridlines>
        <c:numFmt formatCode="#,##0" sourceLinked="0"/>
        <c:majorTickMark val="out"/>
        <c:minorTickMark val="none"/>
        <c:tickLblPos val="nextTo"/>
        <c:crossAx val="161298944"/>
        <c:crossesAt val="1"/>
        <c:crossBetween val="between"/>
        <c:majorUnit val="5"/>
        <c:minorUnit val="1"/>
      </c:valAx>
      <c:spPr>
        <a:ln>
          <a:solidFill>
            <a:schemeClr val="tx1">
              <a:tint val="75000"/>
              <a:shade val="95000"/>
              <a:satMod val="105000"/>
            </a:schemeClr>
          </a:solidFill>
        </a:ln>
      </c:spPr>
    </c:plotArea>
    <c:legend>
      <c:legendPos val="r"/>
      <c:layout>
        <c:manualLayout>
          <c:xMode val="edge"/>
          <c:yMode val="edge"/>
          <c:x val="0.87416996320436002"/>
          <c:y val="0.13017352152577499"/>
          <c:w val="0.12240972004801801"/>
          <c:h val="0.59574265189457198"/>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G3 Independent physicians in the Czech Republic with a website application for making online appointment by type of practice (%)*</a:t>
            </a:r>
            <a:endParaRPr lang="cs-CZ" sz="800">
              <a:effectLst/>
              <a:latin typeface="Arial" panose="020B0604020202020204" pitchFamily="34" charset="0"/>
              <a:cs typeface="Arial" panose="020B0604020202020204" pitchFamily="34" charset="0"/>
            </a:endParaRPr>
          </a:p>
        </c:rich>
      </c:tx>
      <c:layout>
        <c:manualLayout>
          <c:xMode val="edge"/>
          <c:yMode val="edge"/>
          <c:x val="0.113327975337079"/>
          <c:y val="1.44868145747621E-2"/>
        </c:manualLayout>
      </c:layout>
      <c:overlay val="0"/>
    </c:title>
    <c:autoTitleDeleted val="0"/>
    <c:plotArea>
      <c:layout>
        <c:manualLayout>
          <c:layoutTarget val="inner"/>
          <c:xMode val="edge"/>
          <c:yMode val="edge"/>
          <c:x val="0.25178464052287602"/>
          <c:y val="0.166402380952381"/>
          <c:w val="0.68962483660130702"/>
          <c:h val="0.66370438297386602"/>
        </c:manualLayout>
      </c:layout>
      <c:barChart>
        <c:barDir val="bar"/>
        <c:grouping val="clustered"/>
        <c:varyColors val="0"/>
        <c:ser>
          <c:idx val="0"/>
          <c:order val="0"/>
          <c:tx>
            <c:strRef>
              <c:f>G_EN!$J$39</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G_EN!$I$40:$I$46</c:f>
              <c:strCache>
                <c:ptCount val="7"/>
                <c:pt idx="0">
                  <c:v>Specialist</c:v>
                </c:pt>
                <c:pt idx="1">
                  <c:v>Gynecologist</c:v>
                </c:pt>
                <c:pt idx="2">
                  <c:v>Dentist</c:v>
                </c:pt>
                <c:pt idx="3">
                  <c:v>GP for children</c:v>
                </c:pt>
                <c:pt idx="4">
                  <c:v>GP for adults</c:v>
                </c:pt>
                <c:pt idx="6">
                  <c:v>Total</c:v>
                </c:pt>
              </c:strCache>
            </c:strRef>
          </c:cat>
          <c:val>
            <c:numRef>
              <c:f>G_EN!$J$40:$J$46</c:f>
              <c:numCache>
                <c:formatCode>0%</c:formatCode>
                <c:ptCount val="7"/>
                <c:pt idx="0">
                  <c:v>9.1999999999999998E-2</c:v>
                </c:pt>
                <c:pt idx="1">
                  <c:v>0.106</c:v>
                </c:pt>
                <c:pt idx="2">
                  <c:v>3.2000000000000001E-2</c:v>
                </c:pt>
                <c:pt idx="3">
                  <c:v>0.111</c:v>
                </c:pt>
                <c:pt idx="4">
                  <c:v>8.3000000000000004E-2</c:v>
                </c:pt>
                <c:pt idx="6">
                  <c:v>7.5999999999999998E-2</c:v>
                </c:pt>
              </c:numCache>
            </c:numRef>
          </c:val>
          <c:extLst>
            <c:ext xmlns:c16="http://schemas.microsoft.com/office/drawing/2014/chart" uri="{C3380CC4-5D6E-409C-BE32-E72D297353CC}">
              <c16:uniqueId val="{00000000-3EFF-41B3-A25F-95BE9AE25B30}"/>
            </c:ext>
          </c:extLst>
        </c:ser>
        <c:ser>
          <c:idx val="1"/>
          <c:order val="1"/>
          <c:tx>
            <c:strRef>
              <c:f>G_EN!$K$39</c:f>
              <c:strCache>
                <c:ptCount val="1"/>
                <c:pt idx="0">
                  <c:v> 2016</c:v>
                </c:pt>
              </c:strCache>
            </c:strRef>
          </c:tx>
          <c:spPr>
            <a:solidFill>
              <a:srgbClr val="009BB4"/>
            </a:solidFill>
          </c:spPr>
          <c:invertIfNegative val="0"/>
          <c:dLbls>
            <c:dLbl>
              <c:idx val="0"/>
              <c:spPr/>
              <c:txPr>
                <a:bodyPr/>
                <a:lstStyle/>
                <a:p>
                  <a:pPr>
                    <a:defRPr sz="800"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3EFF-41B3-A25F-95BE9AE25B30}"/>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FF-41B3-A25F-95BE9AE25B30}"/>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G_EN!$I$40:$I$46</c:f>
              <c:strCache>
                <c:ptCount val="7"/>
                <c:pt idx="0">
                  <c:v>Specialist</c:v>
                </c:pt>
                <c:pt idx="1">
                  <c:v>Gynecologist</c:v>
                </c:pt>
                <c:pt idx="2">
                  <c:v>Dentist</c:v>
                </c:pt>
                <c:pt idx="3">
                  <c:v>GP for children</c:v>
                </c:pt>
                <c:pt idx="4">
                  <c:v>GP for adults</c:v>
                </c:pt>
                <c:pt idx="6">
                  <c:v>Total</c:v>
                </c:pt>
              </c:strCache>
            </c:strRef>
          </c:cat>
          <c:val>
            <c:numRef>
              <c:f>G_EN!$K$40:$K$46</c:f>
              <c:numCache>
                <c:formatCode>0%</c:formatCode>
                <c:ptCount val="7"/>
                <c:pt idx="0">
                  <c:v>0.109357564163877</c:v>
                </c:pt>
                <c:pt idx="1">
                  <c:v>0.22928176795580099</c:v>
                </c:pt>
                <c:pt idx="2">
                  <c:v>5.4907481898632399E-2</c:v>
                </c:pt>
                <c:pt idx="3">
                  <c:v>0.187604690117253</c:v>
                </c:pt>
                <c:pt idx="4">
                  <c:v>0.16416810027033699</c:v>
                </c:pt>
                <c:pt idx="6">
                  <c:v>0.12159859271068101</c:v>
                </c:pt>
              </c:numCache>
            </c:numRef>
          </c:val>
          <c:extLst>
            <c:ext xmlns:c16="http://schemas.microsoft.com/office/drawing/2014/chart" uri="{C3380CC4-5D6E-409C-BE32-E72D297353CC}">
              <c16:uniqueId val="{00000003-3EFF-41B3-A25F-95BE9AE25B30}"/>
            </c:ext>
          </c:extLst>
        </c:ser>
        <c:dLbls>
          <c:showLegendKey val="0"/>
          <c:showVal val="0"/>
          <c:showCatName val="0"/>
          <c:showSerName val="0"/>
          <c:showPercent val="0"/>
          <c:showBubbleSize val="0"/>
        </c:dLbls>
        <c:gapWidth val="30"/>
        <c:axId val="201977344"/>
        <c:axId val="201872448"/>
      </c:barChart>
      <c:catAx>
        <c:axId val="201977344"/>
        <c:scaling>
          <c:orientation val="minMax"/>
        </c:scaling>
        <c:delete val="0"/>
        <c:axPos val="l"/>
        <c:numFmt formatCode="General" sourceLinked="1"/>
        <c:majorTickMark val="out"/>
        <c:minorTickMark val="none"/>
        <c:tickLblPos val="nextTo"/>
        <c:spPr>
          <a:ln w="3175">
            <a:solidFill>
              <a:schemeClr val="tx1"/>
            </a:solidFill>
          </a:ln>
        </c:spPr>
        <c:crossAx val="201872448"/>
        <c:crosses val="autoZero"/>
        <c:auto val="1"/>
        <c:lblAlgn val="ctr"/>
        <c:lblOffset val="100"/>
        <c:noMultiLvlLbl val="0"/>
      </c:catAx>
      <c:valAx>
        <c:axId val="201872448"/>
        <c:scaling>
          <c:orientation val="minMax"/>
          <c:max val="0.3"/>
          <c:min val="0"/>
        </c:scaling>
        <c:delete val="0"/>
        <c:axPos val="b"/>
        <c:numFmt formatCode="0%" sourceLinked="1"/>
        <c:majorTickMark val="none"/>
        <c:minorTickMark val="none"/>
        <c:tickLblPos val="none"/>
        <c:crossAx val="201977344"/>
        <c:crosses val="autoZero"/>
        <c:crossBetween val="between"/>
        <c:majorUnit val="0.05"/>
        <c:minorUnit val="0.02"/>
      </c:valAx>
      <c:spPr>
        <a:ln w="12700">
          <a:solidFill>
            <a:schemeClr val="bg1">
              <a:lumMod val="65000"/>
            </a:schemeClr>
          </a:solidFill>
        </a:ln>
      </c:spPr>
    </c:plotArea>
    <c:legend>
      <c:legendPos val="r"/>
      <c:layout>
        <c:manualLayout>
          <c:xMode val="edge"/>
          <c:yMode val="edge"/>
          <c:x val="0.67445947712418397"/>
          <c:y val="0.20887896825396801"/>
          <c:w val="0.17629764476121701"/>
          <c:h val="0.1494916639503889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G4 Independent physicians </a:t>
            </a:r>
            <a:r>
              <a:rPr lang="cs-CZ" sz="800" b="1" i="0" u="none" strike="noStrike" baseline="0">
                <a:effectLst/>
              </a:rPr>
              <a:t>in the Czech Republic </a:t>
            </a:r>
            <a:r>
              <a:rPr lang="cs-CZ" sz="800" b="1" i="0" baseline="0">
                <a:effectLst/>
                <a:latin typeface="Arial" panose="020B0604020202020204" pitchFamily="34" charset="0"/>
                <a:cs typeface="Arial" panose="020B0604020202020204" pitchFamily="34" charset="0"/>
              </a:rPr>
              <a:t>with a website application for making online consultation by type of practice (%)*</a:t>
            </a:r>
            <a:endParaRPr lang="cs-CZ" sz="800">
              <a:effectLst/>
              <a:latin typeface="Arial" panose="020B0604020202020204" pitchFamily="34" charset="0"/>
              <a:cs typeface="Arial" panose="020B0604020202020204" pitchFamily="34" charset="0"/>
            </a:endParaRPr>
          </a:p>
        </c:rich>
      </c:tx>
      <c:layout>
        <c:manualLayout>
          <c:xMode val="edge"/>
          <c:yMode val="edge"/>
          <c:x val="0.12178607303716665"/>
          <c:y val="1.9369698352923275E-2"/>
        </c:manualLayout>
      </c:layout>
      <c:overlay val="1"/>
    </c:title>
    <c:autoTitleDeleted val="0"/>
    <c:plotArea>
      <c:layout>
        <c:manualLayout>
          <c:layoutTarget val="inner"/>
          <c:xMode val="edge"/>
          <c:yMode val="edge"/>
          <c:x val="0.25178464052287602"/>
          <c:y val="0.18394200724909399"/>
          <c:w val="0.68131740541778096"/>
          <c:h val="0.64134849810440397"/>
        </c:manualLayout>
      </c:layout>
      <c:barChart>
        <c:barDir val="bar"/>
        <c:grouping val="clustered"/>
        <c:varyColors val="0"/>
        <c:ser>
          <c:idx val="0"/>
          <c:order val="0"/>
          <c:tx>
            <c:strRef>
              <c:f>G_EN!$J$54</c:f>
              <c:strCache>
                <c:ptCount val="1"/>
                <c:pt idx="0">
                  <c:v> 2011</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G_EN!$I$55:$I$61</c:f>
              <c:strCache>
                <c:ptCount val="7"/>
                <c:pt idx="0">
                  <c:v>Specialist</c:v>
                </c:pt>
                <c:pt idx="1">
                  <c:v>Gynecologist</c:v>
                </c:pt>
                <c:pt idx="2">
                  <c:v>Dentist</c:v>
                </c:pt>
                <c:pt idx="3">
                  <c:v>GP for children</c:v>
                </c:pt>
                <c:pt idx="4">
                  <c:v>GP for adults</c:v>
                </c:pt>
                <c:pt idx="6">
                  <c:v>Total</c:v>
                </c:pt>
              </c:strCache>
            </c:strRef>
          </c:cat>
          <c:val>
            <c:numRef>
              <c:f>G_EN!$J$55:$J$61</c:f>
              <c:numCache>
                <c:formatCode>0%</c:formatCode>
                <c:ptCount val="7"/>
                <c:pt idx="0">
                  <c:v>0.10100000000000001</c:v>
                </c:pt>
                <c:pt idx="1">
                  <c:v>0.16800000000000001</c:v>
                </c:pt>
                <c:pt idx="2">
                  <c:v>3.3000000000000002E-2</c:v>
                </c:pt>
                <c:pt idx="3">
                  <c:v>0.13600000000000001</c:v>
                </c:pt>
                <c:pt idx="4">
                  <c:v>6.5000000000000002E-2</c:v>
                </c:pt>
                <c:pt idx="6">
                  <c:v>3.4629952504058203E-2</c:v>
                </c:pt>
              </c:numCache>
            </c:numRef>
          </c:val>
          <c:extLst>
            <c:ext xmlns:c16="http://schemas.microsoft.com/office/drawing/2014/chart" uri="{C3380CC4-5D6E-409C-BE32-E72D297353CC}">
              <c16:uniqueId val="{00000000-2C0E-45F5-988D-CC4BA00F4E31}"/>
            </c:ext>
          </c:extLst>
        </c:ser>
        <c:ser>
          <c:idx val="1"/>
          <c:order val="1"/>
          <c:tx>
            <c:strRef>
              <c:f>G_EN!$K$54</c:f>
              <c:strCache>
                <c:ptCount val="1"/>
                <c:pt idx="0">
                  <c:v> 2016</c:v>
                </c:pt>
              </c:strCache>
            </c:strRef>
          </c:tx>
          <c:spPr>
            <a:solidFill>
              <a:srgbClr val="009BB4"/>
            </a:solidFill>
          </c:spPr>
          <c:invertIfNegative val="0"/>
          <c:dLbls>
            <c:dLbl>
              <c:idx val="0"/>
              <c:spPr/>
              <c:txPr>
                <a:bodyPr/>
                <a:lstStyle/>
                <a:p>
                  <a:pPr>
                    <a:defRPr sz="800"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2C0E-45F5-988D-CC4BA00F4E31}"/>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0E-45F5-988D-CC4BA00F4E31}"/>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G_EN!$I$55:$I$61</c:f>
              <c:strCache>
                <c:ptCount val="7"/>
                <c:pt idx="0">
                  <c:v>Specialist</c:v>
                </c:pt>
                <c:pt idx="1">
                  <c:v>Gynecologist</c:v>
                </c:pt>
                <c:pt idx="2">
                  <c:v>Dentist</c:v>
                </c:pt>
                <c:pt idx="3">
                  <c:v>GP for children</c:v>
                </c:pt>
                <c:pt idx="4">
                  <c:v>GP for adults</c:v>
                </c:pt>
                <c:pt idx="6">
                  <c:v>Total</c:v>
                </c:pt>
              </c:strCache>
            </c:strRef>
          </c:cat>
          <c:val>
            <c:numRef>
              <c:f>G_EN!$K$55:$K$61</c:f>
              <c:numCache>
                <c:formatCode>0%</c:formatCode>
                <c:ptCount val="7"/>
                <c:pt idx="0">
                  <c:v>0.12848716722461301</c:v>
                </c:pt>
                <c:pt idx="1">
                  <c:v>0.29189686924493602</c:v>
                </c:pt>
                <c:pt idx="2">
                  <c:v>4.9275945293644402E-2</c:v>
                </c:pt>
                <c:pt idx="3">
                  <c:v>0.21273031825795599</c:v>
                </c:pt>
                <c:pt idx="4">
                  <c:v>0.121897272057016</c:v>
                </c:pt>
                <c:pt idx="6">
                  <c:v>0.12341267659831801</c:v>
                </c:pt>
              </c:numCache>
            </c:numRef>
          </c:val>
          <c:extLst>
            <c:ext xmlns:c16="http://schemas.microsoft.com/office/drawing/2014/chart" uri="{C3380CC4-5D6E-409C-BE32-E72D297353CC}">
              <c16:uniqueId val="{00000003-2C0E-45F5-988D-CC4BA00F4E31}"/>
            </c:ext>
          </c:extLst>
        </c:ser>
        <c:dLbls>
          <c:showLegendKey val="0"/>
          <c:showVal val="0"/>
          <c:showCatName val="0"/>
          <c:showSerName val="0"/>
          <c:showPercent val="0"/>
          <c:showBubbleSize val="0"/>
        </c:dLbls>
        <c:gapWidth val="30"/>
        <c:axId val="202670080"/>
        <c:axId val="201874176"/>
      </c:barChart>
      <c:catAx>
        <c:axId val="202670080"/>
        <c:scaling>
          <c:orientation val="minMax"/>
        </c:scaling>
        <c:delete val="0"/>
        <c:axPos val="l"/>
        <c:numFmt formatCode="General" sourceLinked="1"/>
        <c:majorTickMark val="out"/>
        <c:minorTickMark val="none"/>
        <c:tickLblPos val="nextTo"/>
        <c:spPr>
          <a:ln w="3175">
            <a:solidFill>
              <a:schemeClr val="tx1"/>
            </a:solidFill>
          </a:ln>
        </c:spPr>
        <c:crossAx val="201874176"/>
        <c:crosses val="autoZero"/>
        <c:auto val="1"/>
        <c:lblAlgn val="ctr"/>
        <c:lblOffset val="100"/>
        <c:noMultiLvlLbl val="0"/>
      </c:catAx>
      <c:valAx>
        <c:axId val="201874176"/>
        <c:scaling>
          <c:orientation val="minMax"/>
          <c:max val="0.3"/>
          <c:min val="0"/>
        </c:scaling>
        <c:delete val="0"/>
        <c:axPos val="b"/>
        <c:numFmt formatCode="0%" sourceLinked="1"/>
        <c:majorTickMark val="none"/>
        <c:minorTickMark val="none"/>
        <c:tickLblPos val="none"/>
        <c:crossAx val="202670080"/>
        <c:crosses val="autoZero"/>
        <c:crossBetween val="between"/>
        <c:majorUnit val="0.05"/>
        <c:minorUnit val="0.02"/>
      </c:valAx>
      <c:spPr>
        <a:ln w="12700">
          <a:solidFill>
            <a:schemeClr val="bg1">
              <a:lumMod val="65000"/>
            </a:schemeClr>
          </a:solidFill>
        </a:ln>
      </c:spPr>
    </c:plotArea>
    <c:legend>
      <c:legendPos val="r"/>
      <c:layout>
        <c:manualLayout>
          <c:xMode val="edge"/>
          <c:yMode val="edge"/>
          <c:x val="0.67030915032679805"/>
          <c:y val="0.23911706349206299"/>
          <c:w val="0.17629764476121701"/>
          <c:h val="0.1494916639503889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G5 Independent physicians in the Czech Republic keeping health records electronically; 2016 (%)*</a:t>
            </a:r>
            <a:endParaRPr lang="cs-CZ" sz="800">
              <a:effectLst/>
              <a:latin typeface="Arial" panose="020B0604020202020204" pitchFamily="34" charset="0"/>
              <a:cs typeface="Arial" panose="020B0604020202020204" pitchFamily="34" charset="0"/>
            </a:endParaRPr>
          </a:p>
        </c:rich>
      </c:tx>
      <c:layout>
        <c:manualLayout>
          <c:xMode val="edge"/>
          <c:yMode val="edge"/>
          <c:x val="0.15162156862745099"/>
          <c:y val="1.5679012345678998E-2"/>
        </c:manualLayout>
      </c:layout>
      <c:overlay val="0"/>
    </c:title>
    <c:autoTitleDeleted val="0"/>
    <c:plotArea>
      <c:layout>
        <c:manualLayout>
          <c:layoutTarget val="inner"/>
          <c:xMode val="edge"/>
          <c:yMode val="edge"/>
          <c:x val="0.29597628470137499"/>
          <c:y val="0.140238888888889"/>
          <c:w val="0.63973148216286102"/>
          <c:h val="0.56956291268796"/>
        </c:manualLayout>
      </c:layout>
      <c:barChart>
        <c:barDir val="bar"/>
        <c:grouping val="clustered"/>
        <c:varyColors val="0"/>
        <c:ser>
          <c:idx val="0"/>
          <c:order val="0"/>
          <c:tx>
            <c:strRef>
              <c:f>G_EN!$J$70</c:f>
              <c:strCache>
                <c:ptCount val="1"/>
                <c:pt idx="0">
                  <c:v> Electronic form only</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G_EN!$I$71:$I$77</c:f>
              <c:strCache>
                <c:ptCount val="7"/>
                <c:pt idx="0">
                  <c:v>Specialist</c:v>
                </c:pt>
                <c:pt idx="1">
                  <c:v>Gynecologist</c:v>
                </c:pt>
                <c:pt idx="2">
                  <c:v>Dentist</c:v>
                </c:pt>
                <c:pt idx="3">
                  <c:v>GP for children</c:v>
                </c:pt>
                <c:pt idx="4">
                  <c:v>GP for adults</c:v>
                </c:pt>
                <c:pt idx="6">
                  <c:v>Total</c:v>
                </c:pt>
              </c:strCache>
            </c:strRef>
          </c:cat>
          <c:val>
            <c:numRef>
              <c:f>G_EN!$J$71:$J$77</c:f>
              <c:numCache>
                <c:formatCode>0%</c:formatCode>
                <c:ptCount val="7"/>
                <c:pt idx="0">
                  <c:v>8.7996174079387798E-2</c:v>
                </c:pt>
                <c:pt idx="1">
                  <c:v>6.4456721915285495E-2</c:v>
                </c:pt>
                <c:pt idx="2">
                  <c:v>0.115647626709574</c:v>
                </c:pt>
                <c:pt idx="3">
                  <c:v>2.06588498045784E-2</c:v>
                </c:pt>
                <c:pt idx="4">
                  <c:v>4.7923322683706103E-2</c:v>
                </c:pt>
                <c:pt idx="6">
                  <c:v>7.8555329558572903E-2</c:v>
                </c:pt>
              </c:numCache>
            </c:numRef>
          </c:val>
          <c:extLst>
            <c:ext xmlns:c16="http://schemas.microsoft.com/office/drawing/2014/chart" uri="{C3380CC4-5D6E-409C-BE32-E72D297353CC}">
              <c16:uniqueId val="{00000000-2A1F-41E1-9307-B9173D5A2D8D}"/>
            </c:ext>
          </c:extLst>
        </c:ser>
        <c:ser>
          <c:idx val="1"/>
          <c:order val="1"/>
          <c:tx>
            <c:strRef>
              <c:f>G_EN!$K$70</c:f>
              <c:strCache>
                <c:ptCount val="1"/>
                <c:pt idx="0">
                  <c:v> Total**</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1F-41E1-9307-B9173D5A2D8D}"/>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G_EN!$I$71:$I$77</c:f>
              <c:strCache>
                <c:ptCount val="7"/>
                <c:pt idx="0">
                  <c:v>Specialist</c:v>
                </c:pt>
                <c:pt idx="1">
                  <c:v>Gynecologist</c:v>
                </c:pt>
                <c:pt idx="2">
                  <c:v>Dentist</c:v>
                </c:pt>
                <c:pt idx="3">
                  <c:v>GP for children</c:v>
                </c:pt>
                <c:pt idx="4">
                  <c:v>GP for adults</c:v>
                </c:pt>
                <c:pt idx="6">
                  <c:v>Total</c:v>
                </c:pt>
              </c:strCache>
            </c:strRef>
          </c:cat>
          <c:val>
            <c:numRef>
              <c:f>G_EN!$K$71:$K$77</c:f>
              <c:numCache>
                <c:formatCode>0%</c:formatCode>
                <c:ptCount val="7"/>
                <c:pt idx="0">
                  <c:v>0.71273712737127404</c:v>
                </c:pt>
                <c:pt idx="1">
                  <c:v>0.74309392265193397</c:v>
                </c:pt>
                <c:pt idx="2">
                  <c:v>0.58065164923571999</c:v>
                </c:pt>
                <c:pt idx="3">
                  <c:v>0.63874930206588498</c:v>
                </c:pt>
                <c:pt idx="4">
                  <c:v>0.73629884492504305</c:v>
                </c:pt>
                <c:pt idx="6">
                  <c:v>0.676433401132428</c:v>
                </c:pt>
              </c:numCache>
            </c:numRef>
          </c:val>
          <c:extLst>
            <c:ext xmlns:c16="http://schemas.microsoft.com/office/drawing/2014/chart" uri="{C3380CC4-5D6E-409C-BE32-E72D297353CC}">
              <c16:uniqueId val="{00000002-2A1F-41E1-9307-B9173D5A2D8D}"/>
            </c:ext>
          </c:extLst>
        </c:ser>
        <c:dLbls>
          <c:showLegendKey val="0"/>
          <c:showVal val="0"/>
          <c:showCatName val="0"/>
          <c:showSerName val="0"/>
          <c:showPercent val="0"/>
          <c:showBubbleSize val="0"/>
        </c:dLbls>
        <c:gapWidth val="30"/>
        <c:axId val="201975808"/>
        <c:axId val="202564160"/>
      </c:barChart>
      <c:catAx>
        <c:axId val="201975808"/>
        <c:scaling>
          <c:orientation val="minMax"/>
        </c:scaling>
        <c:delete val="0"/>
        <c:axPos val="l"/>
        <c:numFmt formatCode="General" sourceLinked="1"/>
        <c:majorTickMark val="out"/>
        <c:minorTickMark val="none"/>
        <c:tickLblPos val="nextTo"/>
        <c:spPr>
          <a:ln w="3175">
            <a:solidFill>
              <a:schemeClr val="tx1"/>
            </a:solidFill>
          </a:ln>
        </c:spPr>
        <c:crossAx val="202564160"/>
        <c:crosses val="autoZero"/>
        <c:auto val="1"/>
        <c:lblAlgn val="ctr"/>
        <c:lblOffset val="100"/>
        <c:noMultiLvlLbl val="0"/>
      </c:catAx>
      <c:valAx>
        <c:axId val="202564160"/>
        <c:scaling>
          <c:orientation val="minMax"/>
          <c:max val="1"/>
        </c:scaling>
        <c:delete val="0"/>
        <c:axPos val="b"/>
        <c:numFmt formatCode="0%" sourceLinked="1"/>
        <c:majorTickMark val="none"/>
        <c:minorTickMark val="none"/>
        <c:tickLblPos val="none"/>
        <c:crossAx val="201975808"/>
        <c:crosses val="autoZero"/>
        <c:crossBetween val="between"/>
        <c:majorUnit val="0.1"/>
        <c:minorUnit val="0.05"/>
      </c:valAx>
      <c:spPr>
        <a:ln w="12700">
          <a:solidFill>
            <a:schemeClr val="bg1">
              <a:lumMod val="65000"/>
            </a:schemeClr>
          </a:solidFill>
        </a:ln>
      </c:spPr>
    </c:plotArea>
    <c:legend>
      <c:legendPos val="r"/>
      <c:layout>
        <c:manualLayout>
          <c:xMode val="edge"/>
          <c:yMode val="edge"/>
          <c:x val="0.49837352941176499"/>
          <c:y val="0.20328209876543199"/>
          <c:w val="0.41213333333333302"/>
          <c:h val="9.2585090443762799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 G6 Independent physicians in the Czech Republic keeping health records in paper form; 2016 (%)*</a:t>
            </a:r>
            <a:endParaRPr lang="cs-CZ" sz="800">
              <a:effectLst/>
            </a:endParaRPr>
          </a:p>
        </c:rich>
      </c:tx>
      <c:overlay val="0"/>
    </c:title>
    <c:autoTitleDeleted val="0"/>
    <c:plotArea>
      <c:layout>
        <c:manualLayout>
          <c:layoutTarget val="inner"/>
          <c:xMode val="edge"/>
          <c:yMode val="edge"/>
          <c:x val="0.28725641931110002"/>
          <c:y val="0.140238888888889"/>
          <c:w val="0.66480751951318895"/>
          <c:h val="0.57553805774278199"/>
        </c:manualLayout>
      </c:layout>
      <c:barChart>
        <c:barDir val="bar"/>
        <c:grouping val="clustered"/>
        <c:varyColors val="0"/>
        <c:ser>
          <c:idx val="0"/>
          <c:order val="0"/>
          <c:tx>
            <c:strRef>
              <c:f>G_EN!$J$88</c:f>
              <c:strCache>
                <c:ptCount val="1"/>
                <c:pt idx="0">
                  <c:v> Paper form only</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G_EN!$I$89:$I$95</c:f>
              <c:strCache>
                <c:ptCount val="7"/>
                <c:pt idx="0">
                  <c:v>Specialist</c:v>
                </c:pt>
                <c:pt idx="1">
                  <c:v>Gynecologist</c:v>
                </c:pt>
                <c:pt idx="2">
                  <c:v>Dentist</c:v>
                </c:pt>
                <c:pt idx="3">
                  <c:v>GP for children</c:v>
                </c:pt>
                <c:pt idx="4">
                  <c:v>GP for adults</c:v>
                </c:pt>
                <c:pt idx="6">
                  <c:v>Total</c:v>
                </c:pt>
              </c:strCache>
            </c:strRef>
          </c:cat>
          <c:val>
            <c:numRef>
              <c:f>G_EN!$J$89:$J$95</c:f>
              <c:numCache>
                <c:formatCode>0%</c:formatCode>
                <c:ptCount val="7"/>
                <c:pt idx="0">
                  <c:v>0.271480950103619</c:v>
                </c:pt>
                <c:pt idx="1">
                  <c:v>0.25138121546961301</c:v>
                </c:pt>
                <c:pt idx="2">
                  <c:v>0.41110217216411898</c:v>
                </c:pt>
                <c:pt idx="3">
                  <c:v>0.35231714126186497</c:v>
                </c:pt>
                <c:pt idx="4">
                  <c:v>0.25854018186286598</c:v>
                </c:pt>
                <c:pt idx="6">
                  <c:v>0.313506679127041</c:v>
                </c:pt>
              </c:numCache>
            </c:numRef>
          </c:val>
          <c:extLst>
            <c:ext xmlns:c16="http://schemas.microsoft.com/office/drawing/2014/chart" uri="{C3380CC4-5D6E-409C-BE32-E72D297353CC}">
              <c16:uniqueId val="{00000000-BA31-4A6D-9198-AEC20E2273DB}"/>
            </c:ext>
          </c:extLst>
        </c:ser>
        <c:ser>
          <c:idx val="1"/>
          <c:order val="1"/>
          <c:tx>
            <c:strRef>
              <c:f>G_EN!$K$88</c:f>
              <c:strCache>
                <c:ptCount val="1"/>
                <c:pt idx="0">
                  <c:v> Total**</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31-4A6D-9198-AEC20E2273DB}"/>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G_EN!$I$89:$I$95</c:f>
              <c:strCache>
                <c:ptCount val="7"/>
                <c:pt idx="0">
                  <c:v>Specialist</c:v>
                </c:pt>
                <c:pt idx="1">
                  <c:v>Gynecologist</c:v>
                </c:pt>
                <c:pt idx="2">
                  <c:v>Dentist</c:v>
                </c:pt>
                <c:pt idx="3">
                  <c:v>GP for children</c:v>
                </c:pt>
                <c:pt idx="4">
                  <c:v>GP for adults</c:v>
                </c:pt>
                <c:pt idx="6">
                  <c:v>Total</c:v>
                </c:pt>
              </c:strCache>
            </c:strRef>
          </c:cat>
          <c:val>
            <c:numRef>
              <c:f>G_EN!$K$89:$K$95</c:f>
              <c:numCache>
                <c:formatCode>0%</c:formatCode>
                <c:ptCount val="7"/>
                <c:pt idx="0">
                  <c:v>0.89574095329188597</c:v>
                </c:pt>
                <c:pt idx="1">
                  <c:v>0.92963720073664802</c:v>
                </c:pt>
                <c:pt idx="2">
                  <c:v>0.87600402252614695</c:v>
                </c:pt>
                <c:pt idx="3">
                  <c:v>0.97009045226130697</c:v>
                </c:pt>
                <c:pt idx="4">
                  <c:v>0.94737552224133703</c:v>
                </c:pt>
                <c:pt idx="6">
                  <c:v>0.91187807157385503</c:v>
                </c:pt>
              </c:numCache>
            </c:numRef>
          </c:val>
          <c:extLst>
            <c:ext xmlns:c16="http://schemas.microsoft.com/office/drawing/2014/chart" uri="{C3380CC4-5D6E-409C-BE32-E72D297353CC}">
              <c16:uniqueId val="{00000002-BA31-4A6D-9198-AEC20E2273DB}"/>
            </c:ext>
          </c:extLst>
        </c:ser>
        <c:dLbls>
          <c:showLegendKey val="0"/>
          <c:showVal val="0"/>
          <c:showCatName val="0"/>
          <c:showSerName val="0"/>
          <c:showPercent val="0"/>
          <c:showBubbleSize val="0"/>
        </c:dLbls>
        <c:gapWidth val="30"/>
        <c:axId val="202310144"/>
        <c:axId val="202565888"/>
      </c:barChart>
      <c:catAx>
        <c:axId val="202310144"/>
        <c:scaling>
          <c:orientation val="minMax"/>
        </c:scaling>
        <c:delete val="0"/>
        <c:axPos val="l"/>
        <c:numFmt formatCode="General" sourceLinked="1"/>
        <c:majorTickMark val="out"/>
        <c:minorTickMark val="none"/>
        <c:tickLblPos val="nextTo"/>
        <c:spPr>
          <a:ln w="3175">
            <a:solidFill>
              <a:schemeClr val="tx1"/>
            </a:solidFill>
          </a:ln>
        </c:spPr>
        <c:crossAx val="202565888"/>
        <c:crosses val="autoZero"/>
        <c:auto val="1"/>
        <c:lblAlgn val="ctr"/>
        <c:lblOffset val="100"/>
        <c:noMultiLvlLbl val="0"/>
      </c:catAx>
      <c:valAx>
        <c:axId val="202565888"/>
        <c:scaling>
          <c:orientation val="minMax"/>
          <c:max val="1"/>
        </c:scaling>
        <c:delete val="0"/>
        <c:axPos val="b"/>
        <c:numFmt formatCode="0%" sourceLinked="1"/>
        <c:majorTickMark val="none"/>
        <c:minorTickMark val="none"/>
        <c:tickLblPos val="none"/>
        <c:crossAx val="202310144"/>
        <c:crosses val="autoZero"/>
        <c:crossBetween val="between"/>
        <c:majorUnit val="0.1"/>
        <c:minorUnit val="0.05"/>
      </c:valAx>
      <c:spPr>
        <a:ln w="12700">
          <a:solidFill>
            <a:schemeClr val="bg1">
              <a:lumMod val="65000"/>
            </a:schemeClr>
          </a:solidFill>
        </a:ln>
      </c:spPr>
    </c:plotArea>
    <c:legend>
      <c:legendPos val="r"/>
      <c:layout>
        <c:manualLayout>
          <c:xMode val="edge"/>
          <c:yMode val="edge"/>
          <c:x val="0.597934483540702"/>
          <c:y val="0.19483929002559999"/>
          <c:w val="0.32322786365732398"/>
          <c:h val="0.100190740740741"/>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latin typeface="Arial" panose="020B0604020202020204" pitchFamily="34" charset="0"/>
                <a:cs typeface="Arial" panose="020B0604020202020204" pitchFamily="34" charset="0"/>
              </a:rPr>
              <a:t>Figure G7 Independent physicians in the Czech Republic using selected functions </a:t>
            </a:r>
            <a:endParaRPr lang="cs-CZ" sz="800">
              <a:effectLst/>
              <a:latin typeface="Arial" panose="020B0604020202020204" pitchFamily="34" charset="0"/>
              <a:cs typeface="Arial" panose="020B0604020202020204" pitchFamily="34" charset="0"/>
            </a:endParaRPr>
          </a:p>
          <a:p>
            <a:pPr>
              <a:defRPr sz="800" b="1"/>
            </a:pPr>
            <a:r>
              <a:rPr lang="cs-CZ" sz="800" b="1" i="0" baseline="0">
                <a:effectLst/>
                <a:latin typeface="Arial" panose="020B0604020202020204" pitchFamily="34" charset="0"/>
                <a:cs typeface="Arial" panose="020B0604020202020204" pitchFamily="34" charset="0"/>
              </a:rPr>
              <a:t>of their electronic health systems; 2016 (%)*</a:t>
            </a:r>
            <a:endParaRPr lang="cs-CZ" sz="800">
              <a:effectLst/>
              <a:latin typeface="Arial" panose="020B0604020202020204" pitchFamily="34" charset="0"/>
              <a:cs typeface="Arial" panose="020B0604020202020204" pitchFamily="34" charset="0"/>
            </a:endParaRPr>
          </a:p>
        </c:rich>
      </c:tx>
      <c:layout>
        <c:manualLayout>
          <c:xMode val="edge"/>
          <c:yMode val="edge"/>
          <c:x val="0.120265555040914"/>
          <c:y val="2.0471225033568002E-2"/>
        </c:manualLayout>
      </c:layout>
      <c:overlay val="1"/>
    </c:title>
    <c:autoTitleDeleted val="0"/>
    <c:plotArea>
      <c:layout>
        <c:manualLayout>
          <c:layoutTarget val="inner"/>
          <c:xMode val="edge"/>
          <c:yMode val="edge"/>
          <c:x val="0.13784508565822201"/>
          <c:y val="0.147960165545031"/>
          <c:w val="0.80248513664226495"/>
          <c:h val="0.68932202034302503"/>
        </c:manualLayout>
      </c:layout>
      <c:barChart>
        <c:barDir val="bar"/>
        <c:grouping val="clustered"/>
        <c:varyColors val="0"/>
        <c:ser>
          <c:idx val="0"/>
          <c:order val="0"/>
          <c:tx>
            <c:strRef>
              <c:f>G_EN!$K$108</c:f>
              <c:strCache>
                <c:ptCount val="1"/>
                <c:pt idx="0">
                  <c:v> Drug-interaction alerts</c:v>
                </c:pt>
              </c:strCache>
            </c:strRef>
          </c:tx>
          <c:spPr>
            <a:solidFill>
              <a:srgbClr val="ABF3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G_EN!$J$109:$J$115</c:f>
              <c:strCache>
                <c:ptCount val="7"/>
                <c:pt idx="0">
                  <c:v>GP for adults</c:v>
                </c:pt>
                <c:pt idx="1">
                  <c:v>Gynecologist</c:v>
                </c:pt>
                <c:pt idx="2">
                  <c:v>GP for children</c:v>
                </c:pt>
                <c:pt idx="3">
                  <c:v>Specialist</c:v>
                </c:pt>
                <c:pt idx="4">
                  <c:v>Dentist</c:v>
                </c:pt>
                <c:pt idx="6">
                  <c:v>Total</c:v>
                </c:pt>
              </c:strCache>
            </c:strRef>
          </c:cat>
          <c:val>
            <c:numRef>
              <c:f>G_EN!$K$109:$K$115</c:f>
              <c:numCache>
                <c:formatCode>0%</c:formatCode>
                <c:ptCount val="7"/>
                <c:pt idx="0">
                  <c:v>0.46792823789628901</c:v>
                </c:pt>
                <c:pt idx="1">
                  <c:v>0.31860036832412503</c:v>
                </c:pt>
                <c:pt idx="2">
                  <c:v>0.31490787269681703</c:v>
                </c:pt>
                <c:pt idx="3">
                  <c:v>0.251873106966364</c:v>
                </c:pt>
                <c:pt idx="4">
                  <c:v>9.5534995977473905E-2</c:v>
                </c:pt>
                <c:pt idx="6">
                  <c:v>0.26765983178494901</c:v>
                </c:pt>
              </c:numCache>
            </c:numRef>
          </c:val>
          <c:extLst>
            <c:ext xmlns:c16="http://schemas.microsoft.com/office/drawing/2014/chart" uri="{C3380CC4-5D6E-409C-BE32-E72D297353CC}">
              <c16:uniqueId val="{00000000-AFC6-40C3-B427-05D769E25A26}"/>
            </c:ext>
          </c:extLst>
        </c:ser>
        <c:ser>
          <c:idx val="1"/>
          <c:order val="1"/>
          <c:tx>
            <c:strRef>
              <c:f>G_EN!$L$108</c:f>
              <c:strCache>
                <c:ptCount val="1"/>
                <c:pt idx="0">
                  <c:v> Laboratory examinations results</c:v>
                </c:pt>
              </c:strCache>
            </c:strRef>
          </c:tx>
          <c:spPr>
            <a:solidFill>
              <a:srgbClr val="47E5FF"/>
            </a:solidFill>
            <a:ln w="25400">
              <a:noFill/>
            </a:ln>
          </c:spPr>
          <c:invertIfNegative val="0"/>
          <c:dLbls>
            <c:dLbl>
              <c:idx val="2"/>
              <c:layout>
                <c:manualLayout>
                  <c:x val="-4.4010086974422297E-2"/>
                  <c:y val="-7.50602913535260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C6-40C3-B427-05D769E25A26}"/>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G_EN!$J$109:$J$115</c:f>
              <c:strCache>
                <c:ptCount val="7"/>
                <c:pt idx="0">
                  <c:v>GP for adults</c:v>
                </c:pt>
                <c:pt idx="1">
                  <c:v>Gynecologist</c:v>
                </c:pt>
                <c:pt idx="2">
                  <c:v>GP for children</c:v>
                </c:pt>
                <c:pt idx="3">
                  <c:v>Specialist</c:v>
                </c:pt>
                <c:pt idx="4">
                  <c:v>Dentist</c:v>
                </c:pt>
                <c:pt idx="6">
                  <c:v>Total</c:v>
                </c:pt>
              </c:strCache>
            </c:strRef>
          </c:cat>
          <c:val>
            <c:numRef>
              <c:f>G_EN!$L$109:$L$115</c:f>
              <c:numCache>
                <c:formatCode>0%</c:formatCode>
                <c:ptCount val="7"/>
                <c:pt idx="0">
                  <c:v>0.54214794789874698</c:v>
                </c:pt>
                <c:pt idx="1">
                  <c:v>0.54235727440147297</c:v>
                </c:pt>
                <c:pt idx="2">
                  <c:v>0.46566164154103801</c:v>
                </c:pt>
                <c:pt idx="3">
                  <c:v>0.263350868802806</c:v>
                </c:pt>
                <c:pt idx="4">
                  <c:v>3.4191472244569601E-2</c:v>
                </c:pt>
                <c:pt idx="6">
                  <c:v>0.29965367489417799</c:v>
                </c:pt>
              </c:numCache>
            </c:numRef>
          </c:val>
          <c:extLst>
            <c:ext xmlns:c16="http://schemas.microsoft.com/office/drawing/2014/chart" uri="{C3380CC4-5D6E-409C-BE32-E72D297353CC}">
              <c16:uniqueId val="{00000002-AFC6-40C3-B427-05D769E25A26}"/>
            </c:ext>
          </c:extLst>
        </c:ser>
        <c:ser>
          <c:idx val="2"/>
          <c:order val="2"/>
          <c:tx>
            <c:strRef>
              <c:f>G_EN!$M$108</c:f>
              <c:strCache>
                <c:ptCount val="1"/>
                <c:pt idx="0">
                  <c:v> Medical prescription</c:v>
                </c:pt>
              </c:strCache>
            </c:strRef>
          </c:tx>
          <c:spPr>
            <a:solidFill>
              <a:srgbClr val="009BB4"/>
            </a:solidFill>
            <a:ln w="25400">
              <a:noFill/>
            </a:ln>
          </c:spPr>
          <c:invertIfNegative val="0"/>
          <c:dLbls>
            <c:numFmt formatCode="0%" sourceLinked="0"/>
            <c:spPr>
              <a:noFill/>
              <a:ln w="25400">
                <a:noFill/>
              </a:ln>
            </c:spPr>
            <c:txPr>
              <a:bodyPr/>
              <a:lstStyle/>
              <a:p>
                <a:pPr>
                  <a:defRPr sz="800" b="1">
                    <a:solidFill>
                      <a:schemeClr val="bg1"/>
                    </a:solidFill>
                    <a:latin typeface="Arial CE" panose="020B0604020202020204" pitchFamily="34" charset="0"/>
                    <a:cs typeface="Arial CE"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G_EN!$J$109:$J$115</c:f>
              <c:strCache>
                <c:ptCount val="7"/>
                <c:pt idx="0">
                  <c:v>GP for adults</c:v>
                </c:pt>
                <c:pt idx="1">
                  <c:v>Gynecologist</c:v>
                </c:pt>
                <c:pt idx="2">
                  <c:v>GP for children</c:v>
                </c:pt>
                <c:pt idx="3">
                  <c:v>Specialist</c:v>
                </c:pt>
                <c:pt idx="4">
                  <c:v>Dentist</c:v>
                </c:pt>
                <c:pt idx="6">
                  <c:v>Total</c:v>
                </c:pt>
              </c:strCache>
            </c:strRef>
          </c:cat>
          <c:val>
            <c:numRef>
              <c:f>G_EN!$M$109:$M$115</c:f>
              <c:numCache>
                <c:formatCode>0%</c:formatCode>
                <c:ptCount val="7"/>
                <c:pt idx="0">
                  <c:v>0.64659621528631095</c:v>
                </c:pt>
                <c:pt idx="1">
                  <c:v>0.60773480662983403</c:v>
                </c:pt>
                <c:pt idx="2">
                  <c:v>0.51088777219430503</c:v>
                </c:pt>
                <c:pt idx="3">
                  <c:v>0.49976087996174101</c:v>
                </c:pt>
                <c:pt idx="4">
                  <c:v>0.20917135961383701</c:v>
                </c:pt>
                <c:pt idx="6">
                  <c:v>0.46072233522071399</c:v>
                </c:pt>
              </c:numCache>
            </c:numRef>
          </c:val>
          <c:extLst>
            <c:ext xmlns:c16="http://schemas.microsoft.com/office/drawing/2014/chart" uri="{C3380CC4-5D6E-409C-BE32-E72D297353CC}">
              <c16:uniqueId val="{00000003-AFC6-40C3-B427-05D769E25A26}"/>
            </c:ext>
          </c:extLst>
        </c:ser>
        <c:dLbls>
          <c:showLegendKey val="0"/>
          <c:showVal val="1"/>
          <c:showCatName val="0"/>
          <c:showSerName val="0"/>
          <c:showPercent val="0"/>
          <c:showBubbleSize val="0"/>
        </c:dLbls>
        <c:gapWidth val="57"/>
        <c:axId val="202310656"/>
        <c:axId val="202568192"/>
      </c:barChart>
      <c:catAx>
        <c:axId val="202310656"/>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cs-CZ"/>
          </a:p>
        </c:txPr>
        <c:crossAx val="202568192"/>
        <c:crosses val="autoZero"/>
        <c:auto val="1"/>
        <c:lblAlgn val="ctr"/>
        <c:lblOffset val="40"/>
        <c:tickLblSkip val="1"/>
        <c:tickMarkSkip val="1"/>
        <c:noMultiLvlLbl val="0"/>
      </c:catAx>
      <c:valAx>
        <c:axId val="202568192"/>
        <c:scaling>
          <c:orientation val="minMax"/>
          <c:max val="0.7"/>
        </c:scaling>
        <c:delete val="0"/>
        <c:axPos val="b"/>
        <c:numFmt formatCode="0%" sourceLinked="1"/>
        <c:majorTickMark val="none"/>
        <c:minorTickMark val="none"/>
        <c:tickLblPos val="nextTo"/>
        <c:spPr>
          <a:ln w="9525">
            <a:solidFill>
              <a:schemeClr val="bg1">
                <a:lumMod val="65000"/>
              </a:schemeClr>
            </a:solidFill>
          </a:ln>
        </c:spPr>
        <c:txPr>
          <a:bodyPr/>
          <a:lstStyle/>
          <a:p>
            <a:pPr>
              <a:defRPr>
                <a:solidFill>
                  <a:schemeClr val="bg1"/>
                </a:solidFill>
              </a:defRPr>
            </a:pPr>
            <a:endParaRPr lang="cs-CZ"/>
          </a:p>
        </c:txPr>
        <c:crossAx val="202310656"/>
        <c:crosses val="autoZero"/>
        <c:crossBetween val="between"/>
      </c:valAx>
      <c:spPr>
        <a:noFill/>
        <a:ln w="12700">
          <a:solidFill>
            <a:schemeClr val="bg1">
              <a:lumMod val="65000"/>
            </a:schemeClr>
          </a:solidFill>
          <a:prstDash val="solid"/>
        </a:ln>
      </c:spPr>
    </c:plotArea>
    <c:legend>
      <c:legendPos val="t"/>
      <c:layout>
        <c:manualLayout>
          <c:xMode val="edge"/>
          <c:yMode val="edge"/>
          <c:x val="0.523404526510863"/>
          <c:y val="0.234291928151244"/>
          <c:w val="0.388956923515551"/>
          <c:h val="0.188354201149149"/>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G8 Independent physicians in the Czech Republic with electronic health system enabling to generate selected patient records; 2016 (%)*</a:t>
            </a:r>
            <a:endParaRPr lang="cs-CZ" sz="800">
              <a:effectLst/>
              <a:latin typeface="Arial" panose="020B0604020202020204" pitchFamily="34" charset="0"/>
              <a:cs typeface="Arial" panose="020B0604020202020204" pitchFamily="34" charset="0"/>
            </a:endParaRPr>
          </a:p>
        </c:rich>
      </c:tx>
      <c:layout>
        <c:manualLayout>
          <c:xMode val="edge"/>
          <c:yMode val="edge"/>
          <c:x val="0.120265555040914"/>
          <c:y val="2.0471225033568002E-2"/>
        </c:manualLayout>
      </c:layout>
      <c:overlay val="1"/>
    </c:title>
    <c:autoTitleDeleted val="0"/>
    <c:plotArea>
      <c:layout>
        <c:manualLayout>
          <c:layoutTarget val="inner"/>
          <c:xMode val="edge"/>
          <c:yMode val="edge"/>
          <c:x val="0.17364002054091099"/>
          <c:y val="0.27323431492860401"/>
          <c:w val="0.79737447221271296"/>
          <c:h val="0.53731823455512295"/>
        </c:manualLayout>
      </c:layout>
      <c:barChart>
        <c:barDir val="bar"/>
        <c:grouping val="clustered"/>
        <c:varyColors val="0"/>
        <c:ser>
          <c:idx val="0"/>
          <c:order val="0"/>
          <c:tx>
            <c:strRef>
              <c:f>G_EN!$K$124</c:f>
              <c:strCache>
                <c:ptCount val="1"/>
                <c:pt idx="0">
                  <c:v> Patients by laboratory examinations results</c:v>
                </c:pt>
              </c:strCache>
            </c:strRef>
          </c:tx>
          <c:spPr>
            <a:solidFill>
              <a:srgbClr val="ABF3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G_EN!$J$125:$J$131</c:f>
              <c:strCache>
                <c:ptCount val="7"/>
                <c:pt idx="0">
                  <c:v>Dentist</c:v>
                </c:pt>
                <c:pt idx="1">
                  <c:v>Specialist</c:v>
                </c:pt>
                <c:pt idx="2">
                  <c:v>GP for children</c:v>
                </c:pt>
                <c:pt idx="3">
                  <c:v>GP for adults</c:v>
                </c:pt>
                <c:pt idx="4">
                  <c:v>Gynecologist</c:v>
                </c:pt>
                <c:pt idx="6">
                  <c:v>Total</c:v>
                </c:pt>
              </c:strCache>
            </c:strRef>
          </c:cat>
          <c:val>
            <c:numRef>
              <c:f>G_EN!$K$125:$K$131</c:f>
              <c:numCache>
                <c:formatCode>0%</c:formatCode>
                <c:ptCount val="7"/>
                <c:pt idx="0">
                  <c:v>7.3411102172164094E-2</c:v>
                </c:pt>
                <c:pt idx="1">
                  <c:v>0.193846644348796</c:v>
                </c:pt>
                <c:pt idx="2">
                  <c:v>0.297040759352317</c:v>
                </c:pt>
                <c:pt idx="3">
                  <c:v>0.346768247726714</c:v>
                </c:pt>
                <c:pt idx="4">
                  <c:v>0.35635359116022097</c:v>
                </c:pt>
                <c:pt idx="6">
                  <c:v>0.21499642680446401</c:v>
                </c:pt>
              </c:numCache>
            </c:numRef>
          </c:val>
          <c:extLst>
            <c:ext xmlns:c16="http://schemas.microsoft.com/office/drawing/2014/chart" uri="{C3380CC4-5D6E-409C-BE32-E72D297353CC}">
              <c16:uniqueId val="{00000000-D6AC-4E4E-A5F1-28CFBE04E855}"/>
            </c:ext>
          </c:extLst>
        </c:ser>
        <c:ser>
          <c:idx val="1"/>
          <c:order val="1"/>
          <c:tx>
            <c:strRef>
              <c:f>G_EN!$L$124</c:f>
              <c:strCache>
                <c:ptCount val="1"/>
                <c:pt idx="0">
                  <c:v> Patients for appointment**</c:v>
                </c:pt>
              </c:strCache>
            </c:strRef>
          </c:tx>
          <c:spPr>
            <a:solidFill>
              <a:srgbClr val="47E5FF"/>
            </a:solidFill>
            <a:ln w="25400">
              <a:noFill/>
            </a:ln>
          </c:spPr>
          <c:invertIfNegative val="0"/>
          <c:dLbls>
            <c:dLbl>
              <c:idx val="2"/>
              <c:layout>
                <c:manualLayout>
                  <c:x val="-4.4010086974422297E-2"/>
                  <c:y val="-7.50602913535260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C-4E4E-A5F1-28CFBE04E855}"/>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G_EN!$J$125:$J$131</c:f>
              <c:strCache>
                <c:ptCount val="7"/>
                <c:pt idx="0">
                  <c:v>Dentist</c:v>
                </c:pt>
                <c:pt idx="1">
                  <c:v>Specialist</c:v>
                </c:pt>
                <c:pt idx="2">
                  <c:v>GP for children</c:v>
                </c:pt>
                <c:pt idx="3">
                  <c:v>GP for adults</c:v>
                </c:pt>
                <c:pt idx="4">
                  <c:v>Gynecologist</c:v>
                </c:pt>
                <c:pt idx="6">
                  <c:v>Total</c:v>
                </c:pt>
              </c:strCache>
            </c:strRef>
          </c:cat>
          <c:val>
            <c:numRef>
              <c:f>G_EN!$L$125:$L$131</c:f>
              <c:numCache>
                <c:formatCode>0%</c:formatCode>
                <c:ptCount val="7"/>
                <c:pt idx="0">
                  <c:v>0.28097345132743401</c:v>
                </c:pt>
                <c:pt idx="1">
                  <c:v>0.27721983102184</c:v>
                </c:pt>
                <c:pt idx="2">
                  <c:v>0.47459519821328899</c:v>
                </c:pt>
                <c:pt idx="3">
                  <c:v>0.49963135905627898</c:v>
                </c:pt>
                <c:pt idx="4">
                  <c:v>0.51657458563535896</c:v>
                </c:pt>
                <c:pt idx="6">
                  <c:v>0.36171733274696299</c:v>
                </c:pt>
              </c:numCache>
            </c:numRef>
          </c:val>
          <c:extLst>
            <c:ext xmlns:c16="http://schemas.microsoft.com/office/drawing/2014/chart" uri="{C3380CC4-5D6E-409C-BE32-E72D297353CC}">
              <c16:uniqueId val="{00000002-D6AC-4E4E-A5F1-28CFBE04E855}"/>
            </c:ext>
          </c:extLst>
        </c:ser>
        <c:ser>
          <c:idx val="2"/>
          <c:order val="2"/>
          <c:tx>
            <c:strRef>
              <c:f>G_EN!$M$124</c:f>
              <c:strCache>
                <c:ptCount val="1"/>
                <c:pt idx="0">
                  <c:v> Patients by diagnosis</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G_EN!$J$125:$J$131</c:f>
              <c:strCache>
                <c:ptCount val="7"/>
                <c:pt idx="0">
                  <c:v>Dentist</c:v>
                </c:pt>
                <c:pt idx="1">
                  <c:v>Specialist</c:v>
                </c:pt>
                <c:pt idx="2">
                  <c:v>GP for children</c:v>
                </c:pt>
                <c:pt idx="3">
                  <c:v>GP for adults</c:v>
                </c:pt>
                <c:pt idx="4">
                  <c:v>Gynecologist</c:v>
                </c:pt>
                <c:pt idx="6">
                  <c:v>Total</c:v>
                </c:pt>
              </c:strCache>
            </c:strRef>
          </c:cat>
          <c:val>
            <c:numRef>
              <c:f>G_EN!$M$125:$M$131</c:f>
              <c:numCache>
                <c:formatCode>0%</c:formatCode>
                <c:ptCount val="7"/>
                <c:pt idx="0">
                  <c:v>0.24376508447304901</c:v>
                </c:pt>
                <c:pt idx="1">
                  <c:v>0.49210903873744599</c:v>
                </c:pt>
                <c:pt idx="2">
                  <c:v>0.45281965382467898</c:v>
                </c:pt>
                <c:pt idx="3">
                  <c:v>0.56696977144261496</c:v>
                </c:pt>
                <c:pt idx="4">
                  <c:v>0.60497237569060802</c:v>
                </c:pt>
                <c:pt idx="6">
                  <c:v>0.44384585784178998</c:v>
                </c:pt>
              </c:numCache>
            </c:numRef>
          </c:val>
          <c:extLst>
            <c:ext xmlns:c16="http://schemas.microsoft.com/office/drawing/2014/chart" uri="{C3380CC4-5D6E-409C-BE32-E72D297353CC}">
              <c16:uniqueId val="{00000003-D6AC-4E4E-A5F1-28CFBE04E855}"/>
            </c:ext>
          </c:extLst>
        </c:ser>
        <c:dLbls>
          <c:showLegendKey val="0"/>
          <c:showVal val="1"/>
          <c:showCatName val="0"/>
          <c:showSerName val="0"/>
          <c:showPercent val="0"/>
          <c:showBubbleSize val="0"/>
        </c:dLbls>
        <c:gapWidth val="57"/>
        <c:axId val="199120896"/>
        <c:axId val="202569344"/>
      </c:barChart>
      <c:catAx>
        <c:axId val="19912089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202569344"/>
        <c:crosses val="autoZero"/>
        <c:auto val="1"/>
        <c:lblAlgn val="ctr"/>
        <c:lblOffset val="40"/>
        <c:tickLblSkip val="1"/>
        <c:tickMarkSkip val="1"/>
        <c:noMultiLvlLbl val="0"/>
      </c:catAx>
      <c:valAx>
        <c:axId val="202569344"/>
        <c:scaling>
          <c:orientation val="minMax"/>
          <c:max val="0.7"/>
        </c:scaling>
        <c:delete val="0"/>
        <c:axPos val="b"/>
        <c:numFmt formatCode="0%" sourceLinked="1"/>
        <c:majorTickMark val="out"/>
        <c:minorTickMark val="none"/>
        <c:tickLblPos val="nextTo"/>
        <c:spPr>
          <a:ln w="9525">
            <a:noFill/>
          </a:ln>
        </c:spPr>
        <c:txPr>
          <a:bodyPr/>
          <a:lstStyle/>
          <a:p>
            <a:pPr>
              <a:defRPr>
                <a:solidFill>
                  <a:schemeClr val="bg1"/>
                </a:solidFill>
              </a:defRPr>
            </a:pPr>
            <a:endParaRPr lang="cs-CZ"/>
          </a:p>
        </c:txPr>
        <c:crossAx val="199120896"/>
        <c:crosses val="autoZero"/>
        <c:crossBetween val="between"/>
      </c:valAx>
      <c:spPr>
        <a:noFill/>
        <a:ln w="12700">
          <a:solidFill>
            <a:schemeClr val="bg1">
              <a:lumMod val="65000"/>
            </a:schemeClr>
          </a:solidFill>
          <a:prstDash val="solid"/>
        </a:ln>
      </c:spPr>
    </c:plotArea>
    <c:legend>
      <c:legendPos val="t"/>
      <c:layout>
        <c:manualLayout>
          <c:xMode val="edge"/>
          <c:yMode val="edge"/>
          <c:x val="0.11398007955534201"/>
          <c:y val="0.13815585863747101"/>
          <c:w val="0.82288738310838105"/>
          <c:h val="0.107008296175956"/>
        </c:manualLayout>
      </c:layout>
      <c:overlay val="0"/>
      <c:spPr>
        <a:no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latin typeface="Arial" panose="020B0604020202020204" pitchFamily="34" charset="0"/>
                <a:cs typeface="Arial" panose="020B0604020202020204" pitchFamily="34" charset="0"/>
              </a:defRPr>
            </a:pPr>
            <a:r>
              <a:rPr lang="cs-CZ" sz="800" b="1" i="0" baseline="0">
                <a:effectLst/>
                <a:latin typeface="Arial" panose="020B0604020202020204" pitchFamily="34" charset="0"/>
                <a:cs typeface="Arial" panose="020B0604020202020204" pitchFamily="34" charset="0"/>
              </a:rPr>
              <a:t>Figure G9 Individuals in the Czech Republic using the internet for seeking health-related information; 2017 (%)</a:t>
            </a:r>
            <a:endParaRPr lang="cs-CZ" sz="800">
              <a:effectLst/>
              <a:latin typeface="Arial" panose="020B0604020202020204" pitchFamily="34" charset="0"/>
              <a:cs typeface="Arial" panose="020B0604020202020204" pitchFamily="34" charset="0"/>
            </a:endParaRPr>
          </a:p>
        </c:rich>
      </c:tx>
      <c:layout>
        <c:manualLayout>
          <c:xMode val="edge"/>
          <c:yMode val="edge"/>
          <c:x val="0.14717013408467711"/>
          <c:y val="1.1576434301644498E-2"/>
        </c:manualLayout>
      </c:layout>
      <c:overlay val="1"/>
    </c:title>
    <c:autoTitleDeleted val="0"/>
    <c:plotArea>
      <c:layout>
        <c:manualLayout>
          <c:layoutTarget val="inner"/>
          <c:xMode val="edge"/>
          <c:yMode val="edge"/>
          <c:x val="0.29767181130130382"/>
          <c:y val="0.13422097661521123"/>
          <c:w val="0.67355655622919353"/>
          <c:h val="0.74208046028144792"/>
        </c:manualLayout>
      </c:layout>
      <c:barChart>
        <c:barDir val="bar"/>
        <c:grouping val="clustered"/>
        <c:varyColors val="0"/>
        <c:ser>
          <c:idx val="0"/>
          <c:order val="0"/>
          <c:tx>
            <c:strRef>
              <c:f>G_EN!$I$141</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G_EN!$H$142:$H$152</c:f>
              <c:strCache>
                <c:ptCount val="11"/>
                <c:pt idx="0">
                  <c:v>Females 55+</c:v>
                </c:pt>
                <c:pt idx="1">
                  <c:v>Males 55+</c:v>
                </c:pt>
                <c:pt idx="2">
                  <c:v>Females 25–54</c:v>
                </c:pt>
                <c:pt idx="3">
                  <c:v>Males 25–54</c:v>
                </c:pt>
                <c:pt idx="4">
                  <c:v>Females 16–24</c:v>
                </c:pt>
                <c:pt idx="5">
                  <c:v>Males 16–24</c:v>
                </c:pt>
                <c:pt idx="7">
                  <c:v>Females 16+</c:v>
                </c:pt>
                <c:pt idx="8">
                  <c:v>Males 16+</c:v>
                </c:pt>
                <c:pt idx="10">
                  <c:v>Total</c:v>
                </c:pt>
              </c:strCache>
            </c:strRef>
          </c:cat>
          <c:val>
            <c:numRef>
              <c:f>G_EN!$I$142:$I$152</c:f>
              <c:numCache>
                <c:formatCode>0%</c:formatCode>
                <c:ptCount val="11"/>
                <c:pt idx="0">
                  <c:v>0.78599999999999992</c:v>
                </c:pt>
                <c:pt idx="1">
                  <c:v>0.52800000000000002</c:v>
                </c:pt>
                <c:pt idx="2">
                  <c:v>0.81699999999999984</c:v>
                </c:pt>
                <c:pt idx="3">
                  <c:v>0.433</c:v>
                </c:pt>
                <c:pt idx="4">
                  <c:v>0.56799999999999995</c:v>
                </c:pt>
                <c:pt idx="5">
                  <c:v>0.311</c:v>
                </c:pt>
                <c:pt idx="7">
                  <c:v>0.78159389785073841</c:v>
                </c:pt>
                <c:pt idx="8">
                  <c:v>0.43855964155405397</c:v>
                </c:pt>
                <c:pt idx="10">
                  <c:v>0.60534500451106499</c:v>
                </c:pt>
              </c:numCache>
            </c:numRef>
          </c:val>
          <c:extLst>
            <c:ext xmlns:c16="http://schemas.microsoft.com/office/drawing/2014/chart" uri="{C3380CC4-5D6E-409C-BE32-E72D297353CC}">
              <c16:uniqueId val="{00000000-0247-4A60-ADAA-1F7306B348F1}"/>
            </c:ext>
          </c:extLst>
        </c:ser>
        <c:ser>
          <c:idx val="1"/>
          <c:order val="1"/>
          <c:tx>
            <c:strRef>
              <c:f>G_EN!$J$141</c:f>
              <c:strCache>
                <c:ptCount val="1"/>
                <c:pt idx="0">
                  <c:v> % of all individuals</c:v>
                </c:pt>
              </c:strCache>
            </c:strRef>
          </c:tx>
          <c:spPr>
            <a:solidFill>
              <a:srgbClr val="009BB4"/>
            </a:solidFill>
          </c:spPr>
          <c:invertIfNegative val="0"/>
          <c:dLbls>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G_EN!$H$142:$H$152</c:f>
              <c:strCache>
                <c:ptCount val="11"/>
                <c:pt idx="0">
                  <c:v>Females 55+</c:v>
                </c:pt>
                <c:pt idx="1">
                  <c:v>Males 55+</c:v>
                </c:pt>
                <c:pt idx="2">
                  <c:v>Females 25–54</c:v>
                </c:pt>
                <c:pt idx="3">
                  <c:v>Males 25–54</c:v>
                </c:pt>
                <c:pt idx="4">
                  <c:v>Females 16–24</c:v>
                </c:pt>
                <c:pt idx="5">
                  <c:v>Males 16–24</c:v>
                </c:pt>
                <c:pt idx="7">
                  <c:v>Females 16+</c:v>
                </c:pt>
                <c:pt idx="8">
                  <c:v>Males 16+</c:v>
                </c:pt>
                <c:pt idx="10">
                  <c:v>Total</c:v>
                </c:pt>
              </c:strCache>
            </c:strRef>
          </c:cat>
          <c:val>
            <c:numRef>
              <c:f>G_EN!$J$142:$J$152</c:f>
              <c:numCache>
                <c:formatCode>0%</c:formatCode>
                <c:ptCount val="11"/>
                <c:pt idx="0">
                  <c:v>0.379</c:v>
                </c:pt>
                <c:pt idx="1">
                  <c:v>0.30599999999999999</c:v>
                </c:pt>
                <c:pt idx="2">
                  <c:v>0.78100000000000014</c:v>
                </c:pt>
                <c:pt idx="3">
                  <c:v>0.41099999999999992</c:v>
                </c:pt>
                <c:pt idx="4">
                  <c:v>0.56200000000000006</c:v>
                </c:pt>
                <c:pt idx="5">
                  <c:v>0.30599999999999999</c:v>
                </c:pt>
                <c:pt idx="7">
                  <c:v>0.59350765160197472</c:v>
                </c:pt>
                <c:pt idx="8">
                  <c:v>0.35733941656089629</c:v>
                </c:pt>
                <c:pt idx="10">
                  <c:v>0.47652253587490034</c:v>
                </c:pt>
              </c:numCache>
            </c:numRef>
          </c:val>
          <c:extLst>
            <c:ext xmlns:c16="http://schemas.microsoft.com/office/drawing/2014/chart" uri="{C3380CC4-5D6E-409C-BE32-E72D297353CC}">
              <c16:uniqueId val="{00000001-0247-4A60-ADAA-1F7306B348F1}"/>
            </c:ext>
          </c:extLst>
        </c:ser>
        <c:dLbls>
          <c:showLegendKey val="0"/>
          <c:showVal val="0"/>
          <c:showCatName val="0"/>
          <c:showSerName val="0"/>
          <c:showPercent val="0"/>
          <c:showBubbleSize val="0"/>
        </c:dLbls>
        <c:gapWidth val="30"/>
        <c:axId val="261879296"/>
        <c:axId val="261061376"/>
      </c:barChart>
      <c:catAx>
        <c:axId val="261879296"/>
        <c:scaling>
          <c:orientation val="minMax"/>
        </c:scaling>
        <c:delete val="0"/>
        <c:axPos val="l"/>
        <c:numFmt formatCode="General" sourceLinked="1"/>
        <c:majorTickMark val="out"/>
        <c:minorTickMark val="none"/>
        <c:tickLblPos val="nextTo"/>
        <c:spPr>
          <a:ln w="3175">
            <a:solidFill>
              <a:schemeClr val="tx1"/>
            </a:solidFill>
          </a:ln>
        </c:spPr>
        <c:crossAx val="261061376"/>
        <c:crosses val="autoZero"/>
        <c:auto val="1"/>
        <c:lblAlgn val="ctr"/>
        <c:lblOffset val="100"/>
        <c:noMultiLvlLbl val="0"/>
      </c:catAx>
      <c:valAx>
        <c:axId val="261061376"/>
        <c:scaling>
          <c:orientation val="minMax"/>
          <c:max val="1"/>
          <c:min val="0"/>
        </c:scaling>
        <c:delete val="0"/>
        <c:axPos val="b"/>
        <c:numFmt formatCode="0%" sourceLinked="1"/>
        <c:majorTickMark val="none"/>
        <c:minorTickMark val="none"/>
        <c:tickLblPos val="none"/>
        <c:crossAx val="261879296"/>
        <c:crosses val="autoZero"/>
        <c:crossBetween val="between"/>
        <c:majorUnit val="0.1"/>
        <c:minorUnit val="4.0000000000000022E-2"/>
      </c:valAx>
      <c:spPr>
        <a:ln w="12700">
          <a:solidFill>
            <a:schemeClr val="bg1">
              <a:lumMod val="65000"/>
            </a:schemeClr>
          </a:solidFill>
        </a:ln>
      </c:spPr>
    </c:plotArea>
    <c:legend>
      <c:legendPos val="r"/>
      <c:layout>
        <c:manualLayout>
          <c:xMode val="edge"/>
          <c:yMode val="edge"/>
          <c:x val="0.69674859332679262"/>
          <c:y val="0.45928822456514967"/>
          <c:w val="0.26186022537352549"/>
          <c:h val="0.1872225598478042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G10 Individuals in the Czech Republic looking for health related information </a:t>
            </a:r>
            <a:r>
              <a:rPr lang="cs-CZ" sz="800" b="1" baseline="0"/>
              <a:t>(%)</a:t>
            </a:r>
            <a:endParaRPr lang="en-US" sz="800" b="1"/>
          </a:p>
        </c:rich>
      </c:tx>
      <c:layout>
        <c:manualLayout>
          <c:xMode val="edge"/>
          <c:yMode val="edge"/>
          <c:x val="0.14716997354497366"/>
          <c:y val="1.9109464258144207E-2"/>
        </c:manualLayout>
      </c:layout>
      <c:overlay val="1"/>
    </c:title>
    <c:autoTitleDeleted val="0"/>
    <c:plotArea>
      <c:layout>
        <c:manualLayout>
          <c:layoutTarget val="inner"/>
          <c:xMode val="edge"/>
          <c:yMode val="edge"/>
          <c:x val="0.22273246915470549"/>
          <c:y val="0.10939430648092069"/>
          <c:w val="0.71867705504675461"/>
          <c:h val="0.76690709876543239"/>
        </c:manualLayout>
      </c:layout>
      <c:barChart>
        <c:barDir val="bar"/>
        <c:grouping val="clustered"/>
        <c:varyColors val="0"/>
        <c:ser>
          <c:idx val="0"/>
          <c:order val="0"/>
          <c:tx>
            <c:strRef>
              <c:f>G_EN!$I$264</c:f>
              <c:strCache>
                <c:ptCount val="1"/>
                <c:pt idx="0">
                  <c:v> Males</c:v>
                </c:pt>
              </c:strCache>
            </c:strRef>
          </c:tx>
          <c:spPr>
            <a:solidFill>
              <a:srgbClr val="ABF3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G_EN!$H$265:$H$268</c:f>
              <c:strCache>
                <c:ptCount val="4"/>
                <c:pt idx="0">
                  <c:v> 2017</c:v>
                </c:pt>
                <c:pt idx="1">
                  <c:v> 2016</c:v>
                </c:pt>
                <c:pt idx="2">
                  <c:v> 2015</c:v>
                </c:pt>
                <c:pt idx="3">
                  <c:v> 2007</c:v>
                </c:pt>
              </c:strCache>
            </c:strRef>
          </c:cat>
          <c:val>
            <c:numRef>
              <c:f>G_EN!$I$265:$I$268</c:f>
              <c:numCache>
                <c:formatCode>0%</c:formatCode>
                <c:ptCount val="4"/>
                <c:pt idx="0">
                  <c:v>0.35733941656089629</c:v>
                </c:pt>
                <c:pt idx="1">
                  <c:v>0.31</c:v>
                </c:pt>
                <c:pt idx="2">
                  <c:v>0.26350200389694001</c:v>
                </c:pt>
                <c:pt idx="3">
                  <c:v>6.5092056939897627E-2</c:v>
                </c:pt>
              </c:numCache>
            </c:numRef>
          </c:val>
          <c:extLst>
            <c:ext xmlns:c16="http://schemas.microsoft.com/office/drawing/2014/chart" uri="{C3380CC4-5D6E-409C-BE32-E72D297353CC}">
              <c16:uniqueId val="{00000000-95AA-408C-97A0-EB9E42FE19D2}"/>
            </c:ext>
          </c:extLst>
        </c:ser>
        <c:ser>
          <c:idx val="1"/>
          <c:order val="1"/>
          <c:tx>
            <c:strRef>
              <c:f>G_EN!$J$264</c:f>
              <c:strCache>
                <c:ptCount val="1"/>
                <c:pt idx="0">
                  <c:v> Females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G_EN!$H$265:$H$268</c:f>
              <c:strCache>
                <c:ptCount val="4"/>
                <c:pt idx="0">
                  <c:v> 2017</c:v>
                </c:pt>
                <c:pt idx="1">
                  <c:v> 2016</c:v>
                </c:pt>
                <c:pt idx="2">
                  <c:v> 2015</c:v>
                </c:pt>
                <c:pt idx="3">
                  <c:v> 2007</c:v>
                </c:pt>
              </c:strCache>
            </c:strRef>
          </c:cat>
          <c:val>
            <c:numRef>
              <c:f>G_EN!$J$265:$J$268</c:f>
              <c:numCache>
                <c:formatCode>0%</c:formatCode>
                <c:ptCount val="4"/>
                <c:pt idx="0">
                  <c:v>0.59350765160197472</c:v>
                </c:pt>
                <c:pt idx="1">
                  <c:v>0.53799999999999992</c:v>
                </c:pt>
                <c:pt idx="2">
                  <c:v>0.47851148170255797</c:v>
                </c:pt>
                <c:pt idx="3">
                  <c:v>0.13117896128414283</c:v>
                </c:pt>
              </c:numCache>
            </c:numRef>
          </c:val>
          <c:extLst>
            <c:ext xmlns:c16="http://schemas.microsoft.com/office/drawing/2014/chart" uri="{C3380CC4-5D6E-409C-BE32-E72D297353CC}">
              <c16:uniqueId val="{00000001-95AA-408C-97A0-EB9E42FE19D2}"/>
            </c:ext>
          </c:extLst>
        </c:ser>
        <c:ser>
          <c:idx val="2"/>
          <c:order val="2"/>
          <c:tx>
            <c:strRef>
              <c:f>G_EN!$K$264</c:f>
              <c:strCache>
                <c:ptCount val="1"/>
                <c:pt idx="0">
                  <c:v> Total</c:v>
                </c:pt>
              </c:strCache>
            </c:strRef>
          </c:tx>
          <c:spPr>
            <a:solidFill>
              <a:srgbClr val="009BB4"/>
            </a:solidFill>
          </c:spPr>
          <c:invertIfNegative val="0"/>
          <c:dLbls>
            <c:dLbl>
              <c:idx val="3"/>
              <c:layout>
                <c:manualLayout>
                  <c:x val="-8.37437827304356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AA-408C-97A0-EB9E42FE19D2}"/>
                </c:ext>
              </c:extLst>
            </c:dLbl>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G_EN!$H$265:$H$268</c:f>
              <c:strCache>
                <c:ptCount val="4"/>
                <c:pt idx="0">
                  <c:v> 2017</c:v>
                </c:pt>
                <c:pt idx="1">
                  <c:v> 2016</c:v>
                </c:pt>
                <c:pt idx="2">
                  <c:v> 2015</c:v>
                </c:pt>
                <c:pt idx="3">
                  <c:v> 2007</c:v>
                </c:pt>
              </c:strCache>
            </c:strRef>
          </c:cat>
          <c:val>
            <c:numRef>
              <c:f>G_EN!$K$265:$K$268</c:f>
              <c:numCache>
                <c:formatCode>0%</c:formatCode>
                <c:ptCount val="4"/>
                <c:pt idx="0">
                  <c:v>0.47652253587490034</c:v>
                </c:pt>
                <c:pt idx="1">
                  <c:v>0.42700000000000005</c:v>
                </c:pt>
                <c:pt idx="2">
                  <c:v>0.373497262568807</c:v>
                </c:pt>
                <c:pt idx="3">
                  <c:v>9.9179650000000008E-2</c:v>
                </c:pt>
              </c:numCache>
            </c:numRef>
          </c:val>
          <c:extLst>
            <c:ext xmlns:c16="http://schemas.microsoft.com/office/drawing/2014/chart" uri="{C3380CC4-5D6E-409C-BE32-E72D297353CC}">
              <c16:uniqueId val="{00000003-95AA-408C-97A0-EB9E42FE19D2}"/>
            </c:ext>
          </c:extLst>
        </c:ser>
        <c:dLbls>
          <c:showLegendKey val="0"/>
          <c:showVal val="0"/>
          <c:showCatName val="0"/>
          <c:showSerName val="0"/>
          <c:showPercent val="0"/>
          <c:showBubbleSize val="0"/>
        </c:dLbls>
        <c:gapWidth val="30"/>
        <c:axId val="261879808"/>
        <c:axId val="261088384"/>
      </c:barChart>
      <c:catAx>
        <c:axId val="261879808"/>
        <c:scaling>
          <c:orientation val="minMax"/>
        </c:scaling>
        <c:delete val="0"/>
        <c:axPos val="l"/>
        <c:numFmt formatCode="General" sourceLinked="1"/>
        <c:majorTickMark val="out"/>
        <c:minorTickMark val="none"/>
        <c:tickLblPos val="nextTo"/>
        <c:spPr>
          <a:ln>
            <a:solidFill>
              <a:schemeClr val="tx1"/>
            </a:solidFill>
          </a:ln>
        </c:spPr>
        <c:crossAx val="261088384"/>
        <c:crosses val="autoZero"/>
        <c:auto val="1"/>
        <c:lblAlgn val="ctr"/>
        <c:lblOffset val="100"/>
        <c:noMultiLvlLbl val="0"/>
      </c:catAx>
      <c:valAx>
        <c:axId val="261088384"/>
        <c:scaling>
          <c:orientation val="minMax"/>
          <c:max val="1"/>
          <c:min val="0"/>
        </c:scaling>
        <c:delete val="0"/>
        <c:axPos val="b"/>
        <c:numFmt formatCode="0%" sourceLinked="1"/>
        <c:majorTickMark val="none"/>
        <c:minorTickMark val="none"/>
        <c:tickLblPos val="none"/>
        <c:crossAx val="261879808"/>
        <c:crosses val="autoZero"/>
        <c:crossBetween val="between"/>
        <c:majorUnit val="0.1"/>
        <c:minorUnit val="4.0000000000000022E-2"/>
      </c:valAx>
      <c:spPr>
        <a:ln w="12700">
          <a:solidFill>
            <a:schemeClr val="bg1">
              <a:lumMod val="65000"/>
            </a:schemeClr>
          </a:solidFill>
        </a:ln>
      </c:spPr>
    </c:plotArea>
    <c:legend>
      <c:legendPos val="r"/>
      <c:layout>
        <c:manualLayout>
          <c:xMode val="edge"/>
          <c:yMode val="edge"/>
          <c:x val="0.64033239749957505"/>
          <c:y val="0.40475822225436398"/>
          <c:w val="0.18815872420326082"/>
          <c:h val="0.18472323373514438"/>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G1</a:t>
            </a:r>
            <a:r>
              <a:rPr lang="cs-CZ" sz="800"/>
              <a:t>1</a:t>
            </a:r>
            <a:r>
              <a:rPr lang="en-US" sz="800"/>
              <a:t> Individuals in EU</a:t>
            </a:r>
            <a:r>
              <a:rPr lang="cs-CZ" sz="800"/>
              <a:t> </a:t>
            </a:r>
            <a:r>
              <a:rPr lang="en-US" sz="800"/>
              <a:t>countries looking for health related information via the </a:t>
            </a:r>
            <a:r>
              <a:rPr lang="cs-CZ" sz="800"/>
              <a:t>i</a:t>
            </a:r>
            <a:r>
              <a:rPr lang="en-US" sz="800"/>
              <a:t>nternet</a:t>
            </a:r>
            <a:r>
              <a:rPr lang="cs-CZ" sz="800"/>
              <a:t> (%)*</a:t>
            </a:r>
            <a:endParaRPr lang="en-US" sz="800"/>
          </a:p>
        </c:rich>
      </c:tx>
      <c:layout>
        <c:manualLayout>
          <c:xMode val="edge"/>
          <c:yMode val="edge"/>
          <c:x val="0.10093545751634"/>
          <c:y val="2.3206976501640601E-2"/>
        </c:manualLayout>
      </c:layout>
      <c:overlay val="0"/>
    </c:title>
    <c:autoTitleDeleted val="0"/>
    <c:plotArea>
      <c:layout>
        <c:manualLayout>
          <c:layoutTarget val="inner"/>
          <c:xMode val="edge"/>
          <c:yMode val="edge"/>
          <c:x val="5.7649183006535903E-2"/>
          <c:y val="9.5884309725908237E-2"/>
          <c:w val="0.91241813725490195"/>
          <c:h val="0.57249431564787001"/>
        </c:manualLayout>
      </c:layout>
      <c:barChart>
        <c:barDir val="col"/>
        <c:grouping val="clustered"/>
        <c:varyColors val="0"/>
        <c:ser>
          <c:idx val="0"/>
          <c:order val="0"/>
          <c:tx>
            <c:strRef>
              <c:f>G_EN!$R$161</c:f>
              <c:strCache>
                <c:ptCount val="1"/>
                <c:pt idx="0">
                  <c:v> 2017</c:v>
                </c:pt>
              </c:strCache>
            </c:strRef>
          </c:tx>
          <c:spPr>
            <a:solidFill>
              <a:srgbClr val="009BB4"/>
            </a:solidFill>
            <a:ln>
              <a:noFill/>
            </a:ln>
          </c:spPr>
          <c:invertIfNegative val="0"/>
          <c:dPt>
            <c:idx val="8"/>
            <c:invertIfNegative val="0"/>
            <c:bubble3D val="0"/>
            <c:spPr>
              <a:solidFill>
                <a:srgbClr val="009BB4"/>
              </a:solidFill>
              <a:ln w="9525">
                <a:noFill/>
              </a:ln>
            </c:spPr>
            <c:extLst>
              <c:ext xmlns:c16="http://schemas.microsoft.com/office/drawing/2014/chart" uri="{C3380CC4-5D6E-409C-BE32-E72D297353CC}">
                <c16:uniqueId val="{00000001-DE75-4294-B4EC-53868535F1F9}"/>
              </c:ext>
            </c:extLst>
          </c:dPt>
          <c:dPt>
            <c:idx val="13"/>
            <c:invertIfNegative val="0"/>
            <c:bubble3D val="0"/>
            <c:spPr>
              <a:solidFill>
                <a:srgbClr val="009BB4"/>
              </a:solidFill>
              <a:ln w="19050">
                <a:noFill/>
              </a:ln>
            </c:spPr>
            <c:extLst>
              <c:ext xmlns:c16="http://schemas.microsoft.com/office/drawing/2014/chart" uri="{C3380CC4-5D6E-409C-BE32-E72D297353CC}">
                <c16:uniqueId val="{00000003-DE75-4294-B4EC-53868535F1F9}"/>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05-DE75-4294-B4EC-53868535F1F9}"/>
              </c:ext>
            </c:extLst>
          </c:dPt>
          <c:dPt>
            <c:idx val="18"/>
            <c:invertIfNegative val="0"/>
            <c:bubble3D val="0"/>
            <c:spPr>
              <a:solidFill>
                <a:srgbClr val="009BB4"/>
              </a:solidFill>
              <a:ln>
                <a:solidFill>
                  <a:srgbClr val="FF0000"/>
                </a:solidFill>
              </a:ln>
            </c:spPr>
            <c:extLst>
              <c:ext xmlns:c16="http://schemas.microsoft.com/office/drawing/2014/chart" uri="{C3380CC4-5D6E-409C-BE32-E72D297353CC}">
                <c16:uniqueId val="{00000007-DE75-4294-B4EC-53868535F1F9}"/>
              </c:ext>
            </c:extLst>
          </c:dPt>
          <c:dPt>
            <c:idx val="21"/>
            <c:invertIfNegative val="0"/>
            <c:bubble3D val="0"/>
            <c:extLst>
              <c:ext xmlns:c16="http://schemas.microsoft.com/office/drawing/2014/chart" uri="{C3380CC4-5D6E-409C-BE32-E72D297353CC}">
                <c16:uniqueId val="{00000008-DE75-4294-B4EC-53868535F1F9}"/>
              </c:ext>
            </c:extLst>
          </c:dPt>
          <c:dPt>
            <c:idx val="23"/>
            <c:invertIfNegative val="0"/>
            <c:bubble3D val="0"/>
            <c:extLst>
              <c:ext xmlns:c16="http://schemas.microsoft.com/office/drawing/2014/chart" uri="{C3380CC4-5D6E-409C-BE32-E72D297353CC}">
                <c16:uniqueId val="{00000009-DE75-4294-B4EC-53868535F1F9}"/>
              </c:ext>
            </c:extLst>
          </c:dPt>
          <c:dLbls>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G_EN!$Q$162:$Q$190</c:f>
              <c:strCache>
                <c:ptCount val="29"/>
                <c:pt idx="0">
                  <c:v>Netherlands</c:v>
                </c:pt>
                <c:pt idx="1">
                  <c:v>Finland</c:v>
                </c:pt>
                <c:pt idx="2">
                  <c:v>Luxembourg </c:v>
                </c:pt>
                <c:pt idx="3">
                  <c:v>Denmark</c:v>
                </c:pt>
                <c:pt idx="4">
                  <c:v>Sweden</c:v>
                </c:pt>
                <c:pt idx="5">
                  <c:v>Germany</c:v>
                </c:pt>
                <c:pt idx="6">
                  <c:v>Malta</c:v>
                </c:pt>
                <c:pt idx="7">
                  <c:v>Estonia</c:v>
                </c:pt>
                <c:pt idx="8">
                  <c:v>Cyprus</c:v>
                </c:pt>
                <c:pt idx="9">
                  <c:v>Hungary</c:v>
                </c:pt>
                <c:pt idx="10">
                  <c:v>Spain</c:v>
                </c:pt>
                <c:pt idx="11">
                  <c:v>United Kingdom</c:v>
                </c:pt>
                <c:pt idx="12">
                  <c:v>Lithuania</c:v>
                </c:pt>
                <c:pt idx="13">
                  <c:v>Slovinsko</c:v>
                </c:pt>
                <c:pt idx="14">
                  <c:v>Austria</c:v>
                </c:pt>
                <c:pt idx="15">
                  <c:v>Croatia</c:v>
                </c:pt>
                <c:pt idx="16">
                  <c:v>Belgium</c:v>
                </c:pt>
                <c:pt idx="17">
                  <c:v>Czech Republic</c:v>
                </c:pt>
                <c:pt idx="18">
                  <c:v>EU28</c:v>
                </c:pt>
                <c:pt idx="19">
                  <c:v>Portugal</c:v>
                </c:pt>
                <c:pt idx="20">
                  <c:v>Slovakia</c:v>
                </c:pt>
                <c:pt idx="21">
                  <c:v>Greece</c:v>
                </c:pt>
                <c:pt idx="22">
                  <c:v>Poland</c:v>
                </c:pt>
                <c:pt idx="23">
                  <c:v>France</c:v>
                </c:pt>
                <c:pt idx="24">
                  <c:v>Lithuania</c:v>
                </c:pt>
                <c:pt idx="25">
                  <c:v>Ireland</c:v>
                </c:pt>
                <c:pt idx="26">
                  <c:v>Bulgaria</c:v>
                </c:pt>
                <c:pt idx="27">
                  <c:v>Italy</c:v>
                </c:pt>
                <c:pt idx="28">
                  <c:v>Romania</c:v>
                </c:pt>
              </c:strCache>
            </c:strRef>
          </c:cat>
          <c:val>
            <c:numRef>
              <c:f>G_EN!$R$162:$R$190</c:f>
              <c:numCache>
                <c:formatCode>0%</c:formatCode>
                <c:ptCount val="29"/>
                <c:pt idx="0">
                  <c:v>0.71076799999999996</c:v>
                </c:pt>
                <c:pt idx="1">
                  <c:v>0.685033</c:v>
                </c:pt>
                <c:pt idx="2">
                  <c:v>0.64941099999999996</c:v>
                </c:pt>
                <c:pt idx="3">
                  <c:v>0.64147799999999999</c:v>
                </c:pt>
                <c:pt idx="4">
                  <c:v>0.64132599999999995</c:v>
                </c:pt>
                <c:pt idx="5">
                  <c:v>0.63421899999999998</c:v>
                </c:pt>
                <c:pt idx="6">
                  <c:v>0.59160800000000002</c:v>
                </c:pt>
                <c:pt idx="7">
                  <c:v>0.58724799999999999</c:v>
                </c:pt>
                <c:pt idx="8">
                  <c:v>0.57961099999999999</c:v>
                </c:pt>
                <c:pt idx="9">
                  <c:v>0.57714900000000002</c:v>
                </c:pt>
                <c:pt idx="10">
                  <c:v>0.56942599999999999</c:v>
                </c:pt>
                <c:pt idx="11">
                  <c:v>0.56735400000000002</c:v>
                </c:pt>
                <c:pt idx="12">
                  <c:v>0.55138200000000004</c:v>
                </c:pt>
                <c:pt idx="13">
                  <c:v>0.54497300000000004</c:v>
                </c:pt>
                <c:pt idx="14">
                  <c:v>0.53748099999999999</c:v>
                </c:pt>
                <c:pt idx="15">
                  <c:v>0.527729</c:v>
                </c:pt>
                <c:pt idx="16">
                  <c:v>0.51961400000000002</c:v>
                </c:pt>
                <c:pt idx="17">
                  <c:v>0.51389099999999999</c:v>
                </c:pt>
                <c:pt idx="18">
                  <c:v>0.51083500000000004</c:v>
                </c:pt>
                <c:pt idx="19">
                  <c:v>0.50657399999999997</c:v>
                </c:pt>
                <c:pt idx="20">
                  <c:v>0.49873600000000001</c:v>
                </c:pt>
                <c:pt idx="21">
                  <c:v>0.47251900000000002</c:v>
                </c:pt>
                <c:pt idx="22">
                  <c:v>0.449988</c:v>
                </c:pt>
                <c:pt idx="23">
                  <c:v>0.43601200000000001</c:v>
                </c:pt>
                <c:pt idx="24">
                  <c:v>0.42629499999999998</c:v>
                </c:pt>
                <c:pt idx="25">
                  <c:v>0.37450899999999998</c:v>
                </c:pt>
                <c:pt idx="26">
                  <c:v>0.33648099999999997</c:v>
                </c:pt>
                <c:pt idx="27">
                  <c:v>0.32694099999999998</c:v>
                </c:pt>
                <c:pt idx="28">
                  <c:v>0.32600800000000002</c:v>
                </c:pt>
              </c:numCache>
            </c:numRef>
          </c:val>
          <c:extLst>
            <c:ext xmlns:c16="http://schemas.microsoft.com/office/drawing/2014/chart" uri="{C3380CC4-5D6E-409C-BE32-E72D297353CC}">
              <c16:uniqueId val="{0000000A-DE75-4294-B4EC-53868535F1F9}"/>
            </c:ext>
          </c:extLst>
        </c:ser>
        <c:ser>
          <c:idx val="1"/>
          <c:order val="1"/>
          <c:tx>
            <c:strRef>
              <c:f>G_EN!$S$161</c:f>
              <c:strCache>
                <c:ptCount val="1"/>
                <c:pt idx="0">
                  <c:v> 2007</c:v>
                </c:pt>
              </c:strCache>
            </c:strRef>
          </c:tx>
          <c:spPr>
            <a:solidFill>
              <a:srgbClr val="47E5FF"/>
            </a:solidFill>
            <a:ln>
              <a:noFill/>
            </a:ln>
          </c:spPr>
          <c:invertIfNegative val="0"/>
          <c:dPt>
            <c:idx val="8"/>
            <c:invertIfNegative val="0"/>
            <c:bubble3D val="0"/>
            <c:extLst>
              <c:ext xmlns:c16="http://schemas.microsoft.com/office/drawing/2014/chart" uri="{C3380CC4-5D6E-409C-BE32-E72D297353CC}">
                <c16:uniqueId val="{0000000B-DE75-4294-B4EC-53868535F1F9}"/>
              </c:ext>
            </c:extLst>
          </c:dPt>
          <c:dPt>
            <c:idx val="17"/>
            <c:invertIfNegative val="0"/>
            <c:bubble3D val="0"/>
            <c:spPr>
              <a:solidFill>
                <a:srgbClr val="47E5FF"/>
              </a:solidFill>
              <a:ln>
                <a:solidFill>
                  <a:srgbClr val="FF0000"/>
                </a:solidFill>
              </a:ln>
            </c:spPr>
            <c:extLst>
              <c:ext xmlns:c16="http://schemas.microsoft.com/office/drawing/2014/chart" uri="{C3380CC4-5D6E-409C-BE32-E72D297353CC}">
                <c16:uniqueId val="{0000000D-DE75-4294-B4EC-53868535F1F9}"/>
              </c:ext>
            </c:extLst>
          </c:dPt>
          <c:dPt>
            <c:idx val="18"/>
            <c:invertIfNegative val="0"/>
            <c:bubble3D val="0"/>
            <c:spPr>
              <a:solidFill>
                <a:srgbClr val="47E5FF"/>
              </a:solidFill>
              <a:ln>
                <a:solidFill>
                  <a:srgbClr val="FF0000"/>
                </a:solidFill>
              </a:ln>
            </c:spPr>
            <c:extLst>
              <c:ext xmlns:c16="http://schemas.microsoft.com/office/drawing/2014/chart" uri="{C3380CC4-5D6E-409C-BE32-E72D297353CC}">
                <c16:uniqueId val="{0000000F-DE75-4294-B4EC-53868535F1F9}"/>
              </c:ext>
            </c:extLst>
          </c:dPt>
          <c:dPt>
            <c:idx val="21"/>
            <c:invertIfNegative val="0"/>
            <c:bubble3D val="0"/>
            <c:extLst>
              <c:ext xmlns:c16="http://schemas.microsoft.com/office/drawing/2014/chart" uri="{C3380CC4-5D6E-409C-BE32-E72D297353CC}">
                <c16:uniqueId val="{00000010-DE75-4294-B4EC-53868535F1F9}"/>
              </c:ext>
            </c:extLst>
          </c:dPt>
          <c:dPt>
            <c:idx val="23"/>
            <c:invertIfNegative val="0"/>
            <c:bubble3D val="0"/>
            <c:extLst>
              <c:ext xmlns:c16="http://schemas.microsoft.com/office/drawing/2014/chart" uri="{C3380CC4-5D6E-409C-BE32-E72D297353CC}">
                <c16:uniqueId val="{00000011-DE75-4294-B4EC-53868535F1F9}"/>
              </c:ext>
            </c:extLst>
          </c:dPt>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G_EN!$Q$162:$Q$190</c:f>
              <c:strCache>
                <c:ptCount val="29"/>
                <c:pt idx="0">
                  <c:v>Netherlands</c:v>
                </c:pt>
                <c:pt idx="1">
                  <c:v>Finland</c:v>
                </c:pt>
                <c:pt idx="2">
                  <c:v>Luxembourg </c:v>
                </c:pt>
                <c:pt idx="3">
                  <c:v>Denmark</c:v>
                </c:pt>
                <c:pt idx="4">
                  <c:v>Sweden</c:v>
                </c:pt>
                <c:pt idx="5">
                  <c:v>Germany</c:v>
                </c:pt>
                <c:pt idx="6">
                  <c:v>Malta</c:v>
                </c:pt>
                <c:pt idx="7">
                  <c:v>Estonia</c:v>
                </c:pt>
                <c:pt idx="8">
                  <c:v>Cyprus</c:v>
                </c:pt>
                <c:pt idx="9">
                  <c:v>Hungary</c:v>
                </c:pt>
                <c:pt idx="10">
                  <c:v>Spain</c:v>
                </c:pt>
                <c:pt idx="11">
                  <c:v>United Kingdom</c:v>
                </c:pt>
                <c:pt idx="12">
                  <c:v>Lithuania</c:v>
                </c:pt>
                <c:pt idx="13">
                  <c:v>Slovinsko</c:v>
                </c:pt>
                <c:pt idx="14">
                  <c:v>Austria</c:v>
                </c:pt>
                <c:pt idx="15">
                  <c:v>Croatia</c:v>
                </c:pt>
                <c:pt idx="16">
                  <c:v>Belgium</c:v>
                </c:pt>
                <c:pt idx="17">
                  <c:v>Czech Republic</c:v>
                </c:pt>
                <c:pt idx="18">
                  <c:v>EU28</c:v>
                </c:pt>
                <c:pt idx="19">
                  <c:v>Portugal</c:v>
                </c:pt>
                <c:pt idx="20">
                  <c:v>Slovakia</c:v>
                </c:pt>
                <c:pt idx="21">
                  <c:v>Greece</c:v>
                </c:pt>
                <c:pt idx="22">
                  <c:v>Poland</c:v>
                </c:pt>
                <c:pt idx="23">
                  <c:v>France</c:v>
                </c:pt>
                <c:pt idx="24">
                  <c:v>Lithuania</c:v>
                </c:pt>
                <c:pt idx="25">
                  <c:v>Ireland</c:v>
                </c:pt>
                <c:pt idx="26">
                  <c:v>Bulgaria</c:v>
                </c:pt>
                <c:pt idx="27">
                  <c:v>Italy</c:v>
                </c:pt>
                <c:pt idx="28">
                  <c:v>Romania</c:v>
                </c:pt>
              </c:strCache>
            </c:strRef>
          </c:cat>
          <c:val>
            <c:numRef>
              <c:f>G_EN!$S$162:$S$190</c:f>
              <c:numCache>
                <c:formatCode>0%</c:formatCode>
                <c:ptCount val="29"/>
                <c:pt idx="0">
                  <c:v>0.45454800000000001</c:v>
                </c:pt>
                <c:pt idx="1">
                  <c:v>0.47137699999999999</c:v>
                </c:pt>
                <c:pt idx="2">
                  <c:v>0.483734</c:v>
                </c:pt>
                <c:pt idx="3">
                  <c:v>0.38031799999999999</c:v>
                </c:pt>
                <c:pt idx="4">
                  <c:v>0.25373699999999999</c:v>
                </c:pt>
                <c:pt idx="5">
                  <c:v>0.40864600000000001</c:v>
                </c:pt>
                <c:pt idx="6">
                  <c:v>0.202709</c:v>
                </c:pt>
                <c:pt idx="7">
                  <c:v>0.25626500000000002</c:v>
                </c:pt>
                <c:pt idx="8">
                  <c:v>0.14346600000000001</c:v>
                </c:pt>
                <c:pt idx="9">
                  <c:v>0.22079499999999999</c:v>
                </c:pt>
                <c:pt idx="10">
                  <c:v>0.20960699999999999</c:v>
                </c:pt>
                <c:pt idx="11">
                  <c:v>0.198462</c:v>
                </c:pt>
                <c:pt idx="12">
                  <c:v>0.191775</c:v>
                </c:pt>
                <c:pt idx="13">
                  <c:v>0.261351</c:v>
                </c:pt>
                <c:pt idx="14">
                  <c:v>0.273594</c:v>
                </c:pt>
                <c:pt idx="15">
                  <c:v>0.147399</c:v>
                </c:pt>
                <c:pt idx="16">
                  <c:v>0.25088300000000002</c:v>
                </c:pt>
                <c:pt idx="17">
                  <c:v>0.106977</c:v>
                </c:pt>
                <c:pt idx="18">
                  <c:v>0.23785300000000001</c:v>
                </c:pt>
                <c:pt idx="19">
                  <c:v>0.177785</c:v>
                </c:pt>
                <c:pt idx="20">
                  <c:v>0.16491600000000001</c:v>
                </c:pt>
                <c:pt idx="21">
                  <c:v>7.6630000000000004E-2</c:v>
                </c:pt>
                <c:pt idx="22">
                  <c:v>0.12756100000000001</c:v>
                </c:pt>
                <c:pt idx="23">
                  <c:v>0.29481099999999999</c:v>
                </c:pt>
                <c:pt idx="24">
                  <c:v>0.111515</c:v>
                </c:pt>
                <c:pt idx="25">
                  <c:v>0.126301</c:v>
                </c:pt>
                <c:pt idx="26">
                  <c:v>5.0269000000000001E-2</c:v>
                </c:pt>
                <c:pt idx="27">
                  <c:v>0.15747700000000001</c:v>
                </c:pt>
                <c:pt idx="28">
                  <c:v>6.2903000000000001E-2</c:v>
                </c:pt>
              </c:numCache>
            </c:numRef>
          </c:val>
          <c:extLst>
            <c:ext xmlns:c16="http://schemas.microsoft.com/office/drawing/2014/chart" uri="{C3380CC4-5D6E-409C-BE32-E72D297353CC}">
              <c16:uniqueId val="{00000012-DE75-4294-B4EC-53868535F1F9}"/>
            </c:ext>
          </c:extLst>
        </c:ser>
        <c:dLbls>
          <c:showLegendKey val="0"/>
          <c:showVal val="0"/>
          <c:showCatName val="0"/>
          <c:showSerName val="0"/>
          <c:showPercent val="0"/>
          <c:showBubbleSize val="0"/>
        </c:dLbls>
        <c:gapWidth val="20"/>
        <c:axId val="182755328"/>
        <c:axId val="202910528"/>
      </c:barChart>
      <c:catAx>
        <c:axId val="182755328"/>
        <c:scaling>
          <c:orientation val="minMax"/>
        </c:scaling>
        <c:delete val="0"/>
        <c:axPos val="b"/>
        <c:numFmt formatCode="General" sourceLinked="0"/>
        <c:majorTickMark val="out"/>
        <c:minorTickMark val="none"/>
        <c:tickLblPos val="nextTo"/>
        <c:spPr>
          <a:ln w="3175">
            <a:solidFill>
              <a:schemeClr val="tx1"/>
            </a:solidFill>
          </a:ln>
        </c:spPr>
        <c:crossAx val="202910528"/>
        <c:crosses val="autoZero"/>
        <c:auto val="1"/>
        <c:lblAlgn val="ctr"/>
        <c:lblOffset val="100"/>
        <c:noMultiLvlLbl val="0"/>
      </c:catAx>
      <c:valAx>
        <c:axId val="202910528"/>
        <c:scaling>
          <c:orientation val="minMax"/>
          <c:max val="0.9"/>
          <c:min val="0"/>
        </c:scaling>
        <c:delete val="1"/>
        <c:axPos val="l"/>
        <c:numFmt formatCode="0%" sourceLinked="1"/>
        <c:majorTickMark val="out"/>
        <c:minorTickMark val="none"/>
        <c:tickLblPos val="nextTo"/>
        <c:crossAx val="182755328"/>
        <c:crosses val="autoZero"/>
        <c:crossBetween val="between"/>
        <c:majorUnit val="0.1"/>
        <c:minorUnit val="0.05"/>
      </c:valAx>
      <c:spPr>
        <a:ln>
          <a:solidFill>
            <a:schemeClr val="tx1">
              <a:tint val="75000"/>
              <a:shade val="95000"/>
              <a:satMod val="105000"/>
            </a:schemeClr>
          </a:solidFill>
        </a:ln>
      </c:spPr>
    </c:plotArea>
    <c:legend>
      <c:legendPos val="r"/>
      <c:layout>
        <c:manualLayout>
          <c:xMode val="edge"/>
          <c:yMode val="edge"/>
          <c:x val="0.57237843137254896"/>
          <c:y val="0.137025492071013"/>
          <c:w val="0.21277303921568599"/>
          <c:h val="8.5802947523807196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anose="020B0604020202020204" pitchFamily="34" charset="0"/>
                <a:cs typeface="Arial" panose="020B0604020202020204" pitchFamily="34" charset="0"/>
              </a:defRPr>
            </a:pPr>
            <a:r>
              <a:rPr lang="en-US" sz="800" b="1" i="0" baseline="0">
                <a:effectLst/>
                <a:latin typeface="Arial" panose="020B0604020202020204" pitchFamily="34" charset="0"/>
                <a:cs typeface="Arial" panose="020B0604020202020204" pitchFamily="34" charset="0"/>
              </a:rPr>
              <a:t>Figure G1</a:t>
            </a:r>
            <a:r>
              <a:rPr lang="cs-CZ" sz="800" b="1" i="0" baseline="0">
                <a:effectLst/>
                <a:latin typeface="Arial" panose="020B0604020202020204" pitchFamily="34" charset="0"/>
                <a:cs typeface="Arial" panose="020B0604020202020204" pitchFamily="34" charset="0"/>
              </a:rPr>
              <a:t>2</a:t>
            </a:r>
            <a:r>
              <a:rPr lang="en-US" sz="800" b="1" i="0" baseline="0">
                <a:effectLst/>
                <a:latin typeface="Arial" panose="020B0604020202020204" pitchFamily="34" charset="0"/>
                <a:cs typeface="Arial" panose="020B0604020202020204" pitchFamily="34" charset="0"/>
              </a:rPr>
              <a:t> </a:t>
            </a:r>
            <a:r>
              <a:rPr lang="cs-CZ" sz="800" b="1" i="0" baseline="0">
                <a:effectLst/>
                <a:latin typeface="Arial" panose="020B0604020202020204" pitchFamily="34" charset="0"/>
                <a:cs typeface="Arial" panose="020B0604020202020204" pitchFamily="34" charset="0"/>
              </a:rPr>
              <a:t>I</a:t>
            </a:r>
            <a:r>
              <a:rPr lang="en-US" sz="800" b="1" i="0" baseline="0">
                <a:effectLst/>
                <a:latin typeface="Arial" panose="020B0604020202020204" pitchFamily="34" charset="0"/>
                <a:cs typeface="Arial" panose="020B0604020202020204" pitchFamily="34" charset="0"/>
              </a:rPr>
              <a:t>nternet users in EU countries using the internet for seeking </a:t>
            </a:r>
            <a:endParaRPr lang="cs-CZ" sz="800">
              <a:effectLst/>
              <a:latin typeface="Arial" panose="020B0604020202020204" pitchFamily="34" charset="0"/>
              <a:cs typeface="Arial" panose="020B0604020202020204" pitchFamily="34" charset="0"/>
            </a:endParaRPr>
          </a:p>
          <a:p>
            <a:pPr>
              <a:defRPr sz="800">
                <a:latin typeface="Arial" panose="020B0604020202020204" pitchFamily="34" charset="0"/>
                <a:cs typeface="Arial" panose="020B0604020202020204" pitchFamily="34" charset="0"/>
              </a:defRPr>
            </a:pPr>
            <a:r>
              <a:rPr lang="en-US" sz="800" b="1" i="0" baseline="0">
                <a:effectLst/>
                <a:latin typeface="Arial" panose="020B0604020202020204" pitchFamily="34" charset="0"/>
                <a:cs typeface="Arial" panose="020B0604020202020204" pitchFamily="34" charset="0"/>
              </a:rPr>
              <a:t>health-related information</a:t>
            </a:r>
            <a:r>
              <a:rPr lang="cs-CZ" sz="800" b="1" i="0" baseline="0">
                <a:effectLst/>
                <a:latin typeface="Arial" panose="020B0604020202020204" pitchFamily="34" charset="0"/>
                <a:cs typeface="Arial" panose="020B0604020202020204" pitchFamily="34" charset="0"/>
              </a:rPr>
              <a:t> by sex</a:t>
            </a:r>
            <a:r>
              <a:rPr lang="en-US" sz="800" b="1" i="0" baseline="0">
                <a:effectLst/>
                <a:latin typeface="Arial" panose="020B0604020202020204" pitchFamily="34" charset="0"/>
                <a:cs typeface="Arial" panose="020B0604020202020204" pitchFamily="34" charset="0"/>
              </a:rPr>
              <a:t>; 2017</a:t>
            </a:r>
            <a:r>
              <a:rPr lang="cs-CZ" sz="800" b="1" i="0" baseline="0">
                <a:effectLst/>
                <a:latin typeface="Arial" panose="020B0604020202020204" pitchFamily="34" charset="0"/>
                <a:cs typeface="Arial" panose="020B0604020202020204" pitchFamily="34" charset="0"/>
              </a:rPr>
              <a:t> (%)*</a:t>
            </a:r>
            <a:endParaRPr lang="cs-CZ" sz="800">
              <a:effectLst/>
              <a:latin typeface="Arial" panose="020B0604020202020204" pitchFamily="34" charset="0"/>
              <a:cs typeface="Arial" panose="020B0604020202020204" pitchFamily="34" charset="0"/>
            </a:endParaRPr>
          </a:p>
        </c:rich>
      </c:tx>
      <c:layout>
        <c:manualLayout>
          <c:xMode val="edge"/>
          <c:yMode val="edge"/>
          <c:x val="0.19661901182190628"/>
          <c:y val="2.3206952157474224E-2"/>
        </c:manualLayout>
      </c:layout>
      <c:overlay val="0"/>
    </c:title>
    <c:autoTitleDeleted val="0"/>
    <c:plotArea>
      <c:layout>
        <c:manualLayout>
          <c:layoutTarget val="inner"/>
          <c:xMode val="edge"/>
          <c:yMode val="edge"/>
          <c:x val="5.7649183006535945E-2"/>
          <c:y val="0.12188240740740741"/>
          <c:w val="0.91241813725490184"/>
          <c:h val="0.54649628555827789"/>
        </c:manualLayout>
      </c:layout>
      <c:barChart>
        <c:barDir val="col"/>
        <c:grouping val="clustered"/>
        <c:varyColors val="0"/>
        <c:ser>
          <c:idx val="0"/>
          <c:order val="0"/>
          <c:tx>
            <c:strRef>
              <c:f>G_EN!$N$161</c:f>
              <c:strCache>
                <c:ptCount val="1"/>
                <c:pt idx="0">
                  <c:v>Males</c:v>
                </c:pt>
              </c:strCache>
            </c:strRef>
          </c:tx>
          <c:spPr>
            <a:solidFill>
              <a:srgbClr val="009BB4"/>
            </a:solidFill>
            <a:ln>
              <a:noFill/>
            </a:ln>
          </c:spPr>
          <c:invertIfNegative val="0"/>
          <c:dPt>
            <c:idx val="8"/>
            <c:invertIfNegative val="0"/>
            <c:bubble3D val="0"/>
            <c:spPr>
              <a:solidFill>
                <a:srgbClr val="009BB4"/>
              </a:solidFill>
              <a:ln w="9525">
                <a:noFill/>
              </a:ln>
            </c:spPr>
            <c:extLst>
              <c:ext xmlns:c16="http://schemas.microsoft.com/office/drawing/2014/chart" uri="{C3380CC4-5D6E-409C-BE32-E72D297353CC}">
                <c16:uniqueId val="{00000001-DC3B-4730-9FA1-BFF62D42B672}"/>
              </c:ext>
            </c:extLst>
          </c:dPt>
          <c:dPt>
            <c:idx val="13"/>
            <c:invertIfNegative val="0"/>
            <c:bubble3D val="0"/>
            <c:spPr>
              <a:solidFill>
                <a:srgbClr val="009BB4"/>
              </a:solidFill>
              <a:ln w="19050">
                <a:noFill/>
              </a:ln>
            </c:spPr>
            <c:extLst>
              <c:ext xmlns:c16="http://schemas.microsoft.com/office/drawing/2014/chart" uri="{C3380CC4-5D6E-409C-BE32-E72D297353CC}">
                <c16:uniqueId val="{00000003-DC3B-4730-9FA1-BFF62D42B672}"/>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05-DC3B-4730-9FA1-BFF62D42B672}"/>
              </c:ext>
            </c:extLst>
          </c:dPt>
          <c:dPt>
            <c:idx val="21"/>
            <c:invertIfNegative val="0"/>
            <c:bubble3D val="0"/>
            <c:extLst>
              <c:ext xmlns:c16="http://schemas.microsoft.com/office/drawing/2014/chart" uri="{C3380CC4-5D6E-409C-BE32-E72D297353CC}">
                <c16:uniqueId val="{00000006-DC3B-4730-9FA1-BFF62D42B672}"/>
              </c:ext>
            </c:extLst>
          </c:dPt>
          <c:dPt>
            <c:idx val="23"/>
            <c:invertIfNegative val="0"/>
            <c:bubble3D val="0"/>
            <c:spPr>
              <a:solidFill>
                <a:srgbClr val="009BB4"/>
              </a:solidFill>
              <a:ln>
                <a:solidFill>
                  <a:srgbClr val="FF0000"/>
                </a:solidFill>
              </a:ln>
            </c:spPr>
            <c:extLst>
              <c:ext xmlns:c16="http://schemas.microsoft.com/office/drawing/2014/chart" uri="{C3380CC4-5D6E-409C-BE32-E72D297353CC}">
                <c16:uniqueId val="{00000008-DC3B-4730-9FA1-BFF62D42B672}"/>
              </c:ext>
            </c:extLst>
          </c:dPt>
          <c:dLbls>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G_EN!$M$162:$M$190</c:f>
              <c:strCache>
                <c:ptCount val="29"/>
                <c:pt idx="0">
                  <c:v>Croatia</c:v>
                </c:pt>
                <c:pt idx="1">
                  <c:v>Netherlands</c:v>
                </c:pt>
                <c:pt idx="2">
                  <c:v>Hungary</c:v>
                </c:pt>
                <c:pt idx="3">
                  <c:v>Cyprus</c:v>
                </c:pt>
                <c:pt idx="4">
                  <c:v>Malta</c:v>
                </c:pt>
                <c:pt idx="5">
                  <c:v>Greece</c:v>
                </c:pt>
                <c:pt idx="6">
                  <c:v>Finland</c:v>
                </c:pt>
                <c:pt idx="7">
                  <c:v>Portugal</c:v>
                </c:pt>
                <c:pt idx="8">
                  <c:v>Spain</c:v>
                </c:pt>
                <c:pt idx="9">
                  <c:v>Germany</c:v>
                </c:pt>
                <c:pt idx="10">
                  <c:v>Lithuania</c:v>
                </c:pt>
                <c:pt idx="11">
                  <c:v>Slovenia</c:v>
                </c:pt>
                <c:pt idx="12">
                  <c:v>Luxembourg </c:v>
                </c:pt>
                <c:pt idx="13">
                  <c:v>Sweden</c:v>
                </c:pt>
                <c:pt idx="14">
                  <c:v>Denmark</c:v>
                </c:pt>
                <c:pt idx="15">
                  <c:v>Estonia</c:v>
                </c:pt>
                <c:pt idx="16">
                  <c:v>United Kingdom</c:v>
                </c:pt>
                <c:pt idx="17">
                  <c:v>EU28</c:v>
                </c:pt>
                <c:pt idx="18">
                  <c:v>Slovakia</c:v>
                </c:pt>
                <c:pt idx="19">
                  <c:v>Belgium</c:v>
                </c:pt>
                <c:pt idx="20">
                  <c:v>Austria</c:v>
                </c:pt>
                <c:pt idx="21">
                  <c:v>Poland</c:v>
                </c:pt>
                <c:pt idx="22">
                  <c:v>Romania</c:v>
                </c:pt>
                <c:pt idx="23">
                  <c:v>Czech Republic</c:v>
                </c:pt>
                <c:pt idx="24">
                  <c:v>France</c:v>
                </c:pt>
                <c:pt idx="25">
                  <c:v>Ireland</c:v>
                </c:pt>
                <c:pt idx="26">
                  <c:v>Bulgaria</c:v>
                </c:pt>
                <c:pt idx="27">
                  <c:v>Italy</c:v>
                </c:pt>
                <c:pt idx="28">
                  <c:v>Latvia</c:v>
                </c:pt>
              </c:strCache>
            </c:strRef>
          </c:cat>
          <c:val>
            <c:numRef>
              <c:f>G_EN!$N$162:$N$190</c:f>
              <c:numCache>
                <c:formatCode>0%</c:formatCode>
                <c:ptCount val="29"/>
                <c:pt idx="0">
                  <c:v>0.74554799999999999</c:v>
                </c:pt>
                <c:pt idx="1">
                  <c:v>0.68258300000000005</c:v>
                </c:pt>
                <c:pt idx="2">
                  <c:v>0.676709</c:v>
                </c:pt>
                <c:pt idx="3">
                  <c:v>0.66224799999999995</c:v>
                </c:pt>
                <c:pt idx="4">
                  <c:v>0.64719499999999996</c:v>
                </c:pt>
                <c:pt idx="5">
                  <c:v>0.638992</c:v>
                </c:pt>
                <c:pt idx="6">
                  <c:v>0.62442600000000004</c:v>
                </c:pt>
                <c:pt idx="7">
                  <c:v>0.623946</c:v>
                </c:pt>
                <c:pt idx="8">
                  <c:v>0.62262200000000001</c:v>
                </c:pt>
                <c:pt idx="9">
                  <c:v>0.61580400000000002</c:v>
                </c:pt>
                <c:pt idx="10">
                  <c:v>0.60912900000000003</c:v>
                </c:pt>
                <c:pt idx="11">
                  <c:v>0.60659600000000002</c:v>
                </c:pt>
                <c:pt idx="12">
                  <c:v>0.59091499999999997</c:v>
                </c:pt>
                <c:pt idx="13">
                  <c:v>0.58409299999999997</c:v>
                </c:pt>
                <c:pt idx="14">
                  <c:v>0.57874599999999998</c:v>
                </c:pt>
                <c:pt idx="15">
                  <c:v>0.55937700000000001</c:v>
                </c:pt>
                <c:pt idx="16">
                  <c:v>0.55721799999999999</c:v>
                </c:pt>
                <c:pt idx="17">
                  <c:v>0.53824099999999997</c:v>
                </c:pt>
                <c:pt idx="18">
                  <c:v>0.53204200000000001</c:v>
                </c:pt>
                <c:pt idx="19">
                  <c:v>0.52656199999999997</c:v>
                </c:pt>
                <c:pt idx="20">
                  <c:v>0.51762699999999995</c:v>
                </c:pt>
                <c:pt idx="21">
                  <c:v>0.46321099999999998</c:v>
                </c:pt>
                <c:pt idx="22">
                  <c:v>0.43721599999999999</c:v>
                </c:pt>
                <c:pt idx="23">
                  <c:v>0.43497999999999998</c:v>
                </c:pt>
                <c:pt idx="24">
                  <c:v>0.43088399999999999</c:v>
                </c:pt>
                <c:pt idx="25">
                  <c:v>0.428923</c:v>
                </c:pt>
                <c:pt idx="26">
                  <c:v>0.42571199999999998</c:v>
                </c:pt>
                <c:pt idx="27">
                  <c:v>0.40436299999999997</c:v>
                </c:pt>
                <c:pt idx="28">
                  <c:v>0.38344499999999998</c:v>
                </c:pt>
              </c:numCache>
            </c:numRef>
          </c:val>
          <c:extLst>
            <c:ext xmlns:c16="http://schemas.microsoft.com/office/drawing/2014/chart" uri="{C3380CC4-5D6E-409C-BE32-E72D297353CC}">
              <c16:uniqueId val="{00000009-DC3B-4730-9FA1-BFF62D42B672}"/>
            </c:ext>
          </c:extLst>
        </c:ser>
        <c:ser>
          <c:idx val="1"/>
          <c:order val="1"/>
          <c:tx>
            <c:strRef>
              <c:f>G_EN!$O$161</c:f>
              <c:strCache>
                <c:ptCount val="1"/>
                <c:pt idx="0">
                  <c:v>Females</c:v>
                </c:pt>
              </c:strCache>
            </c:strRef>
          </c:tx>
          <c:spPr>
            <a:solidFill>
              <a:srgbClr val="47E5FF"/>
            </a:solidFill>
            <a:ln>
              <a:noFill/>
            </a:ln>
          </c:spPr>
          <c:invertIfNegative val="0"/>
          <c:dPt>
            <c:idx val="8"/>
            <c:invertIfNegative val="0"/>
            <c:bubble3D val="0"/>
            <c:extLst>
              <c:ext xmlns:c16="http://schemas.microsoft.com/office/drawing/2014/chart" uri="{C3380CC4-5D6E-409C-BE32-E72D297353CC}">
                <c16:uniqueId val="{0000000A-DC3B-4730-9FA1-BFF62D42B672}"/>
              </c:ext>
            </c:extLst>
          </c:dPt>
          <c:dPt>
            <c:idx val="17"/>
            <c:invertIfNegative val="0"/>
            <c:bubble3D val="0"/>
            <c:spPr>
              <a:solidFill>
                <a:srgbClr val="47E5FF"/>
              </a:solidFill>
              <a:ln>
                <a:solidFill>
                  <a:srgbClr val="FF0000"/>
                </a:solidFill>
              </a:ln>
            </c:spPr>
            <c:extLst>
              <c:ext xmlns:c16="http://schemas.microsoft.com/office/drawing/2014/chart" uri="{C3380CC4-5D6E-409C-BE32-E72D297353CC}">
                <c16:uniqueId val="{0000000C-DC3B-4730-9FA1-BFF62D42B672}"/>
              </c:ext>
            </c:extLst>
          </c:dPt>
          <c:dPt>
            <c:idx val="21"/>
            <c:invertIfNegative val="0"/>
            <c:bubble3D val="0"/>
            <c:extLst>
              <c:ext xmlns:c16="http://schemas.microsoft.com/office/drawing/2014/chart" uri="{C3380CC4-5D6E-409C-BE32-E72D297353CC}">
                <c16:uniqueId val="{0000000D-DC3B-4730-9FA1-BFF62D42B672}"/>
              </c:ext>
            </c:extLst>
          </c:dPt>
          <c:dPt>
            <c:idx val="23"/>
            <c:invertIfNegative val="0"/>
            <c:bubble3D val="0"/>
            <c:spPr>
              <a:solidFill>
                <a:srgbClr val="47E5FF"/>
              </a:solidFill>
              <a:ln>
                <a:solidFill>
                  <a:srgbClr val="FF0000"/>
                </a:solidFill>
              </a:ln>
            </c:spPr>
            <c:extLst>
              <c:ext xmlns:c16="http://schemas.microsoft.com/office/drawing/2014/chart" uri="{C3380CC4-5D6E-409C-BE32-E72D297353CC}">
                <c16:uniqueId val="{0000000F-DC3B-4730-9FA1-BFF62D42B672}"/>
              </c:ext>
            </c:extLst>
          </c:dPt>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G_EN!$M$162:$M$190</c:f>
              <c:strCache>
                <c:ptCount val="29"/>
                <c:pt idx="0">
                  <c:v>Croatia</c:v>
                </c:pt>
                <c:pt idx="1">
                  <c:v>Netherlands</c:v>
                </c:pt>
                <c:pt idx="2">
                  <c:v>Hungary</c:v>
                </c:pt>
                <c:pt idx="3">
                  <c:v>Cyprus</c:v>
                </c:pt>
                <c:pt idx="4">
                  <c:v>Malta</c:v>
                </c:pt>
                <c:pt idx="5">
                  <c:v>Greece</c:v>
                </c:pt>
                <c:pt idx="6">
                  <c:v>Finland</c:v>
                </c:pt>
                <c:pt idx="7">
                  <c:v>Portugal</c:v>
                </c:pt>
                <c:pt idx="8">
                  <c:v>Spain</c:v>
                </c:pt>
                <c:pt idx="9">
                  <c:v>Germany</c:v>
                </c:pt>
                <c:pt idx="10">
                  <c:v>Lithuania</c:v>
                </c:pt>
                <c:pt idx="11">
                  <c:v>Slovenia</c:v>
                </c:pt>
                <c:pt idx="12">
                  <c:v>Luxembourg </c:v>
                </c:pt>
                <c:pt idx="13">
                  <c:v>Sweden</c:v>
                </c:pt>
                <c:pt idx="14">
                  <c:v>Denmark</c:v>
                </c:pt>
                <c:pt idx="15">
                  <c:v>Estonia</c:v>
                </c:pt>
                <c:pt idx="16">
                  <c:v>United Kingdom</c:v>
                </c:pt>
                <c:pt idx="17">
                  <c:v>EU28</c:v>
                </c:pt>
                <c:pt idx="18">
                  <c:v>Slovakia</c:v>
                </c:pt>
                <c:pt idx="19">
                  <c:v>Belgium</c:v>
                </c:pt>
                <c:pt idx="20">
                  <c:v>Austria</c:v>
                </c:pt>
                <c:pt idx="21">
                  <c:v>Poland</c:v>
                </c:pt>
                <c:pt idx="22">
                  <c:v>Romania</c:v>
                </c:pt>
                <c:pt idx="23">
                  <c:v>Czech Republic</c:v>
                </c:pt>
                <c:pt idx="24">
                  <c:v>France</c:v>
                </c:pt>
                <c:pt idx="25">
                  <c:v>Ireland</c:v>
                </c:pt>
                <c:pt idx="26">
                  <c:v>Bulgaria</c:v>
                </c:pt>
                <c:pt idx="27">
                  <c:v>Italy</c:v>
                </c:pt>
                <c:pt idx="28">
                  <c:v>Latvia</c:v>
                </c:pt>
              </c:strCache>
            </c:strRef>
          </c:cat>
          <c:val>
            <c:numRef>
              <c:f>G_EN!$O$162:$O$190</c:f>
              <c:numCache>
                <c:formatCode>0%</c:formatCode>
                <c:ptCount val="29"/>
                <c:pt idx="0">
                  <c:v>0.83318800000000004</c:v>
                </c:pt>
                <c:pt idx="1">
                  <c:v>0.80902099999999999</c:v>
                </c:pt>
                <c:pt idx="2">
                  <c:v>0.82399699999999998</c:v>
                </c:pt>
                <c:pt idx="3">
                  <c:v>0.76862799999999998</c:v>
                </c:pt>
                <c:pt idx="4">
                  <c:v>0.83684599999999998</c:v>
                </c:pt>
                <c:pt idx="5">
                  <c:v>0.71349600000000002</c:v>
                </c:pt>
                <c:pt idx="6">
                  <c:v>0.837368</c:v>
                </c:pt>
                <c:pt idx="7">
                  <c:v>0.747475</c:v>
                </c:pt>
                <c:pt idx="8">
                  <c:v>0.72382899999999994</c:v>
                </c:pt>
                <c:pt idx="9">
                  <c:v>0.79331600000000002</c:v>
                </c:pt>
                <c:pt idx="10">
                  <c:v>0.79937000000000002</c:v>
                </c:pt>
                <c:pt idx="11">
                  <c:v>0.77905199999999997</c:v>
                </c:pt>
                <c:pt idx="12">
                  <c:v>0.74605600000000005</c:v>
                </c:pt>
                <c:pt idx="13">
                  <c:v>0.75267899999999999</c:v>
                </c:pt>
                <c:pt idx="14">
                  <c:v>0.74315500000000001</c:v>
                </c:pt>
                <c:pt idx="15">
                  <c:v>0.76561199999999996</c:v>
                </c:pt>
                <c:pt idx="16">
                  <c:v>0.65970300000000004</c:v>
                </c:pt>
                <c:pt idx="17">
                  <c:v>0.68791199999999997</c:v>
                </c:pt>
                <c:pt idx="18">
                  <c:v>0.69083300000000003</c:v>
                </c:pt>
                <c:pt idx="19">
                  <c:v>0.65948700000000005</c:v>
                </c:pt>
                <c:pt idx="20">
                  <c:v>0.70994699999999999</c:v>
                </c:pt>
                <c:pt idx="21">
                  <c:v>0.71840099999999996</c:v>
                </c:pt>
                <c:pt idx="22">
                  <c:v>0.58800699999999995</c:v>
                </c:pt>
                <c:pt idx="23">
                  <c:v>0.78278000000000003</c:v>
                </c:pt>
                <c:pt idx="24">
                  <c:v>0.57308000000000003</c:v>
                </c:pt>
                <c:pt idx="25">
                  <c:v>0.48784</c:v>
                </c:pt>
                <c:pt idx="26">
                  <c:v>0.63732900000000003</c:v>
                </c:pt>
                <c:pt idx="27">
                  <c:v>0.52032199999999995</c:v>
                </c:pt>
                <c:pt idx="28">
                  <c:v>0.64871299999999998</c:v>
                </c:pt>
              </c:numCache>
            </c:numRef>
          </c:val>
          <c:extLst>
            <c:ext xmlns:c16="http://schemas.microsoft.com/office/drawing/2014/chart" uri="{C3380CC4-5D6E-409C-BE32-E72D297353CC}">
              <c16:uniqueId val="{00000010-DC3B-4730-9FA1-BFF62D42B672}"/>
            </c:ext>
          </c:extLst>
        </c:ser>
        <c:dLbls>
          <c:showLegendKey val="0"/>
          <c:showVal val="0"/>
          <c:showCatName val="0"/>
          <c:showSerName val="0"/>
          <c:showPercent val="0"/>
          <c:showBubbleSize val="0"/>
        </c:dLbls>
        <c:gapWidth val="30"/>
        <c:axId val="262289920"/>
        <c:axId val="261093568"/>
      </c:barChart>
      <c:catAx>
        <c:axId val="262289920"/>
        <c:scaling>
          <c:orientation val="minMax"/>
        </c:scaling>
        <c:delete val="0"/>
        <c:axPos val="b"/>
        <c:numFmt formatCode="General" sourceLinked="0"/>
        <c:majorTickMark val="out"/>
        <c:minorTickMark val="none"/>
        <c:tickLblPos val="nextTo"/>
        <c:spPr>
          <a:ln w="3175">
            <a:solidFill>
              <a:schemeClr val="tx1"/>
            </a:solidFill>
          </a:ln>
        </c:spPr>
        <c:crossAx val="261093568"/>
        <c:crosses val="autoZero"/>
        <c:auto val="1"/>
        <c:lblAlgn val="ctr"/>
        <c:lblOffset val="100"/>
        <c:noMultiLvlLbl val="0"/>
      </c:catAx>
      <c:valAx>
        <c:axId val="261093568"/>
        <c:scaling>
          <c:orientation val="minMax"/>
          <c:max val="0.9"/>
          <c:min val="0"/>
        </c:scaling>
        <c:delete val="1"/>
        <c:axPos val="l"/>
        <c:numFmt formatCode="0%" sourceLinked="1"/>
        <c:majorTickMark val="out"/>
        <c:minorTickMark val="none"/>
        <c:tickLblPos val="nextTo"/>
        <c:crossAx val="262289920"/>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57237843137254907"/>
          <c:y val="0.13702549207101269"/>
          <c:w val="0.21277303921568627"/>
          <c:h val="8.5802947523807224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 A16 Fixed broadband internet in the Czech Republic by speed (thous. of subscriptions)</a:t>
            </a:r>
            <a:endParaRPr lang="en-US" sz="800" b="1"/>
          </a:p>
        </c:rich>
      </c:tx>
      <c:layout/>
      <c:overlay val="1"/>
    </c:title>
    <c:autoTitleDeleted val="0"/>
    <c:plotArea>
      <c:layout>
        <c:manualLayout>
          <c:layoutTarget val="inner"/>
          <c:xMode val="edge"/>
          <c:yMode val="edge"/>
          <c:x val="0.113874368686869"/>
          <c:y val="0.17027037037036999"/>
          <c:w val="0.60303363242385399"/>
          <c:h val="0.62115481481481505"/>
        </c:manualLayout>
      </c:layout>
      <c:lineChart>
        <c:grouping val="standard"/>
        <c:varyColors val="0"/>
        <c:ser>
          <c:idx val="2"/>
          <c:order val="0"/>
          <c:tx>
            <c:strRef>
              <c:f>A_EN!$A$275</c:f>
              <c:strCache>
                <c:ptCount val="1"/>
                <c:pt idx="0">
                  <c:v> &lt; 10 
Mbit/s </c:v>
                </c:pt>
              </c:strCache>
            </c:strRef>
          </c:tx>
          <c:spPr>
            <a:ln w="19050">
              <a:solidFill>
                <a:srgbClr val="009BB4"/>
              </a:solidFill>
            </a:ln>
          </c:spPr>
          <c:marker>
            <c:symbol val="square"/>
            <c:size val="4"/>
            <c:spPr>
              <a:solidFill>
                <a:srgbClr val="00C5E9"/>
              </a:solidFill>
              <a:ln w="12700">
                <a:solidFill>
                  <a:srgbClr val="009BB4"/>
                </a:solidFill>
              </a:ln>
            </c:spPr>
          </c:marker>
          <c:cat>
            <c:numRef>
              <c:f>A_EN!$B$274:$F$274</c:f>
              <c:numCache>
                <c:formatCode>@</c:formatCode>
                <c:ptCount val="5"/>
                <c:pt idx="0">
                  <c:v>2012</c:v>
                </c:pt>
                <c:pt idx="1">
                  <c:v>2013</c:v>
                </c:pt>
                <c:pt idx="2">
                  <c:v>2014</c:v>
                </c:pt>
                <c:pt idx="3">
                  <c:v>2015</c:v>
                </c:pt>
                <c:pt idx="4">
                  <c:v>2016</c:v>
                </c:pt>
              </c:numCache>
            </c:numRef>
          </c:cat>
          <c:val>
            <c:numRef>
              <c:f>A_EN!$B$275:$F$275</c:f>
              <c:numCache>
                <c:formatCode>#,##0.0</c:formatCode>
                <c:ptCount val="5"/>
                <c:pt idx="0">
                  <c:v>1445.208271488</c:v>
                </c:pt>
                <c:pt idx="1">
                  <c:v>1284.21224841</c:v>
                </c:pt>
                <c:pt idx="2">
                  <c:v>1229.1789140440001</c:v>
                </c:pt>
                <c:pt idx="3">
                  <c:v>856.09159199999999</c:v>
                </c:pt>
                <c:pt idx="4">
                  <c:v>675.79499999999996</c:v>
                </c:pt>
              </c:numCache>
            </c:numRef>
          </c:val>
          <c:smooth val="0"/>
          <c:extLst>
            <c:ext xmlns:c16="http://schemas.microsoft.com/office/drawing/2014/chart" uri="{C3380CC4-5D6E-409C-BE32-E72D297353CC}">
              <c16:uniqueId val="{00000000-1381-4415-B41E-E4A4B81473A9}"/>
            </c:ext>
          </c:extLst>
        </c:ser>
        <c:ser>
          <c:idx val="4"/>
          <c:order val="1"/>
          <c:tx>
            <c:strRef>
              <c:f>A_EN!$A$276</c:f>
              <c:strCache>
                <c:ptCount val="1"/>
                <c:pt idx="0">
                  <c:v>10–30 
Mbit/s</c:v>
                </c:pt>
              </c:strCache>
            </c:strRef>
          </c:tx>
          <c:spPr>
            <a:ln w="19050">
              <a:solidFill>
                <a:srgbClr val="47E5FF"/>
              </a:solidFill>
            </a:ln>
          </c:spPr>
          <c:marker>
            <c:symbol val="diamond"/>
            <c:size val="4"/>
            <c:spPr>
              <a:solidFill>
                <a:srgbClr val="009BB4"/>
              </a:solidFill>
              <a:ln w="12700">
                <a:solidFill>
                  <a:srgbClr val="47E5FF"/>
                </a:solidFill>
              </a:ln>
            </c:spPr>
          </c:marker>
          <c:cat>
            <c:numRef>
              <c:f>A_EN!$B$274:$F$274</c:f>
              <c:numCache>
                <c:formatCode>@</c:formatCode>
                <c:ptCount val="5"/>
                <c:pt idx="0">
                  <c:v>2012</c:v>
                </c:pt>
                <c:pt idx="1">
                  <c:v>2013</c:v>
                </c:pt>
                <c:pt idx="2">
                  <c:v>2014</c:v>
                </c:pt>
                <c:pt idx="3">
                  <c:v>2015</c:v>
                </c:pt>
                <c:pt idx="4">
                  <c:v>2016</c:v>
                </c:pt>
              </c:numCache>
            </c:numRef>
          </c:cat>
          <c:val>
            <c:numRef>
              <c:f>A_EN!$B$276:$F$276</c:f>
              <c:numCache>
                <c:formatCode>#,##0.0</c:formatCode>
                <c:ptCount val="5"/>
                <c:pt idx="0">
                  <c:v>633.6116025120001</c:v>
                </c:pt>
                <c:pt idx="1">
                  <c:v>856.85730811199778</c:v>
                </c:pt>
                <c:pt idx="2">
                  <c:v>961.26864360399998</c:v>
                </c:pt>
                <c:pt idx="3">
                  <c:v>1096.4699023200001</c:v>
                </c:pt>
                <c:pt idx="4">
                  <c:v>1076.4659999999999</c:v>
                </c:pt>
              </c:numCache>
            </c:numRef>
          </c:val>
          <c:smooth val="0"/>
          <c:extLst>
            <c:ext xmlns:c16="http://schemas.microsoft.com/office/drawing/2014/chart" uri="{C3380CC4-5D6E-409C-BE32-E72D297353CC}">
              <c16:uniqueId val="{00000001-1381-4415-B41E-E4A4B81473A9}"/>
            </c:ext>
          </c:extLst>
        </c:ser>
        <c:ser>
          <c:idx val="1"/>
          <c:order val="2"/>
          <c:tx>
            <c:strRef>
              <c:f>A_EN!$A$277</c:f>
              <c:strCache>
                <c:ptCount val="1"/>
                <c:pt idx="0">
                  <c:v>30–100 
Mbit/s</c:v>
                </c:pt>
              </c:strCache>
            </c:strRef>
          </c:tx>
          <c:spPr>
            <a:ln w="19050">
              <a:solidFill>
                <a:srgbClr val="007D92"/>
              </a:solidFill>
            </a:ln>
          </c:spPr>
          <c:marker>
            <c:symbol val="circle"/>
            <c:size val="4"/>
            <c:spPr>
              <a:solidFill>
                <a:srgbClr val="47E5FF"/>
              </a:solidFill>
              <a:ln w="12700">
                <a:solidFill>
                  <a:srgbClr val="007D91"/>
                </a:solidFill>
              </a:ln>
            </c:spPr>
          </c:marker>
          <c:cat>
            <c:numRef>
              <c:f>A_EN!$B$274:$F$274</c:f>
              <c:numCache>
                <c:formatCode>@</c:formatCode>
                <c:ptCount val="5"/>
                <c:pt idx="0">
                  <c:v>2012</c:v>
                </c:pt>
                <c:pt idx="1">
                  <c:v>2013</c:v>
                </c:pt>
                <c:pt idx="2">
                  <c:v>2014</c:v>
                </c:pt>
                <c:pt idx="3">
                  <c:v>2015</c:v>
                </c:pt>
                <c:pt idx="4">
                  <c:v>2016</c:v>
                </c:pt>
              </c:numCache>
            </c:numRef>
          </c:cat>
          <c:val>
            <c:numRef>
              <c:f>A_EN!$B$277:$F$277</c:f>
              <c:numCache>
                <c:formatCode>#,##0.0</c:formatCode>
                <c:ptCount val="5"/>
                <c:pt idx="0">
                  <c:v>531.31303520100005</c:v>
                </c:pt>
                <c:pt idx="1">
                  <c:v>562.03068831780001</c:v>
                </c:pt>
                <c:pt idx="2">
                  <c:v>603.71527878519987</c:v>
                </c:pt>
                <c:pt idx="3">
                  <c:v>674.77145208000002</c:v>
                </c:pt>
                <c:pt idx="4">
                  <c:v>677.00600000000009</c:v>
                </c:pt>
              </c:numCache>
            </c:numRef>
          </c:val>
          <c:smooth val="0"/>
          <c:extLst>
            <c:ext xmlns:c16="http://schemas.microsoft.com/office/drawing/2014/chart" uri="{C3380CC4-5D6E-409C-BE32-E72D297353CC}">
              <c16:uniqueId val="{00000002-1381-4415-B41E-E4A4B81473A9}"/>
            </c:ext>
          </c:extLst>
        </c:ser>
        <c:ser>
          <c:idx val="0"/>
          <c:order val="3"/>
          <c:tx>
            <c:strRef>
              <c:f>A_EN!$A$278</c:f>
              <c:strCache>
                <c:ptCount val="1"/>
                <c:pt idx="0">
                  <c:v> ≥ 100 
Mbit/s </c:v>
                </c:pt>
              </c:strCache>
            </c:strRef>
          </c:tx>
          <c:spPr>
            <a:ln w="19050">
              <a:solidFill>
                <a:srgbClr val="00C5E9"/>
              </a:solidFill>
            </a:ln>
          </c:spPr>
          <c:marker>
            <c:symbol val="triangle"/>
            <c:size val="4"/>
            <c:spPr>
              <a:solidFill>
                <a:srgbClr val="007D91"/>
              </a:solidFill>
              <a:ln w="12700">
                <a:solidFill>
                  <a:srgbClr val="00C5E9"/>
                </a:solidFill>
              </a:ln>
            </c:spPr>
          </c:marker>
          <c:cat>
            <c:numRef>
              <c:f>A_EN!$B$274:$F$274</c:f>
              <c:numCache>
                <c:formatCode>@</c:formatCode>
                <c:ptCount val="5"/>
                <c:pt idx="0">
                  <c:v>2012</c:v>
                </c:pt>
                <c:pt idx="1">
                  <c:v>2013</c:v>
                </c:pt>
                <c:pt idx="2">
                  <c:v>2014</c:v>
                </c:pt>
                <c:pt idx="3">
                  <c:v>2015</c:v>
                </c:pt>
                <c:pt idx="4">
                  <c:v>2016</c:v>
                </c:pt>
              </c:numCache>
            </c:numRef>
          </c:cat>
          <c:val>
            <c:numRef>
              <c:f>A_EN!$B$278:$F$278</c:f>
              <c:numCache>
                <c:formatCode>#,##0.0</c:formatCode>
                <c:ptCount val="5"/>
                <c:pt idx="0">
                  <c:v>34.676090799000001</c:v>
                </c:pt>
                <c:pt idx="1">
                  <c:v>107.66875516020001</c:v>
                </c:pt>
                <c:pt idx="2">
                  <c:v>149.25916356679991</c:v>
                </c:pt>
                <c:pt idx="3">
                  <c:v>335.9470536</c:v>
                </c:pt>
                <c:pt idx="4">
                  <c:v>628.51699999999937</c:v>
                </c:pt>
              </c:numCache>
            </c:numRef>
          </c:val>
          <c:smooth val="0"/>
          <c:extLst>
            <c:ext xmlns:c16="http://schemas.microsoft.com/office/drawing/2014/chart" uri="{C3380CC4-5D6E-409C-BE32-E72D297353CC}">
              <c16:uniqueId val="{00000003-1381-4415-B41E-E4A4B81473A9}"/>
            </c:ext>
          </c:extLst>
        </c:ser>
        <c:dLbls>
          <c:showLegendKey val="0"/>
          <c:showVal val="0"/>
          <c:showCatName val="0"/>
          <c:showSerName val="0"/>
          <c:showPercent val="0"/>
          <c:showBubbleSize val="0"/>
        </c:dLbls>
        <c:marker val="1"/>
        <c:smooth val="0"/>
        <c:axId val="153919488"/>
        <c:axId val="161364736"/>
      </c:lineChart>
      <c:catAx>
        <c:axId val="15391948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61364736"/>
        <c:crosses val="autoZero"/>
        <c:auto val="1"/>
        <c:lblAlgn val="ctr"/>
        <c:lblOffset val="100"/>
        <c:tickLblSkip val="1"/>
        <c:tickMarkSkip val="1"/>
        <c:noMultiLvlLbl val="0"/>
      </c:catAx>
      <c:valAx>
        <c:axId val="161364736"/>
        <c:scaling>
          <c:orientation val="minMax"/>
          <c:max val="1500"/>
          <c:min val="0"/>
        </c:scaling>
        <c:delete val="0"/>
        <c:axPos val="l"/>
        <c:majorGridlines>
          <c:spPr>
            <a:ln w="12700">
              <a:solidFill>
                <a:srgbClr val="A6A6A6">
                  <a:alpha val="38824"/>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53919488"/>
        <c:crosses val="autoZero"/>
        <c:crossBetween val="between"/>
        <c:majorUnit val="250"/>
        <c:minorUnit val="0.01"/>
      </c:valAx>
      <c:spPr>
        <a:noFill/>
        <a:ln w="12700">
          <a:noFill/>
          <a:prstDash val="solid"/>
        </a:ln>
      </c:spPr>
    </c:plotArea>
    <c:legend>
      <c:legendPos val="r"/>
      <c:layout>
        <c:manualLayout>
          <c:xMode val="edge"/>
          <c:yMode val="edge"/>
          <c:x val="0.72611239305056652"/>
          <c:y val="0.15544227313371939"/>
          <c:w val="0.21153146554355101"/>
          <c:h val="0.63859703703703696"/>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70313387701"/>
          <c:y val="0.13657885482761301"/>
          <c:w val="0.79263314088647696"/>
          <c:h val="0.73972265117345803"/>
        </c:manualLayout>
      </c:layout>
      <c:barChart>
        <c:barDir val="bar"/>
        <c:grouping val="clustered"/>
        <c:varyColors val="0"/>
        <c:ser>
          <c:idx val="0"/>
          <c:order val="0"/>
          <c:tx>
            <c:strRef>
              <c:f>G_EN!$I$193</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G_EN!$H$194:$H$204</c:f>
              <c:strCache>
                <c:ptCount val="11"/>
                <c:pt idx="0">
                  <c:v>65+</c:v>
                </c:pt>
                <c:pt idx="1">
                  <c:v>55–64</c:v>
                </c:pt>
                <c:pt idx="2">
                  <c:v>45–54</c:v>
                </c:pt>
                <c:pt idx="3">
                  <c:v>35–44</c:v>
                </c:pt>
                <c:pt idx="4">
                  <c:v>25–34</c:v>
                </c:pt>
                <c:pt idx="5">
                  <c:v>16–24</c:v>
                </c:pt>
                <c:pt idx="7">
                  <c:v>Females</c:v>
                </c:pt>
                <c:pt idx="8">
                  <c:v>Males</c:v>
                </c:pt>
                <c:pt idx="10">
                  <c:v>Total</c:v>
                </c:pt>
              </c:strCache>
            </c:strRef>
          </c:cat>
          <c:val>
            <c:numRef>
              <c:f>G_EN!$I$194:$I$204</c:f>
              <c:numCache>
                <c:formatCode>0%</c:formatCode>
                <c:ptCount val="11"/>
                <c:pt idx="0">
                  <c:v>4.9325174241743597E-2</c:v>
                </c:pt>
                <c:pt idx="1">
                  <c:v>4.3966466381032E-2</c:v>
                </c:pt>
                <c:pt idx="2">
                  <c:v>5.4659613571040003E-2</c:v>
                </c:pt>
                <c:pt idx="3">
                  <c:v>6.8714886331803698E-2</c:v>
                </c:pt>
                <c:pt idx="4">
                  <c:v>5.2484115049958403E-2</c:v>
                </c:pt>
                <c:pt idx="5">
                  <c:v>2.8281105349326902E-2</c:v>
                </c:pt>
                <c:pt idx="7">
                  <c:v>7.1372796751110107E-2</c:v>
                </c:pt>
                <c:pt idx="8">
                  <c:v>3.29481334571987E-2</c:v>
                </c:pt>
                <c:pt idx="10">
                  <c:v>5.2162624046969801E-2</c:v>
                </c:pt>
              </c:numCache>
            </c:numRef>
          </c:val>
          <c:extLst>
            <c:ext xmlns:c16="http://schemas.microsoft.com/office/drawing/2014/chart" uri="{C3380CC4-5D6E-409C-BE32-E72D297353CC}">
              <c16:uniqueId val="{00000000-6675-432A-BAEC-F5240B306C1F}"/>
            </c:ext>
          </c:extLst>
        </c:ser>
        <c:ser>
          <c:idx val="1"/>
          <c:order val="1"/>
          <c:tx>
            <c:strRef>
              <c:f>G_EN!$J$193</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75-432A-BAEC-F5240B306C1F}"/>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75-432A-BAEC-F5240B306C1F}"/>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G_EN!$H$194:$H$204</c:f>
              <c:strCache>
                <c:ptCount val="11"/>
                <c:pt idx="0">
                  <c:v>65+</c:v>
                </c:pt>
                <c:pt idx="1">
                  <c:v>55–64</c:v>
                </c:pt>
                <c:pt idx="2">
                  <c:v>45–54</c:v>
                </c:pt>
                <c:pt idx="3">
                  <c:v>35–44</c:v>
                </c:pt>
                <c:pt idx="4">
                  <c:v>25–34</c:v>
                </c:pt>
                <c:pt idx="5">
                  <c:v>16–24</c:v>
                </c:pt>
                <c:pt idx="7">
                  <c:v>Females</c:v>
                </c:pt>
                <c:pt idx="8">
                  <c:v>Males</c:v>
                </c:pt>
                <c:pt idx="10">
                  <c:v>Total</c:v>
                </c:pt>
              </c:strCache>
            </c:strRef>
          </c:cat>
          <c:val>
            <c:numRef>
              <c:f>G_EN!$J$194:$J$204</c:f>
              <c:numCache>
                <c:formatCode>0%</c:formatCode>
                <c:ptCount val="11"/>
                <c:pt idx="0">
                  <c:v>1.6037555726893599E-2</c:v>
                </c:pt>
                <c:pt idx="1">
                  <c:v>3.0320353505701201E-2</c:v>
                </c:pt>
                <c:pt idx="2">
                  <c:v>4.9035127801442702E-2</c:v>
                </c:pt>
                <c:pt idx="3">
                  <c:v>6.5151003919011699E-2</c:v>
                </c:pt>
                <c:pt idx="4">
                  <c:v>4.95733401372115E-2</c:v>
                </c:pt>
                <c:pt idx="5">
                  <c:v>2.7243490827670001E-2</c:v>
                </c:pt>
                <c:pt idx="7">
                  <c:v>5.3393783082861399E-2</c:v>
                </c:pt>
                <c:pt idx="8">
                  <c:v>2.57751651687184E-2</c:v>
                </c:pt>
                <c:pt idx="10">
                  <c:v>3.9894604827864402E-2</c:v>
                </c:pt>
              </c:numCache>
            </c:numRef>
          </c:val>
          <c:extLst>
            <c:ext xmlns:c16="http://schemas.microsoft.com/office/drawing/2014/chart" uri="{C3380CC4-5D6E-409C-BE32-E72D297353CC}">
              <c16:uniqueId val="{00000003-6675-432A-BAEC-F5240B306C1F}"/>
            </c:ext>
          </c:extLst>
        </c:ser>
        <c:dLbls>
          <c:showLegendKey val="0"/>
          <c:showVal val="0"/>
          <c:showCatName val="0"/>
          <c:showSerName val="0"/>
          <c:showPercent val="0"/>
          <c:showBubbleSize val="0"/>
        </c:dLbls>
        <c:gapWidth val="30"/>
        <c:axId val="182757888"/>
        <c:axId val="202913984"/>
      </c:barChart>
      <c:catAx>
        <c:axId val="182757888"/>
        <c:scaling>
          <c:orientation val="minMax"/>
        </c:scaling>
        <c:delete val="0"/>
        <c:axPos val="l"/>
        <c:numFmt formatCode="General" sourceLinked="1"/>
        <c:majorTickMark val="out"/>
        <c:minorTickMark val="none"/>
        <c:tickLblPos val="nextTo"/>
        <c:spPr>
          <a:ln w="3175">
            <a:solidFill>
              <a:schemeClr val="tx1"/>
            </a:solidFill>
          </a:ln>
        </c:spPr>
        <c:crossAx val="202913984"/>
        <c:crosses val="autoZero"/>
        <c:auto val="1"/>
        <c:lblAlgn val="ctr"/>
        <c:lblOffset val="100"/>
        <c:noMultiLvlLbl val="0"/>
      </c:catAx>
      <c:valAx>
        <c:axId val="202913984"/>
        <c:scaling>
          <c:orientation val="minMax"/>
          <c:max val="0.1"/>
        </c:scaling>
        <c:delete val="0"/>
        <c:axPos val="b"/>
        <c:majorGridlines>
          <c:spPr>
            <a:ln>
              <a:solidFill>
                <a:schemeClr val="bg1">
                  <a:lumMod val="65000"/>
                </a:schemeClr>
              </a:solidFill>
              <a:prstDash val="dash"/>
            </a:ln>
          </c:spPr>
        </c:majorGridlines>
        <c:numFmt formatCode="0%" sourceLinked="1"/>
        <c:majorTickMark val="out"/>
        <c:minorTickMark val="none"/>
        <c:tickLblPos val="none"/>
        <c:crossAx val="182757888"/>
        <c:crosses val="autoZero"/>
        <c:crossBetween val="between"/>
        <c:majorUnit val="0.1"/>
        <c:minorUnit val="0.01"/>
      </c:valAx>
      <c:spPr>
        <a:ln w="12700">
          <a:solidFill>
            <a:schemeClr val="bg1">
              <a:lumMod val="65000"/>
            </a:schemeClr>
          </a:solidFill>
        </a:ln>
      </c:spPr>
    </c:plotArea>
    <c:legend>
      <c:legendPos val="r"/>
      <c:layout>
        <c:manualLayout>
          <c:xMode val="edge"/>
          <c:yMode val="edge"/>
          <c:x val="0.59390912584525102"/>
          <c:y val="0.14615793899549001"/>
          <c:w val="0.33801045751634001"/>
          <c:h val="0.20233796296296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755794265"/>
          <c:y val="0.14434584511887499"/>
          <c:w val="0.79678839940588297"/>
          <c:h val="0.76690709876543195"/>
        </c:manualLayout>
      </c:layout>
      <c:barChart>
        <c:barDir val="bar"/>
        <c:grouping val="clustered"/>
        <c:varyColors val="0"/>
        <c:ser>
          <c:idx val="0"/>
          <c:order val="0"/>
          <c:tx>
            <c:strRef>
              <c:f>G_EN!$I$212</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G_EN!$H$213:$H$223</c:f>
              <c:strCache>
                <c:ptCount val="11"/>
                <c:pt idx="0">
                  <c:v>65+</c:v>
                </c:pt>
                <c:pt idx="1">
                  <c:v>55–64</c:v>
                </c:pt>
                <c:pt idx="2">
                  <c:v>45–54</c:v>
                </c:pt>
                <c:pt idx="3">
                  <c:v>35–44</c:v>
                </c:pt>
                <c:pt idx="4">
                  <c:v>25–34</c:v>
                </c:pt>
                <c:pt idx="5">
                  <c:v>16–24</c:v>
                </c:pt>
                <c:pt idx="7">
                  <c:v>Females</c:v>
                </c:pt>
                <c:pt idx="8">
                  <c:v>Males</c:v>
                </c:pt>
                <c:pt idx="10">
                  <c:v>Total</c:v>
                </c:pt>
              </c:strCache>
            </c:strRef>
          </c:cat>
          <c:val>
            <c:numRef>
              <c:f>G_EN!$I$213:$I$223</c:f>
              <c:numCache>
                <c:formatCode>0%</c:formatCode>
                <c:ptCount val="11"/>
                <c:pt idx="0">
                  <c:v>5.9043242757576102E-2</c:v>
                </c:pt>
                <c:pt idx="1">
                  <c:v>8.8121673393227004E-2</c:v>
                </c:pt>
                <c:pt idx="2">
                  <c:v>0.115071634621187</c:v>
                </c:pt>
                <c:pt idx="3">
                  <c:v>0.128478828416972</c:v>
                </c:pt>
                <c:pt idx="4">
                  <c:v>0.124931999408723</c:v>
                </c:pt>
                <c:pt idx="5">
                  <c:v>7.5210064538366206E-2</c:v>
                </c:pt>
                <c:pt idx="7">
                  <c:v>0.14599156042634501</c:v>
                </c:pt>
                <c:pt idx="8">
                  <c:v>6.6000104414495706E-2</c:v>
                </c:pt>
                <c:pt idx="10">
                  <c:v>0.10600043659618399</c:v>
                </c:pt>
              </c:numCache>
            </c:numRef>
          </c:val>
          <c:extLst>
            <c:ext xmlns:c16="http://schemas.microsoft.com/office/drawing/2014/chart" uri="{C3380CC4-5D6E-409C-BE32-E72D297353CC}">
              <c16:uniqueId val="{00000000-7738-4E8E-9385-AD3E11D79BE1}"/>
            </c:ext>
          </c:extLst>
        </c:ser>
        <c:ser>
          <c:idx val="1"/>
          <c:order val="1"/>
          <c:tx>
            <c:strRef>
              <c:f>G_EN!$J$212</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38-4E8E-9385-AD3E11D79BE1}"/>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38-4E8E-9385-AD3E11D79BE1}"/>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G_EN!$H$213:$H$223</c:f>
              <c:strCache>
                <c:ptCount val="11"/>
                <c:pt idx="0">
                  <c:v>65+</c:v>
                </c:pt>
                <c:pt idx="1">
                  <c:v>55–64</c:v>
                </c:pt>
                <c:pt idx="2">
                  <c:v>45–54</c:v>
                </c:pt>
                <c:pt idx="3">
                  <c:v>35–44</c:v>
                </c:pt>
                <c:pt idx="4">
                  <c:v>25–34</c:v>
                </c:pt>
                <c:pt idx="5">
                  <c:v>16–24</c:v>
                </c:pt>
                <c:pt idx="7">
                  <c:v>Females</c:v>
                </c:pt>
                <c:pt idx="8">
                  <c:v>Males</c:v>
                </c:pt>
                <c:pt idx="10">
                  <c:v>Total</c:v>
                </c:pt>
              </c:strCache>
            </c:strRef>
          </c:cat>
          <c:val>
            <c:numRef>
              <c:f>G_EN!$J$213:$J$223</c:f>
              <c:numCache>
                <c:formatCode>0%</c:formatCode>
                <c:ptCount val="11"/>
                <c:pt idx="0">
                  <c:v>1.91972823325533E-2</c:v>
                </c:pt>
                <c:pt idx="1">
                  <c:v>6.0770887302483E-2</c:v>
                </c:pt>
                <c:pt idx="2">
                  <c:v>0.10323074768608401</c:v>
                </c:pt>
                <c:pt idx="3">
                  <c:v>0.121815306136989</c:v>
                </c:pt>
                <c:pt idx="4">
                  <c:v>0.11800326160680601</c:v>
                </c:pt>
                <c:pt idx="5">
                  <c:v>7.2450658419835001E-2</c:v>
                </c:pt>
                <c:pt idx="7">
                  <c:v>0.10921586464539799</c:v>
                </c:pt>
                <c:pt idx="8">
                  <c:v>5.1631558557339099E-2</c:v>
                </c:pt>
                <c:pt idx="10">
                  <c:v>8.1070414053135101E-2</c:v>
                </c:pt>
              </c:numCache>
            </c:numRef>
          </c:val>
          <c:extLst>
            <c:ext xmlns:c16="http://schemas.microsoft.com/office/drawing/2014/chart" uri="{C3380CC4-5D6E-409C-BE32-E72D297353CC}">
              <c16:uniqueId val="{00000003-7738-4E8E-9385-AD3E11D79BE1}"/>
            </c:ext>
          </c:extLst>
        </c:ser>
        <c:dLbls>
          <c:showLegendKey val="0"/>
          <c:showVal val="0"/>
          <c:showCatName val="0"/>
          <c:showSerName val="0"/>
          <c:showPercent val="0"/>
          <c:showBubbleSize val="0"/>
        </c:dLbls>
        <c:gapWidth val="30"/>
        <c:axId val="182757376"/>
        <c:axId val="202244096"/>
      </c:barChart>
      <c:catAx>
        <c:axId val="182757376"/>
        <c:scaling>
          <c:orientation val="minMax"/>
        </c:scaling>
        <c:delete val="0"/>
        <c:axPos val="l"/>
        <c:numFmt formatCode="General" sourceLinked="1"/>
        <c:majorTickMark val="out"/>
        <c:minorTickMark val="none"/>
        <c:tickLblPos val="nextTo"/>
        <c:spPr>
          <a:ln w="3175">
            <a:solidFill>
              <a:schemeClr val="tx1"/>
            </a:solidFill>
          </a:ln>
        </c:spPr>
        <c:crossAx val="202244096"/>
        <c:crosses val="autoZero"/>
        <c:auto val="1"/>
        <c:lblAlgn val="ctr"/>
        <c:lblOffset val="100"/>
        <c:noMultiLvlLbl val="0"/>
      </c:catAx>
      <c:valAx>
        <c:axId val="202244096"/>
        <c:scaling>
          <c:orientation val="minMax"/>
          <c:max val="0.2"/>
        </c:scaling>
        <c:delete val="0"/>
        <c:axPos val="b"/>
        <c:majorGridlines>
          <c:spPr>
            <a:ln>
              <a:noFill/>
              <a:prstDash val="dash"/>
            </a:ln>
          </c:spPr>
        </c:majorGridlines>
        <c:numFmt formatCode="0%" sourceLinked="1"/>
        <c:majorTickMark val="none"/>
        <c:minorTickMark val="none"/>
        <c:tickLblPos val="none"/>
        <c:crossAx val="182757376"/>
        <c:crosses val="autoZero"/>
        <c:crossBetween val="between"/>
        <c:majorUnit val="0.1"/>
        <c:minorUnit val="0.04"/>
      </c:valAx>
      <c:spPr>
        <a:ln w="12700">
          <a:solidFill>
            <a:schemeClr val="bg1">
              <a:lumMod val="65000"/>
            </a:schemeClr>
          </a:solidFill>
        </a:ln>
      </c:spPr>
    </c:plotArea>
    <c:legend>
      <c:legendPos val="r"/>
      <c:layout>
        <c:manualLayout>
          <c:xMode val="edge"/>
          <c:yMode val="edge"/>
          <c:x val="0.60636007139456605"/>
          <c:y val="0.15792676400886799"/>
          <c:w val="0.32555947712418298"/>
          <c:h val="0.20233796296296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1" i="0" baseline="0">
                <a:effectLst/>
                <a:latin typeface="Arial" panose="020B0604020202020204" pitchFamily="34" charset="0"/>
                <a:cs typeface="Arial" panose="020B0604020202020204" pitchFamily="34" charset="0"/>
              </a:rPr>
              <a:t>Figure G1</a:t>
            </a:r>
            <a:r>
              <a:rPr lang="cs-CZ" sz="800" b="1" i="0" baseline="0">
                <a:effectLst/>
                <a:latin typeface="Arial" panose="020B0604020202020204" pitchFamily="34" charset="0"/>
                <a:cs typeface="Arial" panose="020B0604020202020204" pitchFamily="34" charset="0"/>
              </a:rPr>
              <a:t>5</a:t>
            </a:r>
            <a:r>
              <a:rPr lang="en-US" sz="800" b="1" i="0" baseline="0">
                <a:effectLst/>
                <a:latin typeface="Arial" panose="020B0604020202020204" pitchFamily="34" charset="0"/>
                <a:cs typeface="Arial" panose="020B0604020202020204" pitchFamily="34" charset="0"/>
              </a:rPr>
              <a:t> Individuals in EU</a:t>
            </a:r>
            <a:r>
              <a:rPr lang="cs-CZ" sz="800" b="1" i="0" baseline="0">
                <a:effectLst/>
                <a:latin typeface="Arial" panose="020B0604020202020204" pitchFamily="34" charset="0"/>
                <a:cs typeface="Arial" panose="020B0604020202020204" pitchFamily="34" charset="0"/>
              </a:rPr>
              <a:t> </a:t>
            </a:r>
            <a:r>
              <a:rPr lang="en-US" sz="800" b="1" i="0" baseline="0">
                <a:effectLst/>
                <a:latin typeface="Arial" panose="020B0604020202020204" pitchFamily="34" charset="0"/>
                <a:cs typeface="Arial" panose="020B0604020202020204" pitchFamily="34" charset="0"/>
              </a:rPr>
              <a:t>countries</a:t>
            </a:r>
            <a:r>
              <a:rPr lang="cs-CZ" sz="800" b="1" i="0" baseline="0">
                <a:effectLst/>
                <a:latin typeface="Arial" panose="020B0604020202020204" pitchFamily="34" charset="0"/>
                <a:cs typeface="Arial" panose="020B0604020202020204" pitchFamily="34" charset="0"/>
              </a:rPr>
              <a:t>,</a:t>
            </a:r>
            <a:r>
              <a:rPr lang="en-US" sz="800" b="1" i="0" baseline="0">
                <a:effectLst/>
                <a:latin typeface="Arial" panose="020B0604020202020204" pitchFamily="34" charset="0"/>
                <a:cs typeface="Arial" panose="020B0604020202020204" pitchFamily="34" charset="0"/>
              </a:rPr>
              <a:t> who made an online appointment with a practitioner via the</a:t>
            </a:r>
            <a:r>
              <a:rPr lang="cs-CZ" sz="800" b="1" i="0" baseline="0">
                <a:effectLst/>
                <a:latin typeface="Arial" panose="020B0604020202020204" pitchFamily="34" charset="0"/>
                <a:cs typeface="Arial" panose="020B0604020202020204" pitchFamily="34" charset="0"/>
              </a:rPr>
              <a:t> </a:t>
            </a:r>
            <a:r>
              <a:rPr lang="en-US" sz="800" b="1" i="0" baseline="0">
                <a:effectLst/>
                <a:latin typeface="Arial" panose="020B0604020202020204" pitchFamily="34" charset="0"/>
                <a:cs typeface="Arial" panose="020B0604020202020204" pitchFamily="34" charset="0"/>
              </a:rPr>
              <a:t>website application </a:t>
            </a:r>
            <a:r>
              <a:rPr lang="cs-CZ" sz="800" b="1" i="0" baseline="0">
                <a:effectLst/>
                <a:latin typeface="Arial" panose="020B0604020202020204" pitchFamily="34" charset="0"/>
                <a:cs typeface="Arial" panose="020B0604020202020204" pitchFamily="34" charset="0"/>
              </a:rPr>
              <a:t> (%)*</a:t>
            </a:r>
            <a:endParaRPr lang="cs-CZ" sz="800">
              <a:effectLst/>
              <a:latin typeface="Arial" panose="020B0604020202020204" pitchFamily="34" charset="0"/>
              <a:cs typeface="Arial" panose="020B0604020202020204" pitchFamily="34" charset="0"/>
            </a:endParaRPr>
          </a:p>
        </c:rich>
      </c:tx>
      <c:layout>
        <c:manualLayout>
          <c:xMode val="edge"/>
          <c:yMode val="edge"/>
          <c:x val="0.11399904179258501"/>
          <c:y val="0"/>
        </c:manualLayout>
      </c:layout>
      <c:overlay val="0"/>
    </c:title>
    <c:autoTitleDeleted val="0"/>
    <c:plotArea>
      <c:layout>
        <c:manualLayout>
          <c:layoutTarget val="inner"/>
          <c:xMode val="edge"/>
          <c:yMode val="edge"/>
          <c:x val="4.5523092635930101E-2"/>
          <c:y val="0.10228368055555601"/>
          <c:w val="0.92454421900005601"/>
          <c:h val="0.62385833333333296"/>
        </c:manualLayout>
      </c:layout>
      <c:barChart>
        <c:barDir val="col"/>
        <c:grouping val="clustered"/>
        <c:varyColors val="0"/>
        <c:ser>
          <c:idx val="0"/>
          <c:order val="0"/>
          <c:tx>
            <c:strRef>
              <c:f>G_EN!$O$232</c:f>
              <c:strCache>
                <c:ptCount val="1"/>
                <c:pt idx="0">
                  <c:v> 2016</c:v>
                </c:pt>
              </c:strCache>
            </c:strRef>
          </c:tx>
          <c:spPr>
            <a:solidFill>
              <a:srgbClr val="009BB4"/>
            </a:solidFill>
            <a:ln>
              <a:noFill/>
            </a:ln>
          </c:spPr>
          <c:invertIfNegative val="0"/>
          <c:dPt>
            <c:idx val="8"/>
            <c:invertIfNegative val="0"/>
            <c:bubble3D val="0"/>
            <c:spPr>
              <a:solidFill>
                <a:srgbClr val="009BB4"/>
              </a:solidFill>
              <a:ln w="19050">
                <a:noFill/>
              </a:ln>
            </c:spPr>
            <c:extLst>
              <c:ext xmlns:c16="http://schemas.microsoft.com/office/drawing/2014/chart" uri="{C3380CC4-5D6E-409C-BE32-E72D297353CC}">
                <c16:uniqueId val="{00000001-E69C-4E69-BD93-94D39B8BCB2C}"/>
              </c:ext>
            </c:extLst>
          </c:dPt>
          <c:dPt>
            <c:idx val="11"/>
            <c:invertIfNegative val="0"/>
            <c:bubble3D val="0"/>
            <c:spPr>
              <a:solidFill>
                <a:srgbClr val="009BB4"/>
              </a:solidFill>
              <a:ln>
                <a:solidFill>
                  <a:srgbClr val="FF0000"/>
                </a:solidFill>
              </a:ln>
            </c:spPr>
            <c:extLst>
              <c:ext xmlns:c16="http://schemas.microsoft.com/office/drawing/2014/chart" uri="{C3380CC4-5D6E-409C-BE32-E72D297353CC}">
                <c16:uniqueId val="{00000003-E69C-4E69-BD93-94D39B8BCB2C}"/>
              </c:ext>
            </c:extLst>
          </c:dPt>
          <c:dPt>
            <c:idx val="12"/>
            <c:invertIfNegative val="0"/>
            <c:bubble3D val="0"/>
            <c:spPr>
              <a:solidFill>
                <a:srgbClr val="009BB4"/>
              </a:solidFill>
              <a:ln w="19050">
                <a:noFill/>
              </a:ln>
            </c:spPr>
            <c:extLst>
              <c:ext xmlns:c16="http://schemas.microsoft.com/office/drawing/2014/chart" uri="{C3380CC4-5D6E-409C-BE32-E72D297353CC}">
                <c16:uniqueId val="{00000005-E69C-4E69-BD93-94D39B8BCB2C}"/>
              </c:ext>
            </c:extLst>
          </c:dPt>
          <c:dPt>
            <c:idx val="13"/>
            <c:invertIfNegative val="0"/>
            <c:bubble3D val="0"/>
            <c:spPr>
              <a:solidFill>
                <a:srgbClr val="009BB4"/>
              </a:solidFill>
              <a:ln w="19050">
                <a:noFill/>
              </a:ln>
            </c:spPr>
            <c:extLst>
              <c:ext xmlns:c16="http://schemas.microsoft.com/office/drawing/2014/chart" uri="{C3380CC4-5D6E-409C-BE32-E72D297353CC}">
                <c16:uniqueId val="{00000007-E69C-4E69-BD93-94D39B8BCB2C}"/>
              </c:ext>
            </c:extLst>
          </c:dPt>
          <c:dPt>
            <c:idx val="16"/>
            <c:invertIfNegative val="0"/>
            <c:bubble3D val="0"/>
            <c:spPr>
              <a:solidFill>
                <a:srgbClr val="009BB4"/>
              </a:solidFill>
              <a:ln>
                <a:solidFill>
                  <a:srgbClr val="FF0000"/>
                </a:solidFill>
              </a:ln>
            </c:spPr>
            <c:extLst>
              <c:ext xmlns:c16="http://schemas.microsoft.com/office/drawing/2014/chart" uri="{C3380CC4-5D6E-409C-BE32-E72D297353CC}">
                <c16:uniqueId val="{00000009-E69C-4E69-BD93-94D39B8BCB2C}"/>
              </c:ext>
            </c:extLst>
          </c:dPt>
          <c:dPt>
            <c:idx val="17"/>
            <c:invertIfNegative val="0"/>
            <c:bubble3D val="0"/>
            <c:spPr>
              <a:solidFill>
                <a:srgbClr val="009BB4"/>
              </a:solidFill>
              <a:ln w="19050">
                <a:noFill/>
              </a:ln>
            </c:spPr>
            <c:extLst>
              <c:ext xmlns:c16="http://schemas.microsoft.com/office/drawing/2014/chart" uri="{C3380CC4-5D6E-409C-BE32-E72D297353CC}">
                <c16:uniqueId val="{0000000B-E69C-4E69-BD93-94D39B8BCB2C}"/>
              </c:ext>
            </c:extLst>
          </c:dPt>
          <c:dLbls>
            <c:dLbl>
              <c:idx val="0"/>
              <c:layout>
                <c:manualLayout>
                  <c:x val="0"/>
                  <c:y val="0.101913580246914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9C-4E69-BD93-94D39B8BCB2C}"/>
                </c:ext>
              </c:extLst>
            </c:dLbl>
            <c:dLbl>
              <c:idx val="16"/>
              <c:layout>
                <c:manualLayout>
                  <c:x val="-2.0426709128487201E-3"/>
                  <c:y val="1.1817901234567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9C-4E69-BD93-94D39B8BCB2C}"/>
                </c:ext>
              </c:extLst>
            </c:dLbl>
            <c:dLbl>
              <c:idx val="17"/>
              <c:layout>
                <c:manualLayout>
                  <c:x val="-1.60840229433064E-7"/>
                  <c:y val="-7.7808641975308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9C-4E69-BD93-94D39B8BCB2C}"/>
                </c:ext>
              </c:extLst>
            </c:dLbl>
            <c:dLbl>
              <c:idx val="18"/>
              <c:layout>
                <c:manualLayout>
                  <c:x val="-7.4897068253797103E-17"/>
                  <c:y val="5.64783950617277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9C-4E69-BD93-94D39B8BCB2C}"/>
                </c:ext>
              </c:extLst>
            </c:dLbl>
            <c:dLbl>
              <c:idx val="19"/>
              <c:layout>
                <c:manualLayout>
                  <c:x val="0"/>
                  <c:y val="-8.345679012345680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9C-4E69-BD93-94D39B8BCB2C}"/>
                </c:ext>
              </c:extLst>
            </c:dLbl>
            <c:dLbl>
              <c:idx val="20"/>
              <c:layout>
                <c:manualLayout>
                  <c:x val="2.0426709128487201E-3"/>
                  <c:y val="5.8641975308713799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9C-4E69-BD93-94D39B8BCB2C}"/>
                </c:ext>
              </c:extLst>
            </c:dLbl>
            <c:dLbl>
              <c:idx val="21"/>
              <c:layout>
                <c:manualLayout>
                  <c:x val="0"/>
                  <c:y val="3.978086419753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9C-4E69-BD93-94D39B8BCB2C}"/>
                </c:ext>
              </c:extLst>
            </c:dLbl>
            <c:dLbl>
              <c:idx val="22"/>
              <c:layout>
                <c:manualLayout>
                  <c:x val="-1.4979413650759201E-16"/>
                  <c:y val="-7.9422839506173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9C-4E69-BD93-94D39B8BCB2C}"/>
                </c:ext>
              </c:extLst>
            </c:dLbl>
            <c:dLbl>
              <c:idx val="23"/>
              <c:layout>
                <c:manualLayout>
                  <c:x val="0"/>
                  <c:y val="-7.78086419753078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9C-4E69-BD93-94D39B8BCB2C}"/>
                </c:ext>
              </c:extLst>
            </c:dLbl>
            <c:dLbl>
              <c:idx val="24"/>
              <c:layout>
                <c:manualLayout>
                  <c:x val="0"/>
                  <c:y val="-2.515432098765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9C-4E69-BD93-94D39B8BCB2C}"/>
                </c:ext>
              </c:extLst>
            </c:dLbl>
            <c:dLbl>
              <c:idx val="25"/>
              <c:layout>
                <c:manualLayout>
                  <c:x val="-2.0426709128487201E-3"/>
                  <c:y val="3.97839506172846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9C-4E69-BD93-94D39B8BCB2C}"/>
                </c:ext>
              </c:extLst>
            </c:dLbl>
            <c:dLbl>
              <c:idx val="26"/>
              <c:layout>
                <c:manualLayout>
                  <c:x val="-2.0426709128488702E-3"/>
                  <c:y val="-9.9305555555555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69C-4E69-BD93-94D39B8BCB2C}"/>
                </c:ext>
              </c:extLst>
            </c:dLbl>
            <c:dLbl>
              <c:idx val="27"/>
              <c:layout>
                <c:manualLayout>
                  <c:x val="0"/>
                  <c:y val="-4.8989814814814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69C-4E69-BD93-94D39B8BCB2C}"/>
                </c:ext>
              </c:extLst>
            </c:dLbl>
            <c:dLbl>
              <c:idx val="2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69C-4E69-BD93-94D39B8BCB2C}"/>
                </c:ext>
              </c:extLst>
            </c:dLbl>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G_EN!$N$233:$N$261</c:f>
              <c:strCache>
                <c:ptCount val="29"/>
                <c:pt idx="0">
                  <c:v>Denmark</c:v>
                </c:pt>
                <c:pt idx="1">
                  <c:v>Finland</c:v>
                </c:pt>
                <c:pt idx="2">
                  <c:v>Spain</c:v>
                </c:pt>
                <c:pt idx="3">
                  <c:v>Estonia</c:v>
                </c:pt>
                <c:pt idx="4">
                  <c:v>Belgium</c:v>
                </c:pt>
                <c:pt idx="5">
                  <c:v>Sweden</c:v>
                </c:pt>
                <c:pt idx="6">
                  <c:v>Netherlands</c:v>
                </c:pt>
                <c:pt idx="7">
                  <c:v>Lithuania</c:v>
                </c:pt>
                <c:pt idx="8">
                  <c:v>United Kingdom</c:v>
                </c:pt>
                <c:pt idx="9">
                  <c:v>Luxembourg </c:v>
                </c:pt>
                <c:pt idx="10">
                  <c:v>Hungary</c:v>
                </c:pt>
                <c:pt idx="11">
                  <c:v>EU28</c:v>
                </c:pt>
                <c:pt idx="12">
                  <c:v>Germany</c:v>
                </c:pt>
                <c:pt idx="13">
                  <c:v>France</c:v>
                </c:pt>
                <c:pt idx="14">
                  <c:v>Croatia</c:v>
                </c:pt>
                <c:pt idx="15">
                  <c:v>Portugal</c:v>
                </c:pt>
                <c:pt idx="16">
                  <c:v>Czech Republic</c:v>
                </c:pt>
                <c:pt idx="17">
                  <c:v>Slovakia</c:v>
                </c:pt>
                <c:pt idx="18">
                  <c:v>Italy</c:v>
                </c:pt>
                <c:pt idx="19">
                  <c:v>Poland</c:v>
                </c:pt>
                <c:pt idx="20">
                  <c:v>Latvia</c:v>
                </c:pt>
                <c:pt idx="21">
                  <c:v>Austria</c:v>
                </c:pt>
                <c:pt idx="22">
                  <c:v>Ireland</c:v>
                </c:pt>
                <c:pt idx="23">
                  <c:v>Malta</c:v>
                </c:pt>
                <c:pt idx="24">
                  <c:v>Romania</c:v>
                </c:pt>
                <c:pt idx="25">
                  <c:v>Slovenia</c:v>
                </c:pt>
                <c:pt idx="26">
                  <c:v>Bulgaria</c:v>
                </c:pt>
                <c:pt idx="27">
                  <c:v>Greece</c:v>
                </c:pt>
                <c:pt idx="28">
                  <c:v>Cyprus</c:v>
                </c:pt>
              </c:strCache>
            </c:strRef>
          </c:cat>
          <c:val>
            <c:numRef>
              <c:f>G_EN!$O$233:$O$261</c:f>
              <c:numCache>
                <c:formatCode>0%</c:formatCode>
                <c:ptCount val="29"/>
                <c:pt idx="0">
                  <c:v>0.48835800000000001</c:v>
                </c:pt>
                <c:pt idx="1">
                  <c:v>0.34628999999999999</c:v>
                </c:pt>
                <c:pt idx="2">
                  <c:v>0.30491299999999999</c:v>
                </c:pt>
                <c:pt idx="3">
                  <c:v>0.21929100000000001</c:v>
                </c:pt>
                <c:pt idx="4">
                  <c:v>0.21657100000000001</c:v>
                </c:pt>
                <c:pt idx="5">
                  <c:v>0.21507699999999999</c:v>
                </c:pt>
                <c:pt idx="6">
                  <c:v>0.20910200000000001</c:v>
                </c:pt>
                <c:pt idx="7">
                  <c:v>0.17926900000000001</c:v>
                </c:pt>
                <c:pt idx="8">
                  <c:v>0.161743</c:v>
                </c:pt>
                <c:pt idx="9">
                  <c:v>0.147929</c:v>
                </c:pt>
                <c:pt idx="10">
                  <c:v>0.143625</c:v>
                </c:pt>
                <c:pt idx="11">
                  <c:v>0.132469</c:v>
                </c:pt>
                <c:pt idx="12">
                  <c:v>0.111496</c:v>
                </c:pt>
                <c:pt idx="13">
                  <c:v>0.101964</c:v>
                </c:pt>
                <c:pt idx="14">
                  <c:v>9.9767999999999996E-2</c:v>
                </c:pt>
                <c:pt idx="15">
                  <c:v>9.3170000000000003E-2</c:v>
                </c:pt>
                <c:pt idx="16">
                  <c:v>8.8132000000000002E-2</c:v>
                </c:pt>
                <c:pt idx="17">
                  <c:v>7.3363999999999999E-2</c:v>
                </c:pt>
                <c:pt idx="18">
                  <c:v>7.0499000000000006E-2</c:v>
                </c:pt>
                <c:pt idx="19">
                  <c:v>6.8445000000000006E-2</c:v>
                </c:pt>
                <c:pt idx="20">
                  <c:v>6.7271999999999998E-2</c:v>
                </c:pt>
                <c:pt idx="21">
                  <c:v>5.9966999999999999E-2</c:v>
                </c:pt>
                <c:pt idx="22">
                  <c:v>5.9607E-2</c:v>
                </c:pt>
                <c:pt idx="23">
                  <c:v>4.8052999999999998E-2</c:v>
                </c:pt>
                <c:pt idx="24">
                  <c:v>4.5107000000000001E-2</c:v>
                </c:pt>
                <c:pt idx="25">
                  <c:v>4.1119999999999997E-2</c:v>
                </c:pt>
                <c:pt idx="26">
                  <c:v>3.2881000000000001E-2</c:v>
                </c:pt>
                <c:pt idx="27">
                  <c:v>2.0426E-2</c:v>
                </c:pt>
                <c:pt idx="28">
                  <c:v>1.771E-3</c:v>
                </c:pt>
              </c:numCache>
            </c:numRef>
          </c:val>
          <c:extLst>
            <c:ext xmlns:c16="http://schemas.microsoft.com/office/drawing/2014/chart" uri="{C3380CC4-5D6E-409C-BE32-E72D297353CC}">
              <c16:uniqueId val="{00000018-E69C-4E69-BD93-94D39B8BCB2C}"/>
            </c:ext>
          </c:extLst>
        </c:ser>
        <c:dLbls>
          <c:showLegendKey val="0"/>
          <c:showVal val="0"/>
          <c:showCatName val="0"/>
          <c:showSerName val="0"/>
          <c:showPercent val="0"/>
          <c:showBubbleSize val="0"/>
        </c:dLbls>
        <c:gapWidth val="50"/>
        <c:axId val="182758400"/>
        <c:axId val="202245824"/>
      </c:barChart>
      <c:barChart>
        <c:barDir val="col"/>
        <c:grouping val="clustered"/>
        <c:varyColors val="0"/>
        <c:ser>
          <c:idx val="1"/>
          <c:order val="1"/>
          <c:tx>
            <c:strRef>
              <c:f>G_EN!$P$232</c:f>
              <c:strCache>
                <c:ptCount val="1"/>
                <c:pt idx="0">
                  <c:v> 2012</c:v>
                </c:pt>
              </c:strCache>
            </c:strRef>
          </c:tx>
          <c:spPr>
            <a:solidFill>
              <a:srgbClr val="47E5FF"/>
            </a:solidFill>
          </c:spPr>
          <c:invertIfNegative val="0"/>
          <c:dLbls>
            <c:dLbl>
              <c:idx val="27"/>
              <c:layout>
                <c:manualLayout>
                  <c:x val="0"/>
                  <c:y val="-7.21049382716057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69C-4E69-BD93-94D39B8BCB2C}"/>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G_EN!$N$233:$N$261</c:f>
              <c:strCache>
                <c:ptCount val="29"/>
                <c:pt idx="0">
                  <c:v>Denmark</c:v>
                </c:pt>
                <c:pt idx="1">
                  <c:v>Finland</c:v>
                </c:pt>
                <c:pt idx="2">
                  <c:v>Spain</c:v>
                </c:pt>
                <c:pt idx="3">
                  <c:v>Estonia</c:v>
                </c:pt>
                <c:pt idx="4">
                  <c:v>Belgium</c:v>
                </c:pt>
                <c:pt idx="5">
                  <c:v>Sweden</c:v>
                </c:pt>
                <c:pt idx="6">
                  <c:v>Netherlands</c:v>
                </c:pt>
                <c:pt idx="7">
                  <c:v>Lithuania</c:v>
                </c:pt>
                <c:pt idx="8">
                  <c:v>United Kingdom</c:v>
                </c:pt>
                <c:pt idx="9">
                  <c:v>Luxembourg </c:v>
                </c:pt>
                <c:pt idx="10">
                  <c:v>Hungary</c:v>
                </c:pt>
                <c:pt idx="11">
                  <c:v>EU28</c:v>
                </c:pt>
                <c:pt idx="12">
                  <c:v>Germany</c:v>
                </c:pt>
                <c:pt idx="13">
                  <c:v>France</c:v>
                </c:pt>
                <c:pt idx="14">
                  <c:v>Croatia</c:v>
                </c:pt>
                <c:pt idx="15">
                  <c:v>Portugal</c:v>
                </c:pt>
                <c:pt idx="16">
                  <c:v>Czech Republic</c:v>
                </c:pt>
                <c:pt idx="17">
                  <c:v>Slovakia</c:v>
                </c:pt>
                <c:pt idx="18">
                  <c:v>Italy</c:v>
                </c:pt>
                <c:pt idx="19">
                  <c:v>Poland</c:v>
                </c:pt>
                <c:pt idx="20">
                  <c:v>Latvia</c:v>
                </c:pt>
                <c:pt idx="21">
                  <c:v>Austria</c:v>
                </c:pt>
                <c:pt idx="22">
                  <c:v>Ireland</c:v>
                </c:pt>
                <c:pt idx="23">
                  <c:v>Malta</c:v>
                </c:pt>
                <c:pt idx="24">
                  <c:v>Romania</c:v>
                </c:pt>
                <c:pt idx="25">
                  <c:v>Slovenia</c:v>
                </c:pt>
                <c:pt idx="26">
                  <c:v>Bulgaria</c:v>
                </c:pt>
                <c:pt idx="27">
                  <c:v>Greece</c:v>
                </c:pt>
                <c:pt idx="28">
                  <c:v>Cyprus</c:v>
                </c:pt>
              </c:strCache>
            </c:strRef>
          </c:cat>
          <c:val>
            <c:numRef>
              <c:f>G_EN!$P$233:$P$261</c:f>
              <c:numCache>
                <c:formatCode>0%</c:formatCode>
                <c:ptCount val="29"/>
                <c:pt idx="0">
                  <c:v>0.29100799999999999</c:v>
                </c:pt>
                <c:pt idx="1">
                  <c:v>0.25840800000000003</c:v>
                </c:pt>
                <c:pt idx="2">
                  <c:v>0.209345</c:v>
                </c:pt>
                <c:pt idx="3">
                  <c:v>0.161602</c:v>
                </c:pt>
                <c:pt idx="4">
                  <c:v>0.11901200000000001</c:v>
                </c:pt>
                <c:pt idx="5">
                  <c:v>0.157336</c:v>
                </c:pt>
                <c:pt idx="6">
                  <c:v>0.10899499999999999</c:v>
                </c:pt>
                <c:pt idx="7">
                  <c:v>0.108211</c:v>
                </c:pt>
                <c:pt idx="8">
                  <c:v>0.10995199999999999</c:v>
                </c:pt>
                <c:pt idx="9">
                  <c:v>4.9717999999999998E-2</c:v>
                </c:pt>
                <c:pt idx="10">
                  <c:v>4.3527000000000003E-2</c:v>
                </c:pt>
                <c:pt idx="11">
                  <c:v>7.8367999999999993E-2</c:v>
                </c:pt>
                <c:pt idx="12">
                  <c:v>4.5147E-2</c:v>
                </c:pt>
                <c:pt idx="13">
                  <c:v>5.4715E-2</c:v>
                </c:pt>
                <c:pt idx="14">
                  <c:v>4.2361999999999997E-2</c:v>
                </c:pt>
                <c:pt idx="15">
                  <c:v>3.9094999999999998E-2</c:v>
                </c:pt>
                <c:pt idx="16">
                  <c:v>5.3899000000000002E-2</c:v>
                </c:pt>
                <c:pt idx="17">
                  <c:v>3.1186999999999999E-2</c:v>
                </c:pt>
                <c:pt idx="18">
                  <c:v>5.3191000000000002E-2</c:v>
                </c:pt>
                <c:pt idx="19">
                  <c:v>2.9404E-2</c:v>
                </c:pt>
                <c:pt idx="20">
                  <c:v>2.2412000000000001E-2</c:v>
                </c:pt>
                <c:pt idx="21">
                  <c:v>3.8216E-2</c:v>
                </c:pt>
                <c:pt idx="22">
                  <c:v>5.3289000000000003E-2</c:v>
                </c:pt>
                <c:pt idx="23">
                  <c:v>3.1119999999999998E-2</c:v>
                </c:pt>
                <c:pt idx="24">
                  <c:v>4.0812000000000001E-2</c:v>
                </c:pt>
                <c:pt idx="25">
                  <c:v>3.3410000000000002E-2</c:v>
                </c:pt>
                <c:pt idx="26">
                  <c:v>1.6244999999999999E-2</c:v>
                </c:pt>
                <c:pt idx="27">
                  <c:v>9.9290000000000003E-3</c:v>
                </c:pt>
                <c:pt idx="28">
                  <c:v>4.888E-3</c:v>
                </c:pt>
              </c:numCache>
            </c:numRef>
          </c:val>
          <c:extLst>
            <c:ext xmlns:c16="http://schemas.microsoft.com/office/drawing/2014/chart" uri="{C3380CC4-5D6E-409C-BE32-E72D297353CC}">
              <c16:uniqueId val="{0000001A-E69C-4E69-BD93-94D39B8BCB2C}"/>
            </c:ext>
          </c:extLst>
        </c:ser>
        <c:dLbls>
          <c:showLegendKey val="0"/>
          <c:showVal val="0"/>
          <c:showCatName val="0"/>
          <c:showSerName val="0"/>
          <c:showPercent val="0"/>
          <c:showBubbleSize val="0"/>
        </c:dLbls>
        <c:gapWidth val="200"/>
        <c:axId val="203872768"/>
        <c:axId val="202246400"/>
      </c:barChart>
      <c:catAx>
        <c:axId val="182758400"/>
        <c:scaling>
          <c:orientation val="minMax"/>
        </c:scaling>
        <c:delete val="0"/>
        <c:axPos val="b"/>
        <c:numFmt formatCode="General" sourceLinked="0"/>
        <c:majorTickMark val="out"/>
        <c:minorTickMark val="none"/>
        <c:tickLblPos val="nextTo"/>
        <c:spPr>
          <a:ln w="3175">
            <a:solidFill>
              <a:schemeClr val="tx1"/>
            </a:solidFill>
          </a:ln>
        </c:spPr>
        <c:crossAx val="202245824"/>
        <c:crosses val="autoZero"/>
        <c:auto val="1"/>
        <c:lblAlgn val="ctr"/>
        <c:lblOffset val="100"/>
        <c:noMultiLvlLbl val="0"/>
      </c:catAx>
      <c:valAx>
        <c:axId val="202245824"/>
        <c:scaling>
          <c:orientation val="minMax"/>
          <c:max val="0.5"/>
          <c:min val="0"/>
        </c:scaling>
        <c:delete val="1"/>
        <c:axPos val="l"/>
        <c:numFmt formatCode="0%" sourceLinked="1"/>
        <c:majorTickMark val="out"/>
        <c:minorTickMark val="none"/>
        <c:tickLblPos val="nextTo"/>
        <c:crossAx val="182758400"/>
        <c:crosses val="autoZero"/>
        <c:crossBetween val="between"/>
        <c:majorUnit val="0.1"/>
        <c:minorUnit val="0.05"/>
      </c:valAx>
      <c:valAx>
        <c:axId val="202246400"/>
        <c:scaling>
          <c:orientation val="minMax"/>
          <c:max val="0.5"/>
        </c:scaling>
        <c:delete val="0"/>
        <c:axPos val="r"/>
        <c:numFmt formatCode="0%" sourceLinked="1"/>
        <c:majorTickMark val="none"/>
        <c:minorTickMark val="none"/>
        <c:tickLblPos val="none"/>
        <c:crossAx val="203872768"/>
        <c:crosses val="max"/>
        <c:crossBetween val="between"/>
      </c:valAx>
      <c:catAx>
        <c:axId val="203872768"/>
        <c:scaling>
          <c:orientation val="minMax"/>
        </c:scaling>
        <c:delete val="1"/>
        <c:axPos val="b"/>
        <c:numFmt formatCode="General" sourceLinked="1"/>
        <c:majorTickMark val="out"/>
        <c:minorTickMark val="none"/>
        <c:tickLblPos val="none"/>
        <c:crossAx val="20224640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913315158387405"/>
          <c:y val="0.128610802469136"/>
          <c:w val="6.9586721030664198E-2"/>
          <c:h val="0.116382098765432"/>
        </c:manualLayout>
      </c:layout>
      <c:overlay val="0"/>
      <c:spPr>
        <a:solidFill>
          <a:schemeClr val="bg1"/>
        </a:solidFill>
        <a:ln>
          <a:solidFill>
            <a:schemeClr val="bg1">
              <a:lumMod val="65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4940898345201"/>
          <c:y val="0.17027037037036999"/>
          <c:w val="0.64687187499999999"/>
          <c:h val="0.71118521216876396"/>
        </c:manualLayout>
      </c:layout>
      <c:barChart>
        <c:barDir val="col"/>
        <c:grouping val="percentStacked"/>
        <c:varyColors val="0"/>
        <c:ser>
          <c:idx val="4"/>
          <c:order val="0"/>
          <c:tx>
            <c:strRef>
              <c:f>A_EN!$I$275</c:f>
              <c:strCache>
                <c:ptCount val="1"/>
                <c:pt idx="0">
                  <c:v> ≥ 100 Mbit/s </c:v>
                </c:pt>
              </c:strCache>
            </c:strRef>
          </c:tx>
          <c:spPr>
            <a:solidFill>
              <a:srgbClr val="009BB4"/>
            </a:solidFill>
            <a:ln w="1905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4AE-46DE-8EE9-EA3A44D4874A}"/>
                </c:ext>
              </c:extLst>
            </c:dLbl>
            <c:dLbl>
              <c:idx val="1"/>
              <c:delete val="1"/>
              <c:extLst>
                <c:ext xmlns:c15="http://schemas.microsoft.com/office/drawing/2012/chart" uri="{CE6537A1-D6FC-4f65-9D91-7224C49458BB}"/>
                <c:ext xmlns:c16="http://schemas.microsoft.com/office/drawing/2014/chart" uri="{C3380CC4-5D6E-409C-BE32-E72D297353CC}">
                  <c16:uniqueId val="{00000001-14AE-46DE-8EE9-EA3A44D4874A}"/>
                </c:ext>
              </c:extLst>
            </c:dLbl>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A_EN!$H$276:$H$279</c:f>
              <c:strCache>
                <c:ptCount val="4"/>
                <c:pt idx="0">
                  <c:v>  xDSL</c:v>
                </c:pt>
                <c:pt idx="1">
                  <c:v>  Wi-Fi</c:v>
                </c:pt>
                <c:pt idx="2">
                  <c:v>  FTTx</c:v>
                </c:pt>
                <c:pt idx="3">
                  <c:v>  CATV</c:v>
                </c:pt>
              </c:strCache>
            </c:strRef>
          </c:cat>
          <c:val>
            <c:numRef>
              <c:f>A_EN!$I$276:$I$279</c:f>
              <c:numCache>
                <c:formatCode>#\ ##0.0</c:formatCode>
                <c:ptCount val="4"/>
                <c:pt idx="0">
                  <c:v>6.2E-2</c:v>
                </c:pt>
                <c:pt idx="1">
                  <c:v>19.821999999999999</c:v>
                </c:pt>
                <c:pt idx="2">
                  <c:v>170.87299999999999</c:v>
                </c:pt>
                <c:pt idx="3">
                  <c:v>437.76</c:v>
                </c:pt>
              </c:numCache>
            </c:numRef>
          </c:val>
          <c:extLst>
            <c:ext xmlns:c16="http://schemas.microsoft.com/office/drawing/2014/chart" uri="{C3380CC4-5D6E-409C-BE32-E72D297353CC}">
              <c16:uniqueId val="{00000002-14AE-46DE-8EE9-EA3A44D4874A}"/>
            </c:ext>
          </c:extLst>
        </c:ser>
        <c:ser>
          <c:idx val="1"/>
          <c:order val="1"/>
          <c:tx>
            <c:strRef>
              <c:f>A_EN!$J$275</c:f>
              <c:strCache>
                <c:ptCount val="1"/>
                <c:pt idx="0">
                  <c:v> 30–100 
Mbit/s</c:v>
                </c:pt>
              </c:strCache>
            </c:strRef>
          </c:tx>
          <c:spPr>
            <a:solidFill>
              <a:srgbClr val="00C5E9"/>
            </a:solidFill>
            <a:ln w="19050">
              <a:noFill/>
            </a:ln>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A_EN!$H$276:$H$279</c:f>
              <c:strCache>
                <c:ptCount val="4"/>
                <c:pt idx="0">
                  <c:v>  xDSL</c:v>
                </c:pt>
                <c:pt idx="1">
                  <c:v>  Wi-Fi</c:v>
                </c:pt>
                <c:pt idx="2">
                  <c:v>  FTTx</c:v>
                </c:pt>
                <c:pt idx="3">
                  <c:v>  CATV</c:v>
                </c:pt>
              </c:strCache>
            </c:strRef>
          </c:cat>
          <c:val>
            <c:numRef>
              <c:f>A_EN!$J$276:$J$279</c:f>
              <c:numCache>
                <c:formatCode>#\ ##0.0</c:formatCode>
                <c:ptCount val="4"/>
                <c:pt idx="0">
                  <c:v>113.22499999999999</c:v>
                </c:pt>
                <c:pt idx="1">
                  <c:v>251.524</c:v>
                </c:pt>
                <c:pt idx="2">
                  <c:v>226.10599999999999</c:v>
                </c:pt>
                <c:pt idx="3">
                  <c:v>86.150999999999996</c:v>
                </c:pt>
              </c:numCache>
            </c:numRef>
          </c:val>
          <c:extLst>
            <c:ext xmlns:c16="http://schemas.microsoft.com/office/drawing/2014/chart" uri="{C3380CC4-5D6E-409C-BE32-E72D297353CC}">
              <c16:uniqueId val="{00000003-14AE-46DE-8EE9-EA3A44D4874A}"/>
            </c:ext>
          </c:extLst>
        </c:ser>
        <c:ser>
          <c:idx val="0"/>
          <c:order val="2"/>
          <c:tx>
            <c:strRef>
              <c:f>A_EN!$K$275</c:f>
              <c:strCache>
                <c:ptCount val="1"/>
                <c:pt idx="0">
                  <c:v> 10–30 
Mbit/s</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A_EN!$H$276:$H$279</c:f>
              <c:strCache>
                <c:ptCount val="4"/>
                <c:pt idx="0">
                  <c:v>  xDSL</c:v>
                </c:pt>
                <c:pt idx="1">
                  <c:v>  Wi-Fi</c:v>
                </c:pt>
                <c:pt idx="2">
                  <c:v>  FTTx</c:v>
                </c:pt>
                <c:pt idx="3">
                  <c:v>  CATV</c:v>
                </c:pt>
              </c:strCache>
            </c:strRef>
          </c:cat>
          <c:val>
            <c:numRef>
              <c:f>A_EN!$K$276:$K$279</c:f>
              <c:numCache>
                <c:formatCode>#\ ##0.0</c:formatCode>
                <c:ptCount val="4"/>
                <c:pt idx="0">
                  <c:v>449.67699999999996</c:v>
                </c:pt>
                <c:pt idx="1">
                  <c:v>486.52</c:v>
                </c:pt>
                <c:pt idx="2">
                  <c:v>111.00699999999999</c:v>
                </c:pt>
                <c:pt idx="3">
                  <c:v>29.262</c:v>
                </c:pt>
              </c:numCache>
            </c:numRef>
          </c:val>
          <c:extLst>
            <c:ext xmlns:c16="http://schemas.microsoft.com/office/drawing/2014/chart" uri="{C3380CC4-5D6E-409C-BE32-E72D297353CC}">
              <c16:uniqueId val="{00000004-14AE-46DE-8EE9-EA3A44D4874A}"/>
            </c:ext>
          </c:extLst>
        </c:ser>
        <c:ser>
          <c:idx val="2"/>
          <c:order val="3"/>
          <c:tx>
            <c:strRef>
              <c:f>A_EN!$L$275</c:f>
              <c:strCache>
                <c:ptCount val="1"/>
                <c:pt idx="0">
                  <c:v> &lt; 10 Mbit/s </c:v>
                </c:pt>
              </c:strCache>
            </c:strRef>
          </c:tx>
          <c:spPr>
            <a:solidFill>
              <a:srgbClr val="ABF3FF"/>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14AE-46DE-8EE9-EA3A44D4874A}"/>
                </c:ext>
              </c:extLst>
            </c:dLbl>
            <c:dLbl>
              <c:idx val="3"/>
              <c:delete val="1"/>
              <c:extLst>
                <c:ext xmlns:c15="http://schemas.microsoft.com/office/drawing/2012/chart" uri="{CE6537A1-D6FC-4f65-9D91-7224C49458BB}"/>
                <c:ext xmlns:c16="http://schemas.microsoft.com/office/drawing/2014/chart" uri="{C3380CC4-5D6E-409C-BE32-E72D297353CC}">
                  <c16:uniqueId val="{00000006-14AE-46DE-8EE9-EA3A44D4874A}"/>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A_EN!$H$276:$H$279</c:f>
              <c:strCache>
                <c:ptCount val="4"/>
                <c:pt idx="0">
                  <c:v>  xDSL</c:v>
                </c:pt>
                <c:pt idx="1">
                  <c:v>  Wi-Fi</c:v>
                </c:pt>
                <c:pt idx="2">
                  <c:v>  FTTx</c:v>
                </c:pt>
                <c:pt idx="3">
                  <c:v>  CATV</c:v>
                </c:pt>
              </c:strCache>
            </c:strRef>
          </c:cat>
          <c:val>
            <c:numRef>
              <c:f>A_EN!$L$276:$L$279</c:f>
              <c:numCache>
                <c:formatCode>#\ ##0.0</c:formatCode>
                <c:ptCount val="4"/>
                <c:pt idx="0">
                  <c:v>341.39099999999996</c:v>
                </c:pt>
                <c:pt idx="1">
                  <c:v>309.73699999999997</c:v>
                </c:pt>
                <c:pt idx="2">
                  <c:v>14.565999999999999</c:v>
                </c:pt>
                <c:pt idx="3">
                  <c:v>10.101000000000001</c:v>
                </c:pt>
              </c:numCache>
            </c:numRef>
          </c:val>
          <c:extLst>
            <c:ext xmlns:c16="http://schemas.microsoft.com/office/drawing/2014/chart" uri="{C3380CC4-5D6E-409C-BE32-E72D297353CC}">
              <c16:uniqueId val="{00000007-14AE-46DE-8EE9-EA3A44D4874A}"/>
            </c:ext>
          </c:extLst>
        </c:ser>
        <c:dLbls>
          <c:showLegendKey val="0"/>
          <c:showVal val="0"/>
          <c:showCatName val="0"/>
          <c:showSerName val="0"/>
          <c:showPercent val="0"/>
          <c:showBubbleSize val="0"/>
        </c:dLbls>
        <c:gapWidth val="50"/>
        <c:overlap val="100"/>
        <c:axId val="153921024"/>
        <c:axId val="154092096"/>
      </c:barChart>
      <c:catAx>
        <c:axId val="153921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4092096"/>
        <c:crosses val="autoZero"/>
        <c:auto val="1"/>
        <c:lblAlgn val="ctr"/>
        <c:lblOffset val="100"/>
        <c:noMultiLvlLbl val="0"/>
      </c:catAx>
      <c:valAx>
        <c:axId val="154092096"/>
        <c:scaling>
          <c:orientation val="minMax"/>
          <c:max val="1"/>
          <c:min val="0"/>
        </c:scaling>
        <c:delete val="0"/>
        <c:axPos val="l"/>
        <c:majorGridlines>
          <c:spPr>
            <a:ln w="12700">
              <a:solidFill>
                <a:srgbClr val="A6A6A6">
                  <a:alpha val="39000"/>
                </a:srgbClr>
              </a:solidFill>
              <a:prstDash val="solid"/>
            </a:ln>
          </c:spPr>
        </c:majorGridlines>
        <c:numFmt formatCode="0%" sourceLinked="0"/>
        <c:majorTickMark val="out"/>
        <c:minorTickMark val="none"/>
        <c:tickLblPos val="nextTo"/>
        <c:spPr>
          <a:ln w="3175">
            <a:solidFill>
              <a:srgbClr val="C0C0C0"/>
            </a:solidFill>
            <a:prstDash val="solid"/>
          </a:ln>
        </c:spPr>
        <c:txPr>
          <a:bodyPr rot="0" vert="horz"/>
          <a:lstStyle/>
          <a:p>
            <a:pPr>
              <a:defRPr/>
            </a:pPr>
            <a:endParaRPr lang="cs-CZ"/>
          </a:p>
        </c:txPr>
        <c:crossAx val="153921024"/>
        <c:crosses val="autoZero"/>
        <c:crossBetween val="between"/>
        <c:majorUnit val="0.1"/>
        <c:minorUnit val="0.01"/>
      </c:valAx>
      <c:spPr>
        <a:noFill/>
        <a:ln w="12700">
          <a:noFill/>
          <a:prstDash val="solid"/>
        </a:ln>
      </c:spPr>
    </c:plotArea>
    <c:legend>
      <c:legendPos val="r"/>
      <c:layout>
        <c:manualLayout>
          <c:xMode val="edge"/>
          <c:yMode val="edge"/>
          <c:x val="0.78956354166666598"/>
          <c:y val="0.16997370370370399"/>
          <c:w val="0.19383109833971901"/>
          <c:h val="0.71922025761014796"/>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cs-CZ" sz="800"/>
              <a:t>Figure</a:t>
            </a:r>
            <a:r>
              <a:rPr lang="en-US" sz="800"/>
              <a:t> A1</a:t>
            </a:r>
            <a:r>
              <a:rPr lang="cs-CZ" sz="800"/>
              <a:t>8</a:t>
            </a:r>
            <a:r>
              <a:rPr lang="en-US" sz="800"/>
              <a:t> </a:t>
            </a:r>
            <a:r>
              <a:rPr lang="cs-CZ" sz="800"/>
              <a:t>Fixed broadband subscriptions with advertised maximum download speed 100 Mbit/s and more per 100 inhabitants in EU countries</a:t>
            </a:r>
            <a:endParaRPr lang="en-US" sz="800"/>
          </a:p>
        </c:rich>
      </c:tx>
      <c:layout>
        <c:manualLayout>
          <c:xMode val="edge"/>
          <c:yMode val="edge"/>
          <c:x val="0.10178609398256432"/>
          <c:y val="3.8807549832421941E-2"/>
        </c:manualLayout>
      </c:layout>
      <c:overlay val="0"/>
    </c:title>
    <c:autoTitleDeleted val="0"/>
    <c:plotArea>
      <c:layout>
        <c:manualLayout>
          <c:layoutTarget val="inner"/>
          <c:xMode val="edge"/>
          <c:yMode val="edge"/>
          <c:x val="6.1240466798159102E-2"/>
          <c:y val="0.147937254901961"/>
          <c:w val="0.91664217619986899"/>
          <c:h val="0.58765849673202597"/>
        </c:manualLayout>
      </c:layout>
      <c:barChart>
        <c:barDir val="col"/>
        <c:grouping val="clustered"/>
        <c:varyColors val="0"/>
        <c:ser>
          <c:idx val="0"/>
          <c:order val="0"/>
          <c:tx>
            <c:strRef>
              <c:f>A_EN!$C$316</c:f>
              <c:strCache>
                <c:ptCount val="1"/>
                <c:pt idx="0">
                  <c:v> 2016</c:v>
                </c:pt>
              </c:strCache>
            </c:strRef>
          </c:tx>
          <c:spPr>
            <a:solidFill>
              <a:srgbClr val="009BB4"/>
            </a:solidFill>
          </c:spPr>
          <c:invertIfNegative val="0"/>
          <c:dPt>
            <c:idx val="10"/>
            <c:invertIfNegative val="0"/>
            <c:bubble3D val="0"/>
            <c:spPr>
              <a:solidFill>
                <a:srgbClr val="009BB4"/>
              </a:solidFill>
              <a:ln>
                <a:noFill/>
              </a:ln>
            </c:spPr>
            <c:extLst>
              <c:ext xmlns:c16="http://schemas.microsoft.com/office/drawing/2014/chart" uri="{C3380CC4-5D6E-409C-BE32-E72D297353CC}">
                <c16:uniqueId val="{00000001-98FD-4B10-9C45-4C5B7E396C5D}"/>
              </c:ext>
            </c:extLst>
          </c:dPt>
          <c:dPt>
            <c:idx val="13"/>
            <c:invertIfNegative val="0"/>
            <c:bubble3D val="0"/>
            <c:spPr>
              <a:solidFill>
                <a:srgbClr val="009BB4"/>
              </a:solidFill>
              <a:ln>
                <a:solidFill>
                  <a:srgbClr val="FF0000"/>
                </a:solidFill>
              </a:ln>
            </c:spPr>
            <c:extLst>
              <c:ext xmlns:c16="http://schemas.microsoft.com/office/drawing/2014/chart" uri="{C3380CC4-5D6E-409C-BE32-E72D297353CC}">
                <c16:uniqueId val="{00000003-98FD-4B10-9C45-4C5B7E396C5D}"/>
              </c:ext>
            </c:extLst>
          </c:dPt>
          <c:dPt>
            <c:idx val="14"/>
            <c:invertIfNegative val="0"/>
            <c:bubble3D val="0"/>
            <c:spPr>
              <a:solidFill>
                <a:srgbClr val="009BB4"/>
              </a:solidFill>
              <a:ln>
                <a:solidFill>
                  <a:srgbClr val="FF0000"/>
                </a:solidFill>
              </a:ln>
            </c:spPr>
            <c:extLst>
              <c:ext xmlns:c16="http://schemas.microsoft.com/office/drawing/2014/chart" uri="{C3380CC4-5D6E-409C-BE32-E72D297353CC}">
                <c16:uniqueId val="{00000005-98FD-4B10-9C45-4C5B7E396C5D}"/>
              </c:ext>
            </c:extLst>
          </c:dPt>
          <c:dPt>
            <c:idx val="19"/>
            <c:invertIfNegative val="0"/>
            <c:bubble3D val="0"/>
            <c:spPr>
              <a:solidFill>
                <a:srgbClr val="009BB4"/>
              </a:solidFill>
              <a:ln>
                <a:noFill/>
              </a:ln>
            </c:spPr>
            <c:extLst>
              <c:ext xmlns:c16="http://schemas.microsoft.com/office/drawing/2014/chart" uri="{C3380CC4-5D6E-409C-BE32-E72D297353CC}">
                <c16:uniqueId val="{00000007-98FD-4B10-9C45-4C5B7E396C5D}"/>
              </c:ext>
            </c:extLst>
          </c:dPt>
          <c:dLbls>
            <c:dLbl>
              <c:idx val="15"/>
              <c:layout>
                <c:manualLayout>
                  <c:x val="0"/>
                  <c:y val="8.76758169934641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8FD-4B10-9C45-4C5B7E396C5D}"/>
                </c:ext>
              </c:extLst>
            </c:dLbl>
            <c:dLbl>
              <c:idx val="16"/>
              <c:layout>
                <c:manualLayout>
                  <c:x val="-7.6538673127505804E-17"/>
                  <c:y val="-3.6313725490196799E-3"/>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8FD-4B10-9C45-4C5B7E396C5D}"/>
                </c:ext>
              </c:extLst>
            </c:dLbl>
            <c:dLbl>
              <c:idx val="17"/>
              <c:layout>
                <c:manualLayout>
                  <c:x val="0"/>
                  <c:y val="5.1895424836601305E-4"/>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8FD-4B10-9C45-4C5B7E396C5D}"/>
                </c:ext>
              </c:extLst>
            </c:dLbl>
            <c:dLbl>
              <c:idx val="18"/>
              <c:layout>
                <c:manualLayout>
                  <c:x val="-1.5307734625501001E-16"/>
                  <c:y val="-3.6313725490196101E-3"/>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8FD-4B10-9C45-4C5B7E396C5D}"/>
                </c:ext>
              </c:extLst>
            </c:dLbl>
            <c:dLbl>
              <c:idx val="19"/>
              <c:layout>
                <c:manualLayout>
                  <c:x val="-7.6538673127505804E-17"/>
                  <c:y val="-1.41601307189542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8FD-4B10-9C45-4C5B7E396C5D}"/>
                </c:ext>
              </c:extLst>
            </c:dLbl>
            <c:dLbl>
              <c:idx val="20"/>
              <c:layout>
                <c:manualLayout>
                  <c:x val="0"/>
                  <c:y val="5.4669934640522904E-3"/>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8FD-4B10-9C45-4C5B7E396C5D}"/>
                </c:ext>
              </c:extLst>
            </c:dLbl>
            <c:dLbl>
              <c:idx val="21"/>
              <c:layout>
                <c:manualLayout>
                  <c:x val="-1.64365549134011E-7"/>
                  <c:y val="2.74183006535948E-4"/>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8FD-4B10-9C45-4C5B7E396C5D}"/>
                </c:ext>
              </c:extLst>
            </c:dLbl>
            <c:dLbl>
              <c:idx val="22"/>
              <c:layout>
                <c:manualLayout>
                  <c:x val="0"/>
                  <c:y val="-3.4159803921568602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8FD-4B10-9C45-4C5B7E396C5D}"/>
                </c:ext>
              </c:extLst>
            </c:dLbl>
            <c:dLbl>
              <c:idx val="23"/>
              <c:layout>
                <c:manualLayout>
                  <c:x val="-2.0874424720578599E-3"/>
                  <c:y val="-3.8762091503268002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8FD-4B10-9C45-4C5B7E396C5D}"/>
                </c:ext>
              </c:extLst>
            </c:dLbl>
            <c:dLbl>
              <c:idx val="24"/>
              <c:layout>
                <c:manualLayout>
                  <c:x val="-2.08744247205801E-3"/>
                  <c:y val="-4.3949019607843101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8FD-4B10-9C45-4C5B7E396C5D}"/>
                </c:ext>
              </c:extLst>
            </c:dLbl>
            <c:dLbl>
              <c:idx val="25"/>
              <c:layout>
                <c:manualLayout>
                  <c:x val="-1.5307734625501001E-16"/>
                  <c:y val="-4.4683333333333297E-2"/>
                </c:manualLayout>
              </c:layout>
              <c:numFmt formatCode="#,##0.0" sourceLinked="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8FD-4B10-9C45-4C5B7E396C5D}"/>
                </c:ext>
              </c:extLst>
            </c:dLbl>
            <c:dLbl>
              <c:idx val="26"/>
              <c:numFmt formatCode="#,##0.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2-98FD-4B10-9C45-4C5B7E396C5D}"/>
                </c:ext>
              </c:extLst>
            </c:dLbl>
            <c:dLbl>
              <c:idx val="27"/>
              <c:numFmt formatCode="#,##0.0" sourceLinked="0"/>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3-98FD-4B10-9C45-4C5B7E396C5D}"/>
                </c:ext>
              </c:extLst>
            </c:dLbl>
            <c:numFmt formatCode="#,##0.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A_EN!$B$317:$B$345</c:f>
              <c:strCache>
                <c:ptCount val="29"/>
                <c:pt idx="0">
                  <c:v>Sweden</c:v>
                </c:pt>
                <c:pt idx="1">
                  <c:v>Belgium</c:v>
                </c:pt>
                <c:pt idx="2">
                  <c:v>Netherlands</c:v>
                </c:pt>
                <c:pt idx="3">
                  <c:v>Portugalsko</c:v>
                </c:pt>
                <c:pt idx="4">
                  <c:v>Latvia</c:v>
                </c:pt>
                <c:pt idx="5">
                  <c:v>Romania</c:v>
                </c:pt>
                <c:pt idx="6">
                  <c:v>Hungary</c:v>
                </c:pt>
                <c:pt idx="7">
                  <c:v>Finland</c:v>
                </c:pt>
                <c:pt idx="8">
                  <c:v>Lithuania</c:v>
                </c:pt>
                <c:pt idx="9">
                  <c:v>Spain</c:v>
                </c:pt>
                <c:pt idx="10">
                  <c:v>Denmark</c:v>
                </c:pt>
                <c:pt idx="11">
                  <c:v>Luxembourg</c:v>
                </c:pt>
                <c:pt idx="12">
                  <c:v>Ireland</c:v>
                </c:pt>
                <c:pt idx="13">
                  <c:v>Czech Republic</c:v>
                </c:pt>
                <c:pt idx="14">
                  <c:v>EU28</c:v>
                </c:pt>
                <c:pt idx="15">
                  <c:v>France</c:v>
                </c:pt>
                <c:pt idx="16">
                  <c:v>United Kingdom</c:v>
                </c:pt>
                <c:pt idx="17">
                  <c:v>Slovenia</c:v>
                </c:pt>
                <c:pt idx="18">
                  <c:v>Germany</c:v>
                </c:pt>
                <c:pt idx="19">
                  <c:v>Estonia</c:v>
                </c:pt>
                <c:pt idx="20">
                  <c:v>Poland</c:v>
                </c:pt>
                <c:pt idx="21">
                  <c:v>Slovakia</c:v>
                </c:pt>
                <c:pt idx="22">
                  <c:v>Malta</c:v>
                </c:pt>
                <c:pt idx="23">
                  <c:v>Bulgaria</c:v>
                </c:pt>
                <c:pt idx="24">
                  <c:v>Austria</c:v>
                </c:pt>
                <c:pt idx="25">
                  <c:v>Italy</c:v>
                </c:pt>
                <c:pt idx="26">
                  <c:v>Croatia</c:v>
                </c:pt>
                <c:pt idx="27">
                  <c:v>Cyprus</c:v>
                </c:pt>
                <c:pt idx="28">
                  <c:v>Greece</c:v>
                </c:pt>
              </c:strCache>
            </c:strRef>
          </c:cat>
          <c:val>
            <c:numRef>
              <c:f>A_EN!$C$317:$C$345</c:f>
              <c:numCache>
                <c:formatCode>0.0</c:formatCode>
                <c:ptCount val="29"/>
                <c:pt idx="0">
                  <c:v>22.098118539000001</c:v>
                </c:pt>
                <c:pt idx="1">
                  <c:v>17.9522079975</c:v>
                </c:pt>
                <c:pt idx="2">
                  <c:v>14.3215545246</c:v>
                </c:pt>
                <c:pt idx="3">
                  <c:v>14.063973671999999</c:v>
                </c:pt>
                <c:pt idx="4">
                  <c:v>12.8048315824</c:v>
                </c:pt>
                <c:pt idx="5">
                  <c:v>12.2320764829</c:v>
                </c:pt>
                <c:pt idx="6">
                  <c:v>9.5730419383999994</c:v>
                </c:pt>
                <c:pt idx="7">
                  <c:v>8.8266655491999995</c:v>
                </c:pt>
                <c:pt idx="8">
                  <c:v>7.9659408527999869</c:v>
                </c:pt>
                <c:pt idx="9">
                  <c:v>7.3085994563999899</c:v>
                </c:pt>
                <c:pt idx="10">
                  <c:v>7.3068975671999867</c:v>
                </c:pt>
                <c:pt idx="11">
                  <c:v>6.6898372127999997</c:v>
                </c:pt>
                <c:pt idx="12">
                  <c:v>6.4529956271999858</c:v>
                </c:pt>
                <c:pt idx="13">
                  <c:v>5.9565861</c:v>
                </c:pt>
                <c:pt idx="14">
                  <c:v>5.927045734561128</c:v>
                </c:pt>
                <c:pt idx="15">
                  <c:v>5.3002810763999859</c:v>
                </c:pt>
                <c:pt idx="16">
                  <c:v>5.2370409887999996</c:v>
                </c:pt>
                <c:pt idx="17">
                  <c:v>4.6440543545999828</c:v>
                </c:pt>
                <c:pt idx="18">
                  <c:v>4.2824674256000002</c:v>
                </c:pt>
                <c:pt idx="19">
                  <c:v>3.635090885399999</c:v>
                </c:pt>
                <c:pt idx="20">
                  <c:v>3.2341315500000012</c:v>
                </c:pt>
                <c:pt idx="21">
                  <c:v>3.189783046800001</c:v>
                </c:pt>
                <c:pt idx="22">
                  <c:v>2.4311518562800001</c:v>
                </c:pt>
                <c:pt idx="23">
                  <c:v>2.2353517620000001</c:v>
                </c:pt>
                <c:pt idx="24">
                  <c:v>1.30845132652</c:v>
                </c:pt>
                <c:pt idx="25">
                  <c:v>0.74753086296000004</c:v>
                </c:pt>
                <c:pt idx="26">
                  <c:v>0.33815554063999997</c:v>
                </c:pt>
                <c:pt idx="27">
                  <c:v>6.8959954492E-2</c:v>
                </c:pt>
                <c:pt idx="28">
                  <c:v>5.2161040313999998E-3</c:v>
                </c:pt>
              </c:numCache>
            </c:numRef>
          </c:val>
          <c:extLst>
            <c:ext xmlns:c16="http://schemas.microsoft.com/office/drawing/2014/chart" uri="{C3380CC4-5D6E-409C-BE32-E72D297353CC}">
              <c16:uniqueId val="{00000014-98FD-4B10-9C45-4C5B7E396C5D}"/>
            </c:ext>
          </c:extLst>
        </c:ser>
        <c:dLbls>
          <c:showLegendKey val="0"/>
          <c:showVal val="0"/>
          <c:showCatName val="0"/>
          <c:showSerName val="0"/>
          <c:showPercent val="0"/>
          <c:showBubbleSize val="0"/>
        </c:dLbls>
        <c:gapWidth val="50"/>
        <c:axId val="165274112"/>
        <c:axId val="154094400"/>
      </c:barChart>
      <c:barChart>
        <c:barDir val="col"/>
        <c:grouping val="clustered"/>
        <c:varyColors val="0"/>
        <c:ser>
          <c:idx val="1"/>
          <c:order val="1"/>
          <c:tx>
            <c:strRef>
              <c:f>A_EN!$D$316</c:f>
              <c:strCache>
                <c:ptCount val="1"/>
                <c:pt idx="0">
                  <c:v> 2013</c:v>
                </c:pt>
              </c:strCache>
            </c:strRef>
          </c:tx>
          <c:spPr>
            <a:solidFill>
              <a:srgbClr val="47E5FF"/>
            </a:solidFill>
          </c:spPr>
          <c:invertIfNegative val="0"/>
          <c:dLbls>
            <c:dLbl>
              <c:idx val="13"/>
              <c:layout>
                <c:manualLayout>
                  <c:x val="-7.6538673127505804E-17"/>
                  <c:y val="3.672124183006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8FD-4B10-9C45-4C5B7E396C5D}"/>
                </c:ext>
              </c:extLst>
            </c:dLbl>
            <c:dLbl>
              <c:idx val="14"/>
              <c:layout>
                <c:manualLayout>
                  <c:x val="0"/>
                  <c:y val="5.37297385620914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98FD-4B10-9C45-4C5B7E396C5D}"/>
                </c:ext>
              </c:extLst>
            </c:dLbl>
            <c:dLbl>
              <c:idx val="15"/>
              <c:layout>
                <c:manualLayout>
                  <c:x val="0"/>
                  <c:y val="6.03797385620915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98FD-4B10-9C45-4C5B7E396C5D}"/>
                </c:ext>
              </c:extLst>
            </c:dLbl>
            <c:dLbl>
              <c:idx val="18"/>
              <c:layout>
                <c:manualLayout>
                  <c:x val="-7.6538673127505804E-17"/>
                  <c:y val="2.55483660130719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98FD-4B10-9C45-4C5B7E396C5D}"/>
                </c:ext>
              </c:extLst>
            </c:dLbl>
            <c:dLbl>
              <c:idx val="19"/>
              <c:layout>
                <c:manualLayout>
                  <c:x val="-7.6538673127505804E-17"/>
                  <c:y val="3.909215686274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98FD-4B10-9C45-4C5B7E396C5D}"/>
                </c:ext>
              </c:extLst>
            </c:dLbl>
            <c:dLbl>
              <c:idx val="20"/>
              <c:layout>
                <c:manualLayout>
                  <c:x val="2.0874424720578599E-3"/>
                  <c:y val="1.79143790849673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98FD-4B10-9C45-4C5B7E396C5D}"/>
                </c:ext>
              </c:extLst>
            </c:dLbl>
            <c:dLbl>
              <c:idx val="25"/>
              <c:layout>
                <c:manualLayout>
                  <c:x val="2.08744247205801E-3"/>
                  <c:y val="1.0383660130718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98FD-4B10-9C45-4C5B7E396C5D}"/>
                </c:ext>
              </c:extLst>
            </c:dLbl>
            <c:dLbl>
              <c:idx val="27"/>
              <c:delete val="1"/>
              <c:extLst>
                <c:ext xmlns:c15="http://schemas.microsoft.com/office/drawing/2012/chart" uri="{CE6537A1-D6FC-4f65-9D91-7224C49458BB}"/>
                <c:ext xmlns:c16="http://schemas.microsoft.com/office/drawing/2014/chart" uri="{C3380CC4-5D6E-409C-BE32-E72D297353CC}">
                  <c16:uniqueId val="{0000001C-98FD-4B10-9C45-4C5B7E396C5D}"/>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A_EN!$B$317:$B$345</c:f>
              <c:strCache>
                <c:ptCount val="29"/>
                <c:pt idx="0">
                  <c:v>Sweden</c:v>
                </c:pt>
                <c:pt idx="1">
                  <c:v>Belgium</c:v>
                </c:pt>
                <c:pt idx="2">
                  <c:v>Netherlands</c:v>
                </c:pt>
                <c:pt idx="3">
                  <c:v>Portugalsko</c:v>
                </c:pt>
                <c:pt idx="4">
                  <c:v>Latvia</c:v>
                </c:pt>
                <c:pt idx="5">
                  <c:v>Romania</c:v>
                </c:pt>
                <c:pt idx="6">
                  <c:v>Hungary</c:v>
                </c:pt>
                <c:pt idx="7">
                  <c:v>Finland</c:v>
                </c:pt>
                <c:pt idx="8">
                  <c:v>Lithuania</c:v>
                </c:pt>
                <c:pt idx="9">
                  <c:v>Spain</c:v>
                </c:pt>
                <c:pt idx="10">
                  <c:v>Denmark</c:v>
                </c:pt>
                <c:pt idx="11">
                  <c:v>Luxembourg</c:v>
                </c:pt>
                <c:pt idx="12">
                  <c:v>Ireland</c:v>
                </c:pt>
                <c:pt idx="13">
                  <c:v>Czech Republic</c:v>
                </c:pt>
                <c:pt idx="14">
                  <c:v>EU28</c:v>
                </c:pt>
                <c:pt idx="15">
                  <c:v>France</c:v>
                </c:pt>
                <c:pt idx="16">
                  <c:v>United Kingdom</c:v>
                </c:pt>
                <c:pt idx="17">
                  <c:v>Slovenia</c:v>
                </c:pt>
                <c:pt idx="18">
                  <c:v>Germany</c:v>
                </c:pt>
                <c:pt idx="19">
                  <c:v>Estonia</c:v>
                </c:pt>
                <c:pt idx="20">
                  <c:v>Poland</c:v>
                </c:pt>
                <c:pt idx="21">
                  <c:v>Slovakia</c:v>
                </c:pt>
                <c:pt idx="22">
                  <c:v>Malta</c:v>
                </c:pt>
                <c:pt idx="23">
                  <c:v>Bulgaria</c:v>
                </c:pt>
                <c:pt idx="24">
                  <c:v>Austria</c:v>
                </c:pt>
                <c:pt idx="25">
                  <c:v>Italy</c:v>
                </c:pt>
                <c:pt idx="26">
                  <c:v>Croatia</c:v>
                </c:pt>
                <c:pt idx="27">
                  <c:v>Cyprus</c:v>
                </c:pt>
                <c:pt idx="28">
                  <c:v>Greece</c:v>
                </c:pt>
              </c:strCache>
            </c:strRef>
          </c:cat>
          <c:val>
            <c:numRef>
              <c:f>A_EN!$D$317:$D$345</c:f>
              <c:numCache>
                <c:formatCode>0.0</c:formatCode>
                <c:ptCount val="29"/>
                <c:pt idx="0">
                  <c:v>10.303332504</c:v>
                </c:pt>
                <c:pt idx="1">
                  <c:v>4.5449825777999759</c:v>
                </c:pt>
                <c:pt idx="2">
                  <c:v>3.7860390024600008</c:v>
                </c:pt>
                <c:pt idx="3">
                  <c:v>4.6377379418999869</c:v>
                </c:pt>
                <c:pt idx="4">
                  <c:v>8.7740425601999998</c:v>
                </c:pt>
                <c:pt idx="5">
                  <c:v>4.665518444999984</c:v>
                </c:pt>
                <c:pt idx="6">
                  <c:v>0.95248879509999995</c:v>
                </c:pt>
                <c:pt idx="7">
                  <c:v>4.9312404930000104</c:v>
                </c:pt>
                <c:pt idx="8">
                  <c:v>2.4827643084400002</c:v>
                </c:pt>
                <c:pt idx="9">
                  <c:v>1.53851838</c:v>
                </c:pt>
                <c:pt idx="10">
                  <c:v>0.68740835157000002</c:v>
                </c:pt>
                <c:pt idx="11">
                  <c:v>0.45942300270000003</c:v>
                </c:pt>
                <c:pt idx="12">
                  <c:v>1.9570971775899999</c:v>
                </c:pt>
                <c:pt idx="13">
                  <c:v>1.0324945332</c:v>
                </c:pt>
                <c:pt idx="14">
                  <c:v>1.5795134297597451</c:v>
                </c:pt>
                <c:pt idx="15">
                  <c:v>2.0389777443899999</c:v>
                </c:pt>
                <c:pt idx="16">
                  <c:v>0.48166761708</c:v>
                </c:pt>
                <c:pt idx="17">
                  <c:v>1.0953676803200001</c:v>
                </c:pt>
                <c:pt idx="18">
                  <c:v>0.91030412364000002</c:v>
                </c:pt>
                <c:pt idx="19">
                  <c:v>1.1333628363199999</c:v>
                </c:pt>
                <c:pt idx="20">
                  <c:v>0.40899013491000002</c:v>
                </c:pt>
                <c:pt idx="21">
                  <c:v>1.7090254235</c:v>
                </c:pt>
                <c:pt idx="22">
                  <c:v>0.22920480975599999</c:v>
                </c:pt>
                <c:pt idx="23">
                  <c:v>0.58693041239999999</c:v>
                </c:pt>
                <c:pt idx="24">
                  <c:v>0.55824418404999998</c:v>
                </c:pt>
                <c:pt idx="25">
                  <c:v>8.8618268397999994E-2</c:v>
                </c:pt>
                <c:pt idx="27">
                  <c:v>1.6200484679899999E-2</c:v>
                </c:pt>
              </c:numCache>
            </c:numRef>
          </c:val>
          <c:extLst>
            <c:ext xmlns:c16="http://schemas.microsoft.com/office/drawing/2014/chart" uri="{C3380CC4-5D6E-409C-BE32-E72D297353CC}">
              <c16:uniqueId val="{0000001D-98FD-4B10-9C45-4C5B7E396C5D}"/>
            </c:ext>
          </c:extLst>
        </c:ser>
        <c:dLbls>
          <c:showLegendKey val="0"/>
          <c:showVal val="0"/>
          <c:showCatName val="0"/>
          <c:showSerName val="0"/>
          <c:showPercent val="0"/>
          <c:showBubbleSize val="0"/>
        </c:dLbls>
        <c:gapWidth val="200"/>
        <c:axId val="165275648"/>
        <c:axId val="154094976"/>
      </c:barChart>
      <c:catAx>
        <c:axId val="165274112"/>
        <c:scaling>
          <c:orientation val="minMax"/>
        </c:scaling>
        <c:delete val="0"/>
        <c:axPos val="b"/>
        <c:numFmt formatCode="General" sourceLinked="0"/>
        <c:majorTickMark val="out"/>
        <c:minorTickMark val="none"/>
        <c:tickLblPos val="nextTo"/>
        <c:spPr>
          <a:ln w="3175">
            <a:solidFill>
              <a:schemeClr val="tx1"/>
            </a:solidFill>
          </a:ln>
        </c:spPr>
        <c:crossAx val="154094400"/>
        <c:crosses val="autoZero"/>
        <c:auto val="1"/>
        <c:lblAlgn val="ctr"/>
        <c:lblOffset val="100"/>
        <c:noMultiLvlLbl val="0"/>
      </c:catAx>
      <c:valAx>
        <c:axId val="154094400"/>
        <c:scaling>
          <c:orientation val="minMax"/>
          <c:max val="25"/>
          <c:min val="0"/>
        </c:scaling>
        <c:delete val="1"/>
        <c:axPos val="l"/>
        <c:numFmt formatCode="#,##0" sourceLinked="0"/>
        <c:majorTickMark val="out"/>
        <c:minorTickMark val="none"/>
        <c:tickLblPos val="nextTo"/>
        <c:crossAx val="165274112"/>
        <c:crosses val="autoZero"/>
        <c:crossBetween val="between"/>
        <c:majorUnit val="5"/>
        <c:minorUnit val="0.05"/>
      </c:valAx>
      <c:valAx>
        <c:axId val="154094976"/>
        <c:scaling>
          <c:orientation val="minMax"/>
          <c:max val="25"/>
        </c:scaling>
        <c:delete val="0"/>
        <c:axPos val="r"/>
        <c:numFmt formatCode="0.0" sourceLinked="1"/>
        <c:majorTickMark val="none"/>
        <c:minorTickMark val="none"/>
        <c:tickLblPos val="none"/>
        <c:crossAx val="165275648"/>
        <c:crosses val="max"/>
        <c:crossBetween val="between"/>
      </c:valAx>
      <c:catAx>
        <c:axId val="165275648"/>
        <c:scaling>
          <c:orientation val="minMax"/>
        </c:scaling>
        <c:delete val="1"/>
        <c:axPos val="b"/>
        <c:numFmt formatCode="General" sourceLinked="0"/>
        <c:majorTickMark val="out"/>
        <c:minorTickMark val="none"/>
        <c:tickLblPos val="none"/>
        <c:crossAx val="15409497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299"/>
          <c:y val="0.21184803921568601"/>
          <c:w val="7.1111932938855996E-2"/>
          <c:h val="0.116382098765432"/>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 A19 Mobile broadband subscriptions in the Czech Republic</a:t>
            </a:r>
            <a:endParaRPr lang="en-US" sz="800" b="1" strike="sngStrike" baseline="0">
              <a:solidFill>
                <a:srgbClr val="FF0000"/>
              </a:solidFill>
            </a:endParaRPr>
          </a:p>
        </c:rich>
      </c:tx>
      <c:layout>
        <c:manualLayout>
          <c:xMode val="edge"/>
          <c:yMode val="edge"/>
          <c:x val="0.1168369708994709"/>
          <c:y val="1.0080645161290322E-2"/>
        </c:manualLayout>
      </c:layout>
      <c:overlay val="1"/>
    </c:title>
    <c:autoTitleDeleted val="0"/>
    <c:plotArea>
      <c:layout>
        <c:manualLayout>
          <c:layoutTarget val="inner"/>
          <c:xMode val="edge"/>
          <c:yMode val="edge"/>
          <c:x val="2.2538872296135399E-2"/>
          <c:y val="0.15293293650793699"/>
          <c:w val="0.95492225540772901"/>
          <c:h val="0.64734206349206302"/>
        </c:manualLayout>
      </c:layout>
      <c:barChart>
        <c:barDir val="col"/>
        <c:grouping val="clustered"/>
        <c:varyColors val="0"/>
        <c:ser>
          <c:idx val="2"/>
          <c:order val="0"/>
          <c:tx>
            <c:strRef>
              <c:f>A_EN!$A$349</c:f>
              <c:strCache>
                <c:ptCount val="1"/>
                <c:pt idx="0">
                  <c:v>thousands</c:v>
                </c:pt>
              </c:strCache>
            </c:strRef>
          </c:tx>
          <c:spPr>
            <a:solidFill>
              <a:srgbClr val="009BB4"/>
            </a:solidFill>
            <a:ln w="25400">
              <a:noFill/>
            </a:ln>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A_EN!$B$348:$F$348</c:f>
              <c:numCache>
                <c:formatCode>General</c:formatCode>
                <c:ptCount val="5"/>
                <c:pt idx="0">
                  <c:v>2012</c:v>
                </c:pt>
                <c:pt idx="1">
                  <c:v>2013</c:v>
                </c:pt>
                <c:pt idx="2">
                  <c:v>2014</c:v>
                </c:pt>
                <c:pt idx="3">
                  <c:v>2015</c:v>
                </c:pt>
                <c:pt idx="4">
                  <c:v>2016</c:v>
                </c:pt>
              </c:numCache>
            </c:numRef>
          </c:cat>
          <c:val>
            <c:numRef>
              <c:f>A_EN!$B$349:$F$349</c:f>
              <c:numCache>
                <c:formatCode>#,##0.00</c:formatCode>
                <c:ptCount val="5"/>
                <c:pt idx="0">
                  <c:v>4643</c:v>
                </c:pt>
                <c:pt idx="1">
                  <c:v>5949.9160000000002</c:v>
                </c:pt>
                <c:pt idx="2">
                  <c:v>7164.6231710000002</c:v>
                </c:pt>
                <c:pt idx="3">
                  <c:v>7917.6924100000006</c:v>
                </c:pt>
                <c:pt idx="4">
                  <c:v>8530.1409999999905</c:v>
                </c:pt>
              </c:numCache>
            </c:numRef>
          </c:val>
          <c:extLst>
            <c:ext xmlns:c16="http://schemas.microsoft.com/office/drawing/2014/chart" uri="{C3380CC4-5D6E-409C-BE32-E72D297353CC}">
              <c16:uniqueId val="{00000000-2ECC-4BAE-BF50-16285373C1C0}"/>
            </c:ext>
          </c:extLst>
        </c:ser>
        <c:dLbls>
          <c:showLegendKey val="0"/>
          <c:showVal val="0"/>
          <c:showCatName val="0"/>
          <c:showSerName val="0"/>
          <c:showPercent val="0"/>
          <c:showBubbleSize val="0"/>
        </c:dLbls>
        <c:gapWidth val="40"/>
        <c:axId val="165274624"/>
        <c:axId val="154096128"/>
      </c:barChart>
      <c:lineChart>
        <c:grouping val="standard"/>
        <c:varyColors val="0"/>
        <c:ser>
          <c:idx val="0"/>
          <c:order val="1"/>
          <c:tx>
            <c:strRef>
              <c:f>A_EN!$A$350</c:f>
              <c:strCache>
                <c:ptCount val="1"/>
                <c:pt idx="0">
                  <c:v>per 100 inhabitants</c:v>
                </c:pt>
              </c:strCache>
            </c:strRef>
          </c:tx>
          <c:spPr>
            <a:ln w="12700">
              <a:solidFill>
                <a:srgbClr val="009BB4"/>
              </a:solidFill>
            </a:ln>
          </c:spPr>
          <c:marker>
            <c:symbol val="diamond"/>
            <c:size val="4"/>
            <c:spPr>
              <a:solidFill>
                <a:srgbClr val="47E5FF"/>
              </a:solidFill>
              <a:ln w="12700">
                <a:solidFill>
                  <a:srgbClr val="009BB4"/>
                </a:solidFill>
              </a:ln>
            </c:spPr>
          </c:marker>
          <c:dLbls>
            <c:dLbl>
              <c:idx val="2"/>
              <c:layout>
                <c:manualLayout>
                  <c:x val="-0.10410119047619"/>
                  <c:y val="-2.56896825396824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ECC-4BAE-BF50-16285373C1C0}"/>
                </c:ext>
              </c:extLst>
            </c:dLbl>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A_EN!$B$348:$F$348</c:f>
              <c:numCache>
                <c:formatCode>General</c:formatCode>
                <c:ptCount val="5"/>
                <c:pt idx="0">
                  <c:v>2012</c:v>
                </c:pt>
                <c:pt idx="1">
                  <c:v>2013</c:v>
                </c:pt>
                <c:pt idx="2">
                  <c:v>2014</c:v>
                </c:pt>
                <c:pt idx="3">
                  <c:v>2015</c:v>
                </c:pt>
                <c:pt idx="4">
                  <c:v>2016</c:v>
                </c:pt>
              </c:numCache>
            </c:numRef>
          </c:cat>
          <c:val>
            <c:numRef>
              <c:f>A_EN!$B$350:$F$350</c:f>
              <c:numCache>
                <c:formatCode>0.0</c:formatCode>
                <c:ptCount val="5"/>
                <c:pt idx="0">
                  <c:v>44.151243923022953</c:v>
                </c:pt>
                <c:pt idx="1">
                  <c:v>56.59892361596318</c:v>
                </c:pt>
                <c:pt idx="2">
                  <c:v>67.986678759094673</c:v>
                </c:pt>
                <c:pt idx="3">
                  <c:v>75.021889277678284</c:v>
                </c:pt>
                <c:pt idx="4">
                  <c:v>80.634144450893402</c:v>
                </c:pt>
              </c:numCache>
            </c:numRef>
          </c:val>
          <c:smooth val="0"/>
          <c:extLst>
            <c:ext xmlns:c16="http://schemas.microsoft.com/office/drawing/2014/chart" uri="{C3380CC4-5D6E-409C-BE32-E72D297353CC}">
              <c16:uniqueId val="{00000002-2ECC-4BAE-BF50-16285373C1C0}"/>
            </c:ext>
          </c:extLst>
        </c:ser>
        <c:dLbls>
          <c:showLegendKey val="0"/>
          <c:showVal val="0"/>
          <c:showCatName val="0"/>
          <c:showSerName val="0"/>
          <c:showPercent val="0"/>
          <c:showBubbleSize val="0"/>
        </c:dLbls>
        <c:marker val="1"/>
        <c:smooth val="0"/>
        <c:axId val="165276672"/>
        <c:axId val="154096704"/>
      </c:lineChart>
      <c:catAx>
        <c:axId val="165274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4096128"/>
        <c:crosses val="autoZero"/>
        <c:auto val="1"/>
        <c:lblAlgn val="ctr"/>
        <c:lblOffset val="140"/>
        <c:tickLblSkip val="1"/>
        <c:tickMarkSkip val="1"/>
        <c:noMultiLvlLbl val="0"/>
      </c:catAx>
      <c:valAx>
        <c:axId val="154096128"/>
        <c:scaling>
          <c:orientation val="minMax"/>
          <c:max val="12000"/>
          <c:min val="0"/>
        </c:scaling>
        <c:delete val="0"/>
        <c:axPos val="l"/>
        <c:numFmt formatCode="#,##0.00" sourceLinked="1"/>
        <c:majorTickMark val="none"/>
        <c:minorTickMark val="none"/>
        <c:tickLblPos val="none"/>
        <c:spPr>
          <a:ln w="9525">
            <a:noFill/>
          </a:ln>
        </c:spPr>
        <c:crossAx val="165274624"/>
        <c:crosses val="autoZero"/>
        <c:crossBetween val="between"/>
        <c:majorUnit val="1000"/>
        <c:minorUnit val="0.1"/>
      </c:valAx>
      <c:catAx>
        <c:axId val="165276672"/>
        <c:scaling>
          <c:orientation val="minMax"/>
        </c:scaling>
        <c:delete val="1"/>
        <c:axPos val="b"/>
        <c:numFmt formatCode="General" sourceLinked="1"/>
        <c:majorTickMark val="out"/>
        <c:minorTickMark val="none"/>
        <c:tickLblPos val="none"/>
        <c:crossAx val="154096704"/>
        <c:crosses val="autoZero"/>
        <c:auto val="1"/>
        <c:lblAlgn val="ctr"/>
        <c:lblOffset val="100"/>
        <c:noMultiLvlLbl val="0"/>
      </c:catAx>
      <c:valAx>
        <c:axId val="154096704"/>
        <c:scaling>
          <c:orientation val="minMax"/>
          <c:max val="100"/>
          <c:min val="0"/>
        </c:scaling>
        <c:delete val="0"/>
        <c:axPos val="r"/>
        <c:numFmt formatCode="0.0" sourceLinked="1"/>
        <c:majorTickMark val="none"/>
        <c:minorTickMark val="none"/>
        <c:tickLblPos val="none"/>
        <c:crossAx val="165276672"/>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6577050264550298E-2"/>
          <c:y val="0.175384126984127"/>
          <c:w val="0.50055820105820104"/>
          <c:h val="0.11724960317460301"/>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a:t>
            </a:r>
            <a:r>
              <a:rPr lang="en-US" sz="800" b="1" i="0" baseline="0">
                <a:effectLst/>
              </a:rPr>
              <a:t> </a:t>
            </a:r>
            <a:r>
              <a:rPr lang="cs-CZ" sz="800" b="1" i="0" baseline="0">
                <a:effectLst/>
              </a:rPr>
              <a:t>A2</a:t>
            </a:r>
            <a:r>
              <a:rPr lang="en-US" sz="800" b="1" i="0" baseline="0">
                <a:effectLst/>
              </a:rPr>
              <a:t> </a:t>
            </a:r>
            <a:r>
              <a:rPr lang="cs-CZ" sz="800" b="1" i="0" baseline="0">
                <a:effectLst/>
                <a:latin typeface="Arial" panose="020B0604020202020204" pitchFamily="34" charset="0"/>
                <a:cs typeface="Arial" panose="020B0604020202020204" pitchFamily="34" charset="0"/>
              </a:rPr>
              <a:t>Fixed-telephone voice subscriptions in the Czech Republic using VoIP</a:t>
            </a:r>
            <a:endParaRPr lang="en-US" sz="800" b="1"/>
          </a:p>
        </c:rich>
      </c:tx>
      <c:layout/>
      <c:overlay val="1"/>
    </c:title>
    <c:autoTitleDeleted val="0"/>
    <c:plotArea>
      <c:layout>
        <c:manualLayout>
          <c:layoutTarget val="inner"/>
          <c:xMode val="edge"/>
          <c:yMode val="edge"/>
          <c:x val="2.2538872296135399E-2"/>
          <c:y val="0.15293293650793699"/>
          <c:w val="0.95492225540772901"/>
          <c:h val="0.64734206349206302"/>
        </c:manualLayout>
      </c:layout>
      <c:barChart>
        <c:barDir val="col"/>
        <c:grouping val="clustered"/>
        <c:varyColors val="0"/>
        <c:ser>
          <c:idx val="2"/>
          <c:order val="0"/>
          <c:tx>
            <c:strRef>
              <c:f>A_EN!$A$9</c:f>
              <c:strCache>
                <c:ptCount val="1"/>
                <c:pt idx="0">
                  <c:v> thousands</c:v>
                </c:pt>
              </c:strCache>
            </c:strRef>
          </c:tx>
          <c:spPr>
            <a:solidFill>
              <a:srgbClr val="009BB4"/>
            </a:solidFill>
            <a:ln w="25400">
              <a:noFill/>
            </a:ln>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A_EN!$B$8:$J$8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A_EN!$B$9:$J$9</c:f>
              <c:numCache>
                <c:formatCode>0.0</c:formatCode>
                <c:ptCount val="9"/>
                <c:pt idx="0">
                  <c:v>309</c:v>
                </c:pt>
                <c:pt idx="1">
                  <c:v>387</c:v>
                </c:pt>
                <c:pt idx="2">
                  <c:v>462.48899999999998</c:v>
                </c:pt>
                <c:pt idx="3">
                  <c:v>578.68499999999995</c:v>
                </c:pt>
                <c:pt idx="4">
                  <c:v>625</c:v>
                </c:pt>
                <c:pt idx="5">
                  <c:v>747</c:v>
                </c:pt>
                <c:pt idx="6">
                  <c:v>853.255</c:v>
                </c:pt>
                <c:pt idx="7">
                  <c:v>899.76499999999999</c:v>
                </c:pt>
                <c:pt idx="8">
                  <c:v>917.245</c:v>
                </c:pt>
              </c:numCache>
            </c:numRef>
          </c:val>
          <c:extLst>
            <c:ext xmlns:c16="http://schemas.microsoft.com/office/drawing/2014/chart" uri="{C3380CC4-5D6E-409C-BE32-E72D297353CC}">
              <c16:uniqueId val="{00000000-A289-40A0-999B-8749F0FA6999}"/>
            </c:ext>
          </c:extLst>
        </c:ser>
        <c:dLbls>
          <c:showLegendKey val="0"/>
          <c:showVal val="0"/>
          <c:showCatName val="0"/>
          <c:showSerName val="0"/>
          <c:showPercent val="0"/>
          <c:showBubbleSize val="0"/>
        </c:dLbls>
        <c:gapWidth val="40"/>
        <c:axId val="136763904"/>
        <c:axId val="64250432"/>
      </c:barChart>
      <c:lineChart>
        <c:grouping val="standard"/>
        <c:varyColors val="0"/>
        <c:ser>
          <c:idx val="0"/>
          <c:order val="1"/>
          <c:tx>
            <c:strRef>
              <c:f>A_EN!$A$10</c:f>
              <c:strCache>
                <c:ptCount val="1"/>
                <c:pt idx="0">
                  <c:v> per 100 inhabitants</c:v>
                </c:pt>
              </c:strCache>
            </c:strRef>
          </c:tx>
          <c:spPr>
            <a:ln w="12700">
              <a:solidFill>
                <a:srgbClr val="009BB4"/>
              </a:solidFill>
            </a:ln>
          </c:spPr>
          <c:marker>
            <c:symbol val="diamond"/>
            <c:size val="4"/>
            <c:spPr>
              <a:solidFill>
                <a:srgbClr val="47E5FF"/>
              </a:solidFill>
              <a:ln w="12700">
                <a:solidFill>
                  <a:srgbClr val="009BB4"/>
                </a:solidFill>
              </a:ln>
            </c:spPr>
          </c:marker>
          <c:dLbls>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A_EN!$B$8:$J$8</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A_EN!$B$10:$J$10</c:f>
              <c:numCache>
                <c:formatCode>0.0</c:formatCode>
                <c:ptCount val="9"/>
                <c:pt idx="0">
                  <c:v>2.9519824233807608</c:v>
                </c:pt>
                <c:pt idx="1">
                  <c:v>3.683324334410444</c:v>
                </c:pt>
                <c:pt idx="2">
                  <c:v>4.39095318705336</c:v>
                </c:pt>
                <c:pt idx="3">
                  <c:v>5.5084292002861366</c:v>
                </c:pt>
                <c:pt idx="4">
                  <c:v>5.9432538125973204</c:v>
                </c:pt>
                <c:pt idx="5">
                  <c:v>7.1058811487631894</c:v>
                </c:pt>
                <c:pt idx="6">
                  <c:v>8.0967236098887145</c:v>
                </c:pt>
                <c:pt idx="7">
                  <c:v>8.5254726643176326</c:v>
                </c:pt>
                <c:pt idx="8">
                  <c:v>8.6705795164300028</c:v>
                </c:pt>
              </c:numCache>
            </c:numRef>
          </c:val>
          <c:smooth val="0"/>
          <c:extLst>
            <c:ext xmlns:c16="http://schemas.microsoft.com/office/drawing/2014/chart" uri="{C3380CC4-5D6E-409C-BE32-E72D297353CC}">
              <c16:uniqueId val="{00000001-A289-40A0-999B-8749F0FA6999}"/>
            </c:ext>
          </c:extLst>
        </c:ser>
        <c:dLbls>
          <c:showLegendKey val="0"/>
          <c:showVal val="0"/>
          <c:showCatName val="0"/>
          <c:showSerName val="0"/>
          <c:showPercent val="0"/>
          <c:showBubbleSize val="0"/>
        </c:dLbls>
        <c:marker val="1"/>
        <c:smooth val="0"/>
        <c:axId val="143080448"/>
        <c:axId val="64251008"/>
      </c:lineChart>
      <c:catAx>
        <c:axId val="1367639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4250432"/>
        <c:crosses val="autoZero"/>
        <c:auto val="1"/>
        <c:lblAlgn val="ctr"/>
        <c:lblOffset val="140"/>
        <c:tickLblSkip val="1"/>
        <c:tickMarkSkip val="1"/>
        <c:noMultiLvlLbl val="0"/>
      </c:catAx>
      <c:valAx>
        <c:axId val="64250432"/>
        <c:scaling>
          <c:orientation val="minMax"/>
          <c:max val="1500"/>
          <c:min val="0"/>
        </c:scaling>
        <c:delete val="0"/>
        <c:axPos val="l"/>
        <c:numFmt formatCode="0.0" sourceLinked="1"/>
        <c:majorTickMark val="none"/>
        <c:minorTickMark val="none"/>
        <c:tickLblPos val="none"/>
        <c:spPr>
          <a:ln w="9525">
            <a:noFill/>
          </a:ln>
        </c:spPr>
        <c:crossAx val="136763904"/>
        <c:crosses val="autoZero"/>
        <c:crossBetween val="between"/>
        <c:majorUnit val="1"/>
        <c:minorUnit val="0.1"/>
      </c:valAx>
      <c:valAx>
        <c:axId val="64251008"/>
        <c:scaling>
          <c:orientation val="minMax"/>
        </c:scaling>
        <c:delete val="0"/>
        <c:axPos val="r"/>
        <c:numFmt formatCode="0.0" sourceLinked="1"/>
        <c:majorTickMark val="none"/>
        <c:minorTickMark val="none"/>
        <c:tickLblPos val="none"/>
        <c:crossAx val="143080448"/>
        <c:crosses val="max"/>
        <c:crossBetween val="between"/>
      </c:valAx>
      <c:catAx>
        <c:axId val="143080448"/>
        <c:scaling>
          <c:orientation val="minMax"/>
        </c:scaling>
        <c:delete val="1"/>
        <c:axPos val="t"/>
        <c:numFmt formatCode="General" sourceLinked="1"/>
        <c:majorTickMark val="out"/>
        <c:minorTickMark val="none"/>
        <c:tickLblPos val="nextTo"/>
        <c:crossAx val="64251008"/>
        <c:crosses val="max"/>
        <c:auto val="1"/>
        <c:lblAlgn val="ctr"/>
        <c:lblOffset val="100"/>
        <c:noMultiLvlLbl val="0"/>
      </c:catAx>
      <c:spPr>
        <a:noFill/>
        <a:ln w="12700">
          <a:solidFill>
            <a:srgbClr val="969696"/>
          </a:solidFill>
          <a:prstDash val="solid"/>
        </a:ln>
      </c:spPr>
    </c:plotArea>
    <c:legend>
      <c:legendPos val="l"/>
      <c:layout>
        <c:manualLayout>
          <c:xMode val="edge"/>
          <c:yMode val="edge"/>
          <c:x val="5.3375992063492098E-2"/>
          <c:y val="0.19050317460317501"/>
          <c:w val="0.48779960317460302"/>
          <c:h val="0.1178396825396829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38872296135399E-2"/>
          <c:y val="0.16301230158730201"/>
          <c:w val="0.95492225540772901"/>
          <c:h val="0.637262698412698"/>
        </c:manualLayout>
      </c:layout>
      <c:barChart>
        <c:barDir val="col"/>
        <c:grouping val="clustered"/>
        <c:varyColors val="0"/>
        <c:ser>
          <c:idx val="2"/>
          <c:order val="0"/>
          <c:tx>
            <c:strRef>
              <c:f>A_EN!$H$349</c:f>
              <c:strCache>
                <c:ptCount val="1"/>
                <c:pt idx="0">
                  <c:v>  SIM cards using data services</c:v>
                </c:pt>
              </c:strCache>
            </c:strRef>
          </c:tx>
          <c:spPr>
            <a:solidFill>
              <a:srgbClr val="009BB4"/>
            </a:solidFill>
            <a:ln w="25400">
              <a:noFill/>
            </a:ln>
          </c:spPr>
          <c:invertIfNegative val="0"/>
          <c:dLbls>
            <c:numFmt formatCode="#,##0.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A_EN!$I$348:$N$348</c:f>
              <c:numCache>
                <c:formatCode>General</c:formatCode>
                <c:ptCount val="6"/>
                <c:pt idx="0">
                  <c:v>2011</c:v>
                </c:pt>
                <c:pt idx="1">
                  <c:v>2012</c:v>
                </c:pt>
                <c:pt idx="2">
                  <c:v>2013</c:v>
                </c:pt>
                <c:pt idx="3">
                  <c:v>2014</c:v>
                </c:pt>
                <c:pt idx="4">
                  <c:v>2015</c:v>
                </c:pt>
                <c:pt idx="5">
                  <c:v>2016</c:v>
                </c:pt>
              </c:numCache>
            </c:numRef>
          </c:cat>
          <c:val>
            <c:numRef>
              <c:f>A_EN!$I$349:$N$349</c:f>
              <c:numCache>
                <c:formatCode>General</c:formatCode>
                <c:ptCount val="6"/>
                <c:pt idx="0">
                  <c:v>203</c:v>
                </c:pt>
                <c:pt idx="1">
                  <c:v>257</c:v>
                </c:pt>
                <c:pt idx="2">
                  <c:v>272</c:v>
                </c:pt>
                <c:pt idx="3">
                  <c:v>347</c:v>
                </c:pt>
                <c:pt idx="4">
                  <c:v>573</c:v>
                </c:pt>
                <c:pt idx="5">
                  <c:v>983</c:v>
                </c:pt>
              </c:numCache>
            </c:numRef>
          </c:val>
          <c:extLst>
            <c:ext xmlns:c16="http://schemas.microsoft.com/office/drawing/2014/chart" uri="{C3380CC4-5D6E-409C-BE32-E72D297353CC}">
              <c16:uniqueId val="{00000000-0414-4753-865B-01B4EDE899A3}"/>
            </c:ext>
          </c:extLst>
        </c:ser>
        <c:dLbls>
          <c:showLegendKey val="0"/>
          <c:showVal val="0"/>
          <c:showCatName val="0"/>
          <c:showSerName val="0"/>
          <c:showPercent val="0"/>
          <c:showBubbleSize val="0"/>
        </c:dLbls>
        <c:gapWidth val="40"/>
        <c:axId val="161763840"/>
        <c:axId val="154098432"/>
      </c:barChart>
      <c:catAx>
        <c:axId val="1617638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4098432"/>
        <c:crosses val="autoZero"/>
        <c:auto val="1"/>
        <c:lblAlgn val="ctr"/>
        <c:lblOffset val="140"/>
        <c:tickLblSkip val="1"/>
        <c:tickMarkSkip val="1"/>
        <c:noMultiLvlLbl val="0"/>
      </c:catAx>
      <c:valAx>
        <c:axId val="154098432"/>
        <c:scaling>
          <c:orientation val="minMax"/>
          <c:max val="1000"/>
          <c:min val="0"/>
        </c:scaling>
        <c:delete val="0"/>
        <c:axPos val="l"/>
        <c:numFmt formatCode="General" sourceLinked="1"/>
        <c:majorTickMark val="none"/>
        <c:minorTickMark val="none"/>
        <c:tickLblPos val="none"/>
        <c:spPr>
          <a:ln w="9525">
            <a:noFill/>
          </a:ln>
        </c:spPr>
        <c:crossAx val="161763840"/>
        <c:crosses val="autoZero"/>
        <c:crossBetween val="between"/>
        <c:majorUnit val="200"/>
        <c:minorUnit val="0.1"/>
      </c:valAx>
      <c:spPr>
        <a:noFill/>
        <a:ln w="12700">
          <a:solidFill>
            <a:srgbClr val="969696"/>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cs-CZ" sz="800"/>
              <a:t>Figure</a:t>
            </a:r>
            <a:r>
              <a:rPr lang="en-US" sz="800"/>
              <a:t> A</a:t>
            </a:r>
            <a:r>
              <a:rPr lang="cs-CZ" sz="800"/>
              <a:t>21</a:t>
            </a:r>
            <a:r>
              <a:rPr lang="en-US" sz="800"/>
              <a:t> </a:t>
            </a:r>
            <a:r>
              <a:rPr lang="cs-CZ" sz="800"/>
              <a:t>Mobile</a:t>
            </a:r>
            <a:r>
              <a:rPr lang="cs-CZ" sz="800" baseline="0"/>
              <a:t> broadband subscriptions per 100 inhabitants in EU countries</a:t>
            </a:r>
            <a:endParaRPr lang="en-US" sz="800"/>
          </a:p>
        </c:rich>
      </c:tx>
      <c:layout>
        <c:manualLayout>
          <c:xMode val="edge"/>
          <c:yMode val="edge"/>
          <c:x val="0.17128956052511296"/>
          <c:y val="3.9200313602508821E-2"/>
        </c:manualLayout>
      </c:layout>
      <c:overlay val="0"/>
    </c:title>
    <c:autoTitleDeleted val="0"/>
    <c:plotArea>
      <c:layout>
        <c:manualLayout>
          <c:layoutTarget val="inner"/>
          <c:xMode val="edge"/>
          <c:yMode val="edge"/>
          <c:x val="5.7065581854043403E-2"/>
          <c:y val="0.12833719677631436"/>
          <c:w val="0.91664217619986899"/>
          <c:h val="0.60725853995808343"/>
        </c:manualLayout>
      </c:layout>
      <c:barChart>
        <c:barDir val="col"/>
        <c:grouping val="clustered"/>
        <c:varyColors val="0"/>
        <c:ser>
          <c:idx val="0"/>
          <c:order val="0"/>
          <c:tx>
            <c:strRef>
              <c:f>A_EN!$B$368</c:f>
              <c:strCache>
                <c:ptCount val="1"/>
                <c:pt idx="0">
                  <c:v> 2016</c:v>
                </c:pt>
              </c:strCache>
            </c:strRef>
          </c:tx>
          <c:spPr>
            <a:solidFill>
              <a:srgbClr val="009BB4"/>
            </a:solidFill>
            <a:ln>
              <a:noFill/>
            </a:ln>
          </c:spPr>
          <c:invertIfNegative val="0"/>
          <c:dPt>
            <c:idx val="10"/>
            <c:invertIfNegative val="0"/>
            <c:bubble3D val="0"/>
            <c:extLst>
              <c:ext xmlns:c16="http://schemas.microsoft.com/office/drawing/2014/chart" uri="{C3380CC4-5D6E-409C-BE32-E72D297353CC}">
                <c16:uniqueId val="{00000000-D8DB-41CE-9613-715FFB5B2B0C}"/>
              </c:ext>
            </c:extLst>
          </c:dPt>
          <c:dPt>
            <c:idx val="13"/>
            <c:invertIfNegative val="0"/>
            <c:bubble3D val="0"/>
            <c:spPr>
              <a:solidFill>
                <a:srgbClr val="009BB4"/>
              </a:solidFill>
              <a:ln>
                <a:solidFill>
                  <a:srgbClr val="FF0000"/>
                </a:solidFill>
              </a:ln>
            </c:spPr>
            <c:extLst>
              <c:ext xmlns:c16="http://schemas.microsoft.com/office/drawing/2014/chart" uri="{C3380CC4-5D6E-409C-BE32-E72D297353CC}">
                <c16:uniqueId val="{00000002-D8DB-41CE-9613-715FFB5B2B0C}"/>
              </c:ext>
            </c:extLst>
          </c:dPt>
          <c:dPt>
            <c:idx val="14"/>
            <c:invertIfNegative val="0"/>
            <c:bubble3D val="0"/>
            <c:extLst>
              <c:ext xmlns:c16="http://schemas.microsoft.com/office/drawing/2014/chart" uri="{C3380CC4-5D6E-409C-BE32-E72D297353CC}">
                <c16:uniqueId val="{00000003-D8DB-41CE-9613-715FFB5B2B0C}"/>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05-D8DB-41CE-9613-715FFB5B2B0C}"/>
              </c:ext>
            </c:extLst>
          </c:dPt>
          <c:dPt>
            <c:idx val="19"/>
            <c:invertIfNegative val="0"/>
            <c:bubble3D val="0"/>
            <c:extLst>
              <c:ext xmlns:c16="http://schemas.microsoft.com/office/drawing/2014/chart" uri="{C3380CC4-5D6E-409C-BE32-E72D297353CC}">
                <c16:uniqueId val="{00000006-D8DB-41CE-9613-715FFB5B2B0C}"/>
              </c:ext>
            </c:extLst>
          </c:dPt>
          <c:dLbls>
            <c:dLbl>
              <c:idx val="28"/>
              <c:layout>
                <c:manualLayout>
                  <c:x val="-1.5307734625501001E-16"/>
                  <c:y val="0.1061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8DB-41CE-9613-715FFB5B2B0C}"/>
                </c:ext>
              </c:extLst>
            </c:dLbl>
            <c:numFmt formatCode="#,##0.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A_EN!$A$369:$A$397</c:f>
              <c:strCache>
                <c:ptCount val="29"/>
                <c:pt idx="0">
                  <c:v>Finland</c:v>
                </c:pt>
                <c:pt idx="1">
                  <c:v>Denmark</c:v>
                </c:pt>
                <c:pt idx="2">
                  <c:v>Poland</c:v>
                </c:pt>
                <c:pt idx="3">
                  <c:v>Sweden</c:v>
                </c:pt>
                <c:pt idx="4">
                  <c:v>Estonia</c:v>
                </c:pt>
                <c:pt idx="5">
                  <c:v>Luxembourg</c:v>
                </c:pt>
                <c:pt idx="6">
                  <c:v>Ireland</c:v>
                </c:pt>
                <c:pt idx="7">
                  <c:v>Cyprus</c:v>
                </c:pt>
                <c:pt idx="8">
                  <c:v>United Kingdom</c:v>
                </c:pt>
                <c:pt idx="9">
                  <c:v>Spain</c:v>
                </c:pt>
                <c:pt idx="10">
                  <c:v>Netherlands</c:v>
                </c:pt>
                <c:pt idx="11">
                  <c:v>Austria</c:v>
                </c:pt>
                <c:pt idx="12">
                  <c:v>Bulgaria</c:v>
                </c:pt>
                <c:pt idx="13">
                  <c:v>EU28</c:v>
                </c:pt>
                <c:pt idx="14">
                  <c:v>France</c:v>
                </c:pt>
                <c:pt idx="15">
                  <c:v>Italy</c:v>
                </c:pt>
                <c:pt idx="16">
                  <c:v>Romania</c:v>
                </c:pt>
                <c:pt idx="17">
                  <c:v>Czech Republic</c:v>
                </c:pt>
                <c:pt idx="18">
                  <c:v>Croatia</c:v>
                </c:pt>
                <c:pt idx="19">
                  <c:v>Lithuania</c:v>
                </c:pt>
                <c:pt idx="20">
                  <c:v>Slovakia</c:v>
                </c:pt>
                <c:pt idx="21">
                  <c:v>Germany</c:v>
                </c:pt>
                <c:pt idx="22">
                  <c:v>Latvia</c:v>
                </c:pt>
                <c:pt idx="23">
                  <c:v>Malta</c:v>
                </c:pt>
                <c:pt idx="24">
                  <c:v>Belgium</c:v>
                </c:pt>
                <c:pt idx="25">
                  <c:v>Portugal</c:v>
                </c:pt>
                <c:pt idx="26">
                  <c:v>Slovenia</c:v>
                </c:pt>
                <c:pt idx="27">
                  <c:v>Greece</c:v>
                </c:pt>
                <c:pt idx="28">
                  <c:v>Hungary</c:v>
                </c:pt>
              </c:strCache>
            </c:strRef>
          </c:cat>
          <c:val>
            <c:numRef>
              <c:f>A_EN!$B$369:$B$397</c:f>
              <c:numCache>
                <c:formatCode>#,##0.0</c:formatCode>
                <c:ptCount val="29"/>
                <c:pt idx="0">
                  <c:v>145.791</c:v>
                </c:pt>
                <c:pt idx="1">
                  <c:v>123.67100000000001</c:v>
                </c:pt>
                <c:pt idx="2">
                  <c:v>123.416</c:v>
                </c:pt>
                <c:pt idx="3">
                  <c:v>123.24</c:v>
                </c:pt>
                <c:pt idx="4">
                  <c:v>121.28400000000001</c:v>
                </c:pt>
                <c:pt idx="5">
                  <c:v>116.34699999999999</c:v>
                </c:pt>
                <c:pt idx="6">
                  <c:v>100.83799999999999</c:v>
                </c:pt>
                <c:pt idx="7">
                  <c:v>96.861400000000003</c:v>
                </c:pt>
                <c:pt idx="8">
                  <c:v>89.8459</c:v>
                </c:pt>
                <c:pt idx="9">
                  <c:v>88.982100000000003</c:v>
                </c:pt>
                <c:pt idx="10">
                  <c:v>87.333100000000002</c:v>
                </c:pt>
                <c:pt idx="11">
                  <c:v>87.183799999999977</c:v>
                </c:pt>
                <c:pt idx="12">
                  <c:v>87.115600000000001</c:v>
                </c:pt>
                <c:pt idx="13">
                  <c:v>86.831999999999994</c:v>
                </c:pt>
                <c:pt idx="14">
                  <c:v>85.488500000000002</c:v>
                </c:pt>
                <c:pt idx="15">
                  <c:v>83.441900000000004</c:v>
                </c:pt>
                <c:pt idx="16">
                  <c:v>80.982200000000006</c:v>
                </c:pt>
                <c:pt idx="17">
                  <c:v>80.824999999999974</c:v>
                </c:pt>
                <c:pt idx="18">
                  <c:v>80.673099999999977</c:v>
                </c:pt>
                <c:pt idx="19">
                  <c:v>79.444900000000004</c:v>
                </c:pt>
                <c:pt idx="20">
                  <c:v>79.018600000000006</c:v>
                </c:pt>
                <c:pt idx="21">
                  <c:v>76.793199999999999</c:v>
                </c:pt>
                <c:pt idx="22">
                  <c:v>76.398600000000002</c:v>
                </c:pt>
                <c:pt idx="23">
                  <c:v>75.069000000000003</c:v>
                </c:pt>
                <c:pt idx="24">
                  <c:v>66.2577</c:v>
                </c:pt>
                <c:pt idx="25">
                  <c:v>62.633699999999997</c:v>
                </c:pt>
                <c:pt idx="26">
                  <c:v>62.207500000000003</c:v>
                </c:pt>
                <c:pt idx="27">
                  <c:v>52.895200000000003</c:v>
                </c:pt>
                <c:pt idx="28">
                  <c:v>44.732500000000002</c:v>
                </c:pt>
              </c:numCache>
            </c:numRef>
          </c:val>
          <c:extLst>
            <c:ext xmlns:c16="http://schemas.microsoft.com/office/drawing/2014/chart" uri="{C3380CC4-5D6E-409C-BE32-E72D297353CC}">
              <c16:uniqueId val="{00000008-D8DB-41CE-9613-715FFB5B2B0C}"/>
            </c:ext>
          </c:extLst>
        </c:ser>
        <c:dLbls>
          <c:showLegendKey val="0"/>
          <c:showVal val="0"/>
          <c:showCatName val="0"/>
          <c:showSerName val="0"/>
          <c:showPercent val="0"/>
          <c:showBubbleSize val="0"/>
        </c:dLbls>
        <c:gapWidth val="50"/>
        <c:axId val="161764352"/>
        <c:axId val="161374784"/>
      </c:barChart>
      <c:barChart>
        <c:barDir val="col"/>
        <c:grouping val="clustered"/>
        <c:varyColors val="0"/>
        <c:ser>
          <c:idx val="1"/>
          <c:order val="1"/>
          <c:tx>
            <c:strRef>
              <c:f>A_EN!$C$368</c:f>
              <c:strCache>
                <c:ptCount val="1"/>
                <c:pt idx="0">
                  <c:v> 2010</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A_EN!$A$369:$A$397</c:f>
              <c:strCache>
                <c:ptCount val="29"/>
                <c:pt idx="0">
                  <c:v>Finland</c:v>
                </c:pt>
                <c:pt idx="1">
                  <c:v>Denmark</c:v>
                </c:pt>
                <c:pt idx="2">
                  <c:v>Poland</c:v>
                </c:pt>
                <c:pt idx="3">
                  <c:v>Sweden</c:v>
                </c:pt>
                <c:pt idx="4">
                  <c:v>Estonia</c:v>
                </c:pt>
                <c:pt idx="5">
                  <c:v>Luxembourg</c:v>
                </c:pt>
                <c:pt idx="6">
                  <c:v>Ireland</c:v>
                </c:pt>
                <c:pt idx="7">
                  <c:v>Cyprus</c:v>
                </c:pt>
                <c:pt idx="8">
                  <c:v>United Kingdom</c:v>
                </c:pt>
                <c:pt idx="9">
                  <c:v>Spain</c:v>
                </c:pt>
                <c:pt idx="10">
                  <c:v>Netherlands</c:v>
                </c:pt>
                <c:pt idx="11">
                  <c:v>Austria</c:v>
                </c:pt>
                <c:pt idx="12">
                  <c:v>Bulgaria</c:v>
                </c:pt>
                <c:pt idx="13">
                  <c:v>EU28</c:v>
                </c:pt>
                <c:pt idx="14">
                  <c:v>France</c:v>
                </c:pt>
                <c:pt idx="15">
                  <c:v>Italy</c:v>
                </c:pt>
                <c:pt idx="16">
                  <c:v>Romania</c:v>
                </c:pt>
                <c:pt idx="17">
                  <c:v>Czech Republic</c:v>
                </c:pt>
                <c:pt idx="18">
                  <c:v>Croatia</c:v>
                </c:pt>
                <c:pt idx="19">
                  <c:v>Lithuania</c:v>
                </c:pt>
                <c:pt idx="20">
                  <c:v>Slovakia</c:v>
                </c:pt>
                <c:pt idx="21">
                  <c:v>Germany</c:v>
                </c:pt>
                <c:pt idx="22">
                  <c:v>Latvia</c:v>
                </c:pt>
                <c:pt idx="23">
                  <c:v>Malta</c:v>
                </c:pt>
                <c:pt idx="24">
                  <c:v>Belgium</c:v>
                </c:pt>
                <c:pt idx="25">
                  <c:v>Portugal</c:v>
                </c:pt>
                <c:pt idx="26">
                  <c:v>Slovenia</c:v>
                </c:pt>
                <c:pt idx="27">
                  <c:v>Greece</c:v>
                </c:pt>
                <c:pt idx="28">
                  <c:v>Hungary</c:v>
                </c:pt>
              </c:strCache>
            </c:strRef>
          </c:cat>
          <c:val>
            <c:numRef>
              <c:f>A_EN!$C$369:$C$397</c:f>
              <c:numCache>
                <c:formatCode>#,##0.0__</c:formatCode>
                <c:ptCount val="29"/>
                <c:pt idx="0">
                  <c:v>84.135199999999998</c:v>
                </c:pt>
                <c:pt idx="1">
                  <c:v>63.764299999999999</c:v>
                </c:pt>
                <c:pt idx="2" formatCode="#,##0.0">
                  <c:v>40.663400000000003</c:v>
                </c:pt>
                <c:pt idx="3">
                  <c:v>82.444900000000004</c:v>
                </c:pt>
                <c:pt idx="4">
                  <c:v>26.322500000000002</c:v>
                </c:pt>
                <c:pt idx="5">
                  <c:v>45.014099999999999</c:v>
                </c:pt>
                <c:pt idx="6">
                  <c:v>40.000999999999998</c:v>
                </c:pt>
                <c:pt idx="7">
                  <c:v>33.474200000000003</c:v>
                </c:pt>
                <c:pt idx="8">
                  <c:v>35.8979</c:v>
                </c:pt>
                <c:pt idx="9">
                  <c:v>27.4346</c:v>
                </c:pt>
                <c:pt idx="10">
                  <c:v>33.633899999999997</c:v>
                </c:pt>
                <c:pt idx="11">
                  <c:v>27.709199999999999</c:v>
                </c:pt>
                <c:pt idx="12">
                  <c:v>8.1348500000000001</c:v>
                </c:pt>
                <c:pt idx="13">
                  <c:v>25.925316033213079</c:v>
                </c:pt>
                <c:pt idx="14">
                  <c:v>29.240300000000001</c:v>
                </c:pt>
                <c:pt idx="15">
                  <c:v>20.8035</c:v>
                </c:pt>
                <c:pt idx="16">
                  <c:v>11.3421</c:v>
                </c:pt>
                <c:pt idx="17">
                  <c:v>38.047899999999998</c:v>
                </c:pt>
                <c:pt idx="19">
                  <c:v>15.8148</c:v>
                </c:pt>
                <c:pt idx="20">
                  <c:v>27.8413</c:v>
                </c:pt>
                <c:pt idx="21">
                  <c:v>25.932200000000002</c:v>
                </c:pt>
                <c:pt idx="22">
                  <c:v>24.464400000000001</c:v>
                </c:pt>
                <c:pt idx="23">
                  <c:v>12.2659</c:v>
                </c:pt>
                <c:pt idx="24">
                  <c:v>9.4589600000000011</c:v>
                </c:pt>
                <c:pt idx="25">
                  <c:v>38.5745</c:v>
                </c:pt>
                <c:pt idx="26">
                  <c:v>29.614599999999999</c:v>
                </c:pt>
                <c:pt idx="27">
                  <c:v>25.051200000000001</c:v>
                </c:pt>
                <c:pt idx="28">
                  <c:v>7.78573</c:v>
                </c:pt>
              </c:numCache>
            </c:numRef>
          </c:val>
          <c:extLst>
            <c:ext xmlns:c16="http://schemas.microsoft.com/office/drawing/2014/chart" uri="{C3380CC4-5D6E-409C-BE32-E72D297353CC}">
              <c16:uniqueId val="{00000009-D8DB-41CE-9613-715FFB5B2B0C}"/>
            </c:ext>
          </c:extLst>
        </c:ser>
        <c:dLbls>
          <c:showLegendKey val="0"/>
          <c:showVal val="0"/>
          <c:showCatName val="0"/>
          <c:showSerName val="0"/>
          <c:showPercent val="0"/>
          <c:showBubbleSize val="0"/>
        </c:dLbls>
        <c:gapWidth val="200"/>
        <c:axId val="161766912"/>
        <c:axId val="161375360"/>
      </c:barChart>
      <c:catAx>
        <c:axId val="161764352"/>
        <c:scaling>
          <c:orientation val="minMax"/>
        </c:scaling>
        <c:delete val="0"/>
        <c:axPos val="b"/>
        <c:numFmt formatCode="General" sourceLinked="0"/>
        <c:majorTickMark val="out"/>
        <c:minorTickMark val="none"/>
        <c:tickLblPos val="nextTo"/>
        <c:spPr>
          <a:ln w="3175">
            <a:solidFill>
              <a:schemeClr val="tx1"/>
            </a:solidFill>
          </a:ln>
        </c:spPr>
        <c:crossAx val="161374784"/>
        <c:crosses val="autoZero"/>
        <c:auto val="1"/>
        <c:lblAlgn val="ctr"/>
        <c:lblOffset val="100"/>
        <c:noMultiLvlLbl val="0"/>
      </c:catAx>
      <c:valAx>
        <c:axId val="161374784"/>
        <c:scaling>
          <c:orientation val="minMax"/>
          <c:max val="150"/>
          <c:min val="0"/>
        </c:scaling>
        <c:delete val="0"/>
        <c:axPos val="l"/>
        <c:numFmt formatCode="#,##0" sourceLinked="0"/>
        <c:majorTickMark val="none"/>
        <c:minorTickMark val="none"/>
        <c:tickLblPos val="none"/>
        <c:txPr>
          <a:bodyPr/>
          <a:lstStyle/>
          <a:p>
            <a:pPr>
              <a:defRPr>
                <a:solidFill>
                  <a:sysClr val="windowText" lastClr="000000"/>
                </a:solidFill>
              </a:defRPr>
            </a:pPr>
            <a:endParaRPr lang="cs-CZ"/>
          </a:p>
        </c:txPr>
        <c:crossAx val="161764352"/>
        <c:crosses val="autoZero"/>
        <c:crossBetween val="between"/>
        <c:majorUnit val="25"/>
        <c:minorUnit val="0.05"/>
      </c:valAx>
      <c:valAx>
        <c:axId val="161375360"/>
        <c:scaling>
          <c:orientation val="minMax"/>
          <c:max val="150"/>
          <c:min val="0"/>
        </c:scaling>
        <c:delete val="0"/>
        <c:axPos val="r"/>
        <c:numFmt formatCode="#,##0.0__" sourceLinked="1"/>
        <c:majorTickMark val="none"/>
        <c:minorTickMark val="none"/>
        <c:tickLblPos val="none"/>
        <c:crossAx val="161766912"/>
        <c:crosses val="max"/>
        <c:crossBetween val="between"/>
        <c:majorUnit val="25"/>
        <c:minorUnit val="5"/>
      </c:valAx>
      <c:catAx>
        <c:axId val="161766912"/>
        <c:scaling>
          <c:orientation val="minMax"/>
        </c:scaling>
        <c:delete val="1"/>
        <c:axPos val="b"/>
        <c:numFmt formatCode="General" sourceLinked="0"/>
        <c:majorTickMark val="out"/>
        <c:minorTickMark val="none"/>
        <c:tickLblPos val="none"/>
        <c:crossAx val="16137536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087689020381299"/>
          <c:y val="0.17449509803921601"/>
          <c:w val="7.1111932938855996E-2"/>
          <c:h val="0.116382098765432"/>
        </c:manualLayout>
      </c:layout>
      <c:overlay val="0"/>
      <c:spPr>
        <a:solidFill>
          <a:srgbClr val="FFFFFF"/>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B1</a:t>
            </a:r>
            <a:r>
              <a:rPr lang="cs-CZ" sz="800" b="1" baseline="0"/>
              <a:t> </a:t>
            </a:r>
            <a:r>
              <a:rPr lang="cs-CZ" sz="800" b="1"/>
              <a:t>Share of households in the Czech Republic with a fixed telephone </a:t>
            </a:r>
            <a:r>
              <a:rPr lang="cs-CZ" sz="800" b="1" baseline="0"/>
              <a:t>(%)</a:t>
            </a:r>
            <a:endParaRPr lang="cs-CZ" sz="800" b="1"/>
          </a:p>
        </c:rich>
      </c:tx>
      <c:layout/>
      <c:overlay val="1"/>
    </c:title>
    <c:autoTitleDeleted val="0"/>
    <c:plotArea>
      <c:layout>
        <c:manualLayout>
          <c:layoutTarget val="inner"/>
          <c:xMode val="edge"/>
          <c:yMode val="edge"/>
          <c:x val="7.5799305555555599E-2"/>
          <c:y val="0.137680769230769"/>
          <c:w val="0.89459319234531598"/>
          <c:h val="0.66168846153846195"/>
        </c:manualLayout>
      </c:layout>
      <c:lineChart>
        <c:grouping val="standard"/>
        <c:varyColors val="0"/>
        <c:ser>
          <c:idx val="0"/>
          <c:order val="0"/>
          <c:tx>
            <c:strRef>
              <c:f>B_ENG!$A$4</c:f>
              <c:strCache>
                <c:ptCount val="1"/>
                <c:pt idx="0">
                  <c:v> Households total</c:v>
                </c:pt>
              </c:strCache>
            </c:strRef>
          </c:tx>
          <c:spPr>
            <a:ln w="31750">
              <a:solidFill>
                <a:srgbClr val="47E5FF"/>
              </a:solidFill>
            </a:ln>
          </c:spPr>
          <c:marker>
            <c:symbol val="none"/>
          </c:marker>
          <c:cat>
            <c:numRef>
              <c:f>B_ENG!$B$3:$AB$3</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B_ENG!$B$4:$AB$4</c:f>
              <c:numCache>
                <c:formatCode>0%</c:formatCode>
                <c:ptCount val="27"/>
                <c:pt idx="0">
                  <c:v>0.372</c:v>
                </c:pt>
                <c:pt idx="1">
                  <c:v>0.372</c:v>
                </c:pt>
                <c:pt idx="2">
                  <c:v>0.39861600000000003</c:v>
                </c:pt>
                <c:pt idx="3">
                  <c:v>0.40899999999999997</c:v>
                </c:pt>
                <c:pt idx="4">
                  <c:v>0.40899999999999997</c:v>
                </c:pt>
                <c:pt idx="5">
                  <c:v>0.442</c:v>
                </c:pt>
                <c:pt idx="6">
                  <c:v>0.50900000000000001</c:v>
                </c:pt>
                <c:pt idx="7">
                  <c:v>0.58799999999999997</c:v>
                </c:pt>
                <c:pt idx="8">
                  <c:v>0.69599999999999995</c:v>
                </c:pt>
                <c:pt idx="9">
                  <c:v>0.76900000000000002</c:v>
                </c:pt>
                <c:pt idx="10">
                  <c:v>0.76300000000000001</c:v>
                </c:pt>
                <c:pt idx="11">
                  <c:v>0.76</c:v>
                </c:pt>
                <c:pt idx="12">
                  <c:v>0.73799999999999999</c:v>
                </c:pt>
                <c:pt idx="13">
                  <c:v>0.72399999999999998</c:v>
                </c:pt>
                <c:pt idx="14">
                  <c:v>0.65500000000000003</c:v>
                </c:pt>
                <c:pt idx="15">
                  <c:v>0.55200000000000005</c:v>
                </c:pt>
                <c:pt idx="16">
                  <c:v>0.44</c:v>
                </c:pt>
                <c:pt idx="17">
                  <c:v>0.34799999999999998</c:v>
                </c:pt>
                <c:pt idx="18">
                  <c:v>0.311</c:v>
                </c:pt>
                <c:pt idx="19">
                  <c:v>0.27600000000000002</c:v>
                </c:pt>
                <c:pt idx="20">
                  <c:v>0.24199999999999999</c:v>
                </c:pt>
                <c:pt idx="21">
                  <c:v>0.23400000000000001</c:v>
                </c:pt>
                <c:pt idx="22">
                  <c:v>0.218</c:v>
                </c:pt>
                <c:pt idx="23">
                  <c:v>0.2</c:v>
                </c:pt>
                <c:pt idx="24">
                  <c:v>0.17</c:v>
                </c:pt>
                <c:pt idx="25">
                  <c:v>0.156</c:v>
                </c:pt>
                <c:pt idx="26">
                  <c:v>0.13589999999999999</c:v>
                </c:pt>
              </c:numCache>
            </c:numRef>
          </c:val>
          <c:smooth val="0"/>
          <c:extLst>
            <c:ext xmlns:c16="http://schemas.microsoft.com/office/drawing/2014/chart" uri="{C3380CC4-5D6E-409C-BE32-E72D297353CC}">
              <c16:uniqueId val="{00000000-5184-4451-8E43-8A6F4D170E75}"/>
            </c:ext>
          </c:extLst>
        </c:ser>
        <c:ser>
          <c:idx val="1"/>
          <c:order val="1"/>
          <c:tx>
            <c:strRef>
              <c:f>B_ENG!$A$5</c:f>
              <c:strCache>
                <c:ptCount val="1"/>
                <c:pt idx="0">
                  <c:v> Households of pensioners</c:v>
                </c:pt>
              </c:strCache>
            </c:strRef>
          </c:tx>
          <c:spPr>
            <a:ln w="22225">
              <a:solidFill>
                <a:srgbClr val="009BB4"/>
              </a:solidFill>
              <a:prstDash val="sysDash"/>
            </a:ln>
          </c:spPr>
          <c:marker>
            <c:symbol val="none"/>
          </c:marker>
          <c:cat>
            <c:numRef>
              <c:f>B_ENG!$B$3:$AB$3</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B_ENG!$B$5:$AB$5</c:f>
              <c:numCache>
                <c:formatCode>0%</c:formatCode>
                <c:ptCount val="27"/>
                <c:pt idx="0">
                  <c:v>0.31617800000000001</c:v>
                </c:pt>
                <c:pt idx="1">
                  <c:v>0.36382900000000001</c:v>
                </c:pt>
                <c:pt idx="2">
                  <c:v>0.39954600000000001</c:v>
                </c:pt>
                <c:pt idx="3">
                  <c:v>0.40120600000000001</c:v>
                </c:pt>
                <c:pt idx="4">
                  <c:v>0.43617899999999998</c:v>
                </c:pt>
                <c:pt idx="5">
                  <c:v>0.47619800000000001</c:v>
                </c:pt>
                <c:pt idx="6">
                  <c:v>0.53735200000000005</c:v>
                </c:pt>
                <c:pt idx="7">
                  <c:v>0.59450599999999998</c:v>
                </c:pt>
                <c:pt idx="8">
                  <c:v>0.66459000000000001</c:v>
                </c:pt>
                <c:pt idx="9">
                  <c:v>0.72247300000000003</c:v>
                </c:pt>
                <c:pt idx="10">
                  <c:v>0.72401099999999996</c:v>
                </c:pt>
                <c:pt idx="11">
                  <c:v>0.73207599999999995</c:v>
                </c:pt>
                <c:pt idx="12">
                  <c:v>0.72324699999999997</c:v>
                </c:pt>
                <c:pt idx="13">
                  <c:v>0.72278399999999998</c:v>
                </c:pt>
                <c:pt idx="14">
                  <c:v>0.68507799999999996</c:v>
                </c:pt>
                <c:pt idx="15">
                  <c:v>0.65234999999999999</c:v>
                </c:pt>
                <c:pt idx="16">
                  <c:v>0.54100000000000004</c:v>
                </c:pt>
                <c:pt idx="17">
                  <c:v>0.44500000000000001</c:v>
                </c:pt>
                <c:pt idx="18">
                  <c:v>0.41299999999999998</c:v>
                </c:pt>
                <c:pt idx="19">
                  <c:v>0.372</c:v>
                </c:pt>
                <c:pt idx="20">
                  <c:v>0.34</c:v>
                </c:pt>
                <c:pt idx="21">
                  <c:v>0.33300000000000002</c:v>
                </c:pt>
                <c:pt idx="22">
                  <c:v>0.30599999999999999</c:v>
                </c:pt>
                <c:pt idx="23">
                  <c:v>0.27400000000000002</c:v>
                </c:pt>
                <c:pt idx="24">
                  <c:v>0.23</c:v>
                </c:pt>
                <c:pt idx="25">
                  <c:v>0.224</c:v>
                </c:pt>
                <c:pt idx="26">
                  <c:v>0.19700000000000001</c:v>
                </c:pt>
              </c:numCache>
            </c:numRef>
          </c:val>
          <c:smooth val="0"/>
          <c:extLst>
            <c:ext xmlns:c16="http://schemas.microsoft.com/office/drawing/2014/chart" uri="{C3380CC4-5D6E-409C-BE32-E72D297353CC}">
              <c16:uniqueId val="{00000001-5184-4451-8E43-8A6F4D170E75}"/>
            </c:ext>
          </c:extLst>
        </c:ser>
        <c:dLbls>
          <c:showLegendKey val="0"/>
          <c:showVal val="0"/>
          <c:showCatName val="0"/>
          <c:showSerName val="0"/>
          <c:showPercent val="0"/>
          <c:showBubbleSize val="0"/>
        </c:dLbls>
        <c:smooth val="0"/>
        <c:axId val="161765376"/>
        <c:axId val="161377088"/>
      </c:lineChart>
      <c:catAx>
        <c:axId val="161765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61377088"/>
        <c:crosses val="autoZero"/>
        <c:auto val="1"/>
        <c:lblAlgn val="ctr"/>
        <c:lblOffset val="50"/>
        <c:tickLblSkip val="2"/>
        <c:noMultiLvlLbl val="0"/>
      </c:catAx>
      <c:valAx>
        <c:axId val="161377088"/>
        <c:scaling>
          <c:orientation val="minMax"/>
          <c:max val="1"/>
          <c:min val="0"/>
        </c:scaling>
        <c:delete val="0"/>
        <c:axPos val="l"/>
        <c:majorGridlines>
          <c:spPr>
            <a:ln w="12700">
              <a:solidFill>
                <a:srgbClr val="A6A6A6"/>
              </a:solidFill>
            </a:ln>
          </c:spPr>
        </c:majorGridlines>
        <c:numFmt formatCode="0%" sourceLinked="1"/>
        <c:majorTickMark val="out"/>
        <c:minorTickMark val="none"/>
        <c:tickLblPos val="nextTo"/>
        <c:spPr>
          <a:ln w="9525">
            <a:noFill/>
          </a:ln>
        </c:spPr>
        <c:crossAx val="161765376"/>
        <c:crosses val="autoZero"/>
        <c:crossBetween val="midCat"/>
        <c:majorUnit val="0.1"/>
        <c:minorUnit val="0.01"/>
      </c:valAx>
      <c:spPr>
        <a:noFill/>
        <a:ln w="12700">
          <a:solidFill>
            <a:srgbClr val="969696"/>
          </a:solidFill>
          <a:prstDash val="solid"/>
        </a:ln>
      </c:spPr>
    </c:plotArea>
    <c:legend>
      <c:legendPos val="t"/>
      <c:legendEntry>
        <c:idx val="0"/>
        <c:txPr>
          <a:bodyPr/>
          <a:lstStyle/>
          <a:p>
            <a:pPr>
              <a:defRPr b="0"/>
            </a:pPr>
            <a:endParaRPr lang="cs-CZ"/>
          </a:p>
        </c:txPr>
      </c:legendEntry>
      <c:legendEntry>
        <c:idx val="1"/>
        <c:txPr>
          <a:bodyPr/>
          <a:lstStyle/>
          <a:p>
            <a:pPr>
              <a:defRPr b="0" i="0"/>
            </a:pPr>
            <a:endParaRPr lang="cs-CZ"/>
          </a:p>
        </c:txPr>
      </c:legendEntry>
      <c:layout>
        <c:manualLayout>
          <c:xMode val="edge"/>
          <c:yMode val="edge"/>
          <c:x val="0.66634854497354501"/>
          <c:y val="0.191435042735043"/>
          <c:w val="0.27904431216931203"/>
          <c:h val="0.12415907768970995"/>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B</a:t>
            </a:r>
            <a:r>
              <a:rPr lang="cs-CZ" sz="800"/>
              <a:t>2</a:t>
            </a:r>
            <a:r>
              <a:rPr lang="en-US" sz="800"/>
              <a:t> </a:t>
            </a:r>
            <a:r>
              <a:rPr lang="cs-CZ" sz="800"/>
              <a:t>Share </a:t>
            </a:r>
            <a:r>
              <a:rPr lang="cs-CZ" sz="800" baseline="0"/>
              <a:t>of h</a:t>
            </a:r>
            <a:r>
              <a:rPr lang="en-US" sz="800"/>
              <a:t>ouseholds in EU</a:t>
            </a:r>
            <a:r>
              <a:rPr lang="cs-CZ" sz="800" baseline="0"/>
              <a:t> </a:t>
            </a:r>
            <a:r>
              <a:rPr lang="en-US" sz="800"/>
              <a:t>countries with </a:t>
            </a:r>
            <a:r>
              <a:rPr lang="cs-CZ" sz="800"/>
              <a:t>a </a:t>
            </a:r>
            <a:r>
              <a:rPr lang="en-US" sz="800"/>
              <a:t>fixed </a:t>
            </a:r>
            <a:r>
              <a:rPr lang="cs-CZ" sz="800"/>
              <a:t>tele</a:t>
            </a:r>
            <a:r>
              <a:rPr lang="en-US" sz="800"/>
              <a:t>phone</a:t>
            </a:r>
            <a:r>
              <a:rPr lang="cs-CZ" sz="800"/>
              <a:t> in 2015 (%)*</a:t>
            </a:r>
            <a:endParaRPr lang="en-US" sz="800"/>
          </a:p>
        </c:rich>
      </c:tx>
      <c:layout/>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B_ENG!$B$24</c:f>
              <c:strCache>
                <c:ptCount val="1"/>
                <c:pt idx="0">
                  <c:v>2015</c:v>
                </c:pt>
              </c:strCache>
            </c:strRef>
          </c:tx>
          <c:spPr>
            <a:solidFill>
              <a:srgbClr val="009BB4"/>
            </a:solidFill>
          </c:spPr>
          <c:invertIfNegative val="0"/>
          <c:dPt>
            <c:idx val="13"/>
            <c:invertIfNegative val="0"/>
            <c:bubble3D val="0"/>
            <c:spPr>
              <a:solidFill>
                <a:srgbClr val="47E5FF"/>
              </a:solidFill>
              <a:ln>
                <a:solidFill>
                  <a:srgbClr val="FF0000"/>
                </a:solidFill>
              </a:ln>
            </c:spPr>
            <c:extLst>
              <c:ext xmlns:c16="http://schemas.microsoft.com/office/drawing/2014/chart" uri="{C3380CC4-5D6E-409C-BE32-E72D297353CC}">
                <c16:uniqueId val="{00000001-FCEA-4225-A79A-789061B6786E}"/>
              </c:ext>
            </c:extLst>
          </c:dPt>
          <c:dPt>
            <c:idx val="28"/>
            <c:invertIfNegative val="0"/>
            <c:bubble3D val="0"/>
            <c:spPr>
              <a:solidFill>
                <a:srgbClr val="47E5FF"/>
              </a:solidFill>
              <a:ln>
                <a:solidFill>
                  <a:srgbClr val="FF0000"/>
                </a:solidFill>
              </a:ln>
            </c:spPr>
            <c:extLst>
              <c:ext xmlns:c16="http://schemas.microsoft.com/office/drawing/2014/chart" uri="{C3380CC4-5D6E-409C-BE32-E72D297353CC}">
                <c16:uniqueId val="{00000003-FCEA-4225-A79A-789061B6786E}"/>
              </c:ext>
            </c:extLst>
          </c:dPt>
          <c:dLbls>
            <c:dLbl>
              <c:idx val="13"/>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FCEA-4225-A79A-789061B6786E}"/>
                </c:ext>
              </c:extLst>
            </c:dLbl>
            <c:dLbl>
              <c:idx val="27"/>
              <c:layout>
                <c:manualLayout>
                  <c:x val="0"/>
                  <c:y val="9.2898677204577326E-2"/>
                </c:manualLayout>
              </c:layout>
              <c:spPr/>
              <c:txPr>
                <a:bodyPr rot="-5400000" vert="horz"/>
                <a:lstStyle/>
                <a:p>
                  <a:pPr>
                    <a:defRPr sz="800" b="1">
                      <a:solidFill>
                        <a:schemeClr val="bg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CEA-4225-A79A-789061B6786E}"/>
                </c:ext>
              </c:extLst>
            </c:dLbl>
            <c:dLbl>
              <c:idx val="28"/>
              <c:layout>
                <c:manualLayout>
                  <c:x val="0"/>
                  <c:y val="9.1007148390386441E-2"/>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CEA-4225-A79A-789061B6786E}"/>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B_ENG!$A$25:$A$53</c:f>
              <c:strCache>
                <c:ptCount val="29"/>
                <c:pt idx="0">
                  <c:v>Malta</c:v>
                </c:pt>
                <c:pt idx="1">
                  <c:v>Netherlands</c:v>
                </c:pt>
                <c:pt idx="2">
                  <c:v>Luxembourg </c:v>
                </c:pt>
                <c:pt idx="3">
                  <c:v>Germany</c:v>
                </c:pt>
                <c:pt idx="4">
                  <c:v>Greece</c:v>
                </c:pt>
                <c:pt idx="5">
                  <c:v>France</c:v>
                </c:pt>
                <c:pt idx="6">
                  <c:v>United Kingdom</c:v>
                </c:pt>
                <c:pt idx="7">
                  <c:v>Croatia</c:v>
                </c:pt>
                <c:pt idx="8">
                  <c:v>Belgium</c:v>
                </c:pt>
                <c:pt idx="9">
                  <c:v>Slovenia</c:v>
                </c:pt>
                <c:pt idx="10">
                  <c:v>Portugal</c:v>
                </c:pt>
                <c:pt idx="11">
                  <c:v>Spain</c:v>
                </c:pt>
                <c:pt idx="12">
                  <c:v>Ireland</c:v>
                </c:pt>
                <c:pt idx="13">
                  <c:v>EU28</c:v>
                </c:pt>
                <c:pt idx="14">
                  <c:v>Cyprus</c:v>
                </c:pt>
                <c:pt idx="15">
                  <c:v>Italy</c:v>
                </c:pt>
                <c:pt idx="16">
                  <c:v>Sweden</c:v>
                </c:pt>
                <c:pt idx="17">
                  <c:v>Hungary</c:v>
                </c:pt>
                <c:pt idx="18">
                  <c:v>Bulgaria</c:v>
                </c:pt>
                <c:pt idx="19">
                  <c:v>Estonia</c:v>
                </c:pt>
                <c:pt idx="20">
                  <c:v>Austria</c:v>
                </c:pt>
                <c:pt idx="21">
                  <c:v>Denmark</c:v>
                </c:pt>
                <c:pt idx="22">
                  <c:v>Romania</c:v>
                </c:pt>
                <c:pt idx="23">
                  <c:v>Lithuania</c:v>
                </c:pt>
                <c:pt idx="24">
                  <c:v>Poland</c:v>
                </c:pt>
                <c:pt idx="25">
                  <c:v>Latvia</c:v>
                </c:pt>
                <c:pt idx="26">
                  <c:v>Slovakia</c:v>
                </c:pt>
                <c:pt idx="27">
                  <c:v>Finland</c:v>
                </c:pt>
                <c:pt idx="28">
                  <c:v>Czech Republic</c:v>
                </c:pt>
              </c:strCache>
            </c:strRef>
          </c:cat>
          <c:val>
            <c:numRef>
              <c:f>B_ENG!$B$25:$B$53</c:f>
              <c:numCache>
                <c:formatCode>0%</c:formatCode>
                <c:ptCount val="29"/>
                <c:pt idx="0">
                  <c:v>0.93</c:v>
                </c:pt>
                <c:pt idx="1">
                  <c:v>0.85</c:v>
                </c:pt>
                <c:pt idx="2">
                  <c:v>0.85</c:v>
                </c:pt>
                <c:pt idx="3">
                  <c:v>0.85</c:v>
                </c:pt>
                <c:pt idx="4">
                  <c:v>0.83</c:v>
                </c:pt>
                <c:pt idx="5">
                  <c:v>0.81</c:v>
                </c:pt>
                <c:pt idx="6">
                  <c:v>0.78</c:v>
                </c:pt>
                <c:pt idx="7">
                  <c:v>0.75</c:v>
                </c:pt>
                <c:pt idx="8">
                  <c:v>0.73</c:v>
                </c:pt>
                <c:pt idx="9">
                  <c:v>0.72</c:v>
                </c:pt>
                <c:pt idx="10">
                  <c:v>0.71</c:v>
                </c:pt>
                <c:pt idx="11">
                  <c:v>0.71</c:v>
                </c:pt>
                <c:pt idx="12">
                  <c:v>0.65</c:v>
                </c:pt>
                <c:pt idx="13">
                  <c:v>0.65</c:v>
                </c:pt>
                <c:pt idx="14">
                  <c:v>0.59</c:v>
                </c:pt>
                <c:pt idx="15">
                  <c:v>0.54</c:v>
                </c:pt>
                <c:pt idx="16">
                  <c:v>0.53</c:v>
                </c:pt>
                <c:pt idx="17">
                  <c:v>0.45</c:v>
                </c:pt>
                <c:pt idx="18">
                  <c:v>0.43</c:v>
                </c:pt>
                <c:pt idx="19">
                  <c:v>0.42</c:v>
                </c:pt>
                <c:pt idx="20">
                  <c:v>0.4</c:v>
                </c:pt>
                <c:pt idx="21">
                  <c:v>0.4</c:v>
                </c:pt>
                <c:pt idx="22">
                  <c:v>0.37</c:v>
                </c:pt>
                <c:pt idx="23">
                  <c:v>0.31</c:v>
                </c:pt>
                <c:pt idx="24">
                  <c:v>0.28999999999999998</c:v>
                </c:pt>
                <c:pt idx="25">
                  <c:v>0.28000000000000003</c:v>
                </c:pt>
                <c:pt idx="26">
                  <c:v>0.26</c:v>
                </c:pt>
                <c:pt idx="27">
                  <c:v>0.14000000000000001</c:v>
                </c:pt>
                <c:pt idx="28">
                  <c:v>0.13</c:v>
                </c:pt>
              </c:numCache>
            </c:numRef>
          </c:val>
          <c:extLst>
            <c:ext xmlns:c16="http://schemas.microsoft.com/office/drawing/2014/chart" uri="{C3380CC4-5D6E-409C-BE32-E72D297353CC}">
              <c16:uniqueId val="{00000005-FCEA-4225-A79A-789061B6786E}"/>
            </c:ext>
          </c:extLst>
        </c:ser>
        <c:dLbls>
          <c:showLegendKey val="0"/>
          <c:showVal val="0"/>
          <c:showCatName val="0"/>
          <c:showSerName val="0"/>
          <c:showPercent val="0"/>
          <c:showBubbleSize val="0"/>
        </c:dLbls>
        <c:gapWidth val="50"/>
        <c:axId val="161764864"/>
        <c:axId val="161378816"/>
      </c:barChart>
      <c:catAx>
        <c:axId val="161764864"/>
        <c:scaling>
          <c:orientation val="minMax"/>
        </c:scaling>
        <c:delete val="0"/>
        <c:axPos val="b"/>
        <c:numFmt formatCode="General" sourceLinked="0"/>
        <c:majorTickMark val="out"/>
        <c:minorTickMark val="none"/>
        <c:tickLblPos val="nextTo"/>
        <c:spPr>
          <a:ln w="3175">
            <a:solidFill>
              <a:schemeClr val="tx1"/>
            </a:solidFill>
          </a:ln>
        </c:spPr>
        <c:crossAx val="161378816"/>
        <c:crosses val="autoZero"/>
        <c:auto val="1"/>
        <c:lblAlgn val="ctr"/>
        <c:lblOffset val="100"/>
        <c:noMultiLvlLbl val="0"/>
      </c:catAx>
      <c:valAx>
        <c:axId val="161378816"/>
        <c:scaling>
          <c:orientation val="minMax"/>
          <c:max val="1"/>
          <c:min val="0"/>
        </c:scaling>
        <c:delete val="1"/>
        <c:axPos val="l"/>
        <c:numFmt formatCode="0%" sourceLinked="1"/>
        <c:majorTickMark val="out"/>
        <c:minorTickMark val="none"/>
        <c:tickLblPos val="nextTo"/>
        <c:crossAx val="161764864"/>
        <c:crosses val="autoZero"/>
        <c:crossBetween val="between"/>
        <c:majorUnit val="0.1"/>
        <c:minorUnit val="0.05"/>
      </c:valAx>
      <c:spPr>
        <a:ln>
          <a:solidFill>
            <a:schemeClr val="tx1">
              <a:tint val="75000"/>
              <a:shade val="95000"/>
              <a:satMod val="105000"/>
            </a:schemeClr>
          </a:solidFill>
        </a:ln>
      </c:spPr>
    </c:plotArea>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B3 Households in the Czech Republic </a:t>
            </a:r>
          </a:p>
          <a:p>
            <a:pPr>
              <a:defRPr sz="800" b="1"/>
            </a:pPr>
            <a:r>
              <a:rPr lang="cs-CZ" sz="800" b="1"/>
              <a:t>with access to a telephone (%) </a:t>
            </a:r>
          </a:p>
        </c:rich>
      </c:tx>
      <c:layout/>
      <c:overlay val="1"/>
    </c:title>
    <c:autoTitleDeleted val="0"/>
    <c:plotArea>
      <c:layout>
        <c:manualLayout>
          <c:layoutTarget val="inner"/>
          <c:xMode val="edge"/>
          <c:yMode val="edge"/>
          <c:x val="0.328330872011252"/>
          <c:y val="0.16299484126984101"/>
          <c:w val="0.63395007032348805"/>
          <c:h val="0.69659007936507999"/>
        </c:manualLayout>
      </c:layout>
      <c:barChart>
        <c:barDir val="bar"/>
        <c:grouping val="clustered"/>
        <c:varyColors val="0"/>
        <c:ser>
          <c:idx val="0"/>
          <c:order val="0"/>
          <c:tx>
            <c:strRef>
              <c:f>B_ENG!$B$58</c:f>
              <c:strCache>
                <c:ptCount val="1"/>
                <c:pt idx="0">
                  <c:v> 1999</c:v>
                </c:pt>
              </c:strCache>
            </c:strRef>
          </c:tx>
          <c:spPr>
            <a:solidFill>
              <a:srgbClr val="47E5FF"/>
            </a:solidFill>
            <a:ln w="25400">
              <a:noFill/>
            </a:ln>
          </c:spPr>
          <c:invertIfNegative val="0"/>
          <c:dLbls>
            <c:dLbl>
              <c:idx val="0"/>
              <c:layout>
                <c:manualLayout>
                  <c:x val="-9.291521486643389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0A4-48CD-B656-9D72DAC5A2F3}"/>
                </c:ext>
              </c:extLst>
            </c:dLbl>
            <c:dLbl>
              <c:idx val="2"/>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0A4-48CD-B656-9D72DAC5A2F3}"/>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B_ENG!$A$59:$A$62</c:f>
              <c:strCache>
                <c:ptCount val="4"/>
                <c:pt idx="0">
                  <c:v>Access to neither 
fixed nor 
mobile phone</c:v>
                </c:pt>
                <c:pt idx="1">
                  <c:v>Access to 
a fixed phone 
only</c:v>
                </c:pt>
                <c:pt idx="2">
                  <c:v>Access to 
a mobile phone 
only</c:v>
                </c:pt>
                <c:pt idx="3">
                  <c:v>Access to both 
fixed and 
mobile phone</c:v>
                </c:pt>
              </c:strCache>
            </c:strRef>
          </c:cat>
          <c:val>
            <c:numRef>
              <c:f>B_ENG!$B$59:$B$62</c:f>
              <c:numCache>
                <c:formatCode>0%</c:formatCode>
                <c:ptCount val="4"/>
                <c:pt idx="0">
                  <c:v>0.20300000000000001</c:v>
                </c:pt>
                <c:pt idx="1">
                  <c:v>0.69669999999999999</c:v>
                </c:pt>
                <c:pt idx="2">
                  <c:v>2.7900000000000001E-2</c:v>
                </c:pt>
                <c:pt idx="3">
                  <c:v>7.2300000000000003E-2</c:v>
                </c:pt>
              </c:numCache>
            </c:numRef>
          </c:val>
          <c:extLst>
            <c:ext xmlns:c16="http://schemas.microsoft.com/office/drawing/2014/chart" uri="{C3380CC4-5D6E-409C-BE32-E72D297353CC}">
              <c16:uniqueId val="{00000002-70A4-48CD-B656-9D72DAC5A2F3}"/>
            </c:ext>
          </c:extLst>
        </c:ser>
        <c:ser>
          <c:idx val="1"/>
          <c:order val="1"/>
          <c:tx>
            <c:strRef>
              <c:f>B_ENG!$C$58</c:f>
              <c:strCache>
                <c:ptCount val="1"/>
                <c:pt idx="0">
                  <c:v> 2006</c:v>
                </c:pt>
              </c:strCache>
            </c:strRef>
          </c:tx>
          <c:spPr>
            <a:solidFill>
              <a:srgbClr val="00C5E9"/>
            </a:solidFill>
            <a:ln w="25400">
              <a:noFill/>
            </a:ln>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0A4-48CD-B656-9D72DAC5A2F3}"/>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0A4-48CD-B656-9D72DAC5A2F3}"/>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B_ENG!$A$59:$A$62</c:f>
              <c:strCache>
                <c:ptCount val="4"/>
                <c:pt idx="0">
                  <c:v>Access to neither 
fixed nor 
mobile phone</c:v>
                </c:pt>
                <c:pt idx="1">
                  <c:v>Access to 
a fixed phone 
only</c:v>
                </c:pt>
                <c:pt idx="2">
                  <c:v>Access to 
a mobile phone 
only</c:v>
                </c:pt>
                <c:pt idx="3">
                  <c:v>Access to both 
fixed and 
mobile phone</c:v>
                </c:pt>
              </c:strCache>
            </c:strRef>
          </c:cat>
          <c:val>
            <c:numRef>
              <c:f>B_ENG!$C$59:$C$62</c:f>
              <c:numCache>
                <c:formatCode>0%</c:formatCode>
                <c:ptCount val="4"/>
                <c:pt idx="0">
                  <c:v>3.8899999999999997E-2</c:v>
                </c:pt>
                <c:pt idx="1">
                  <c:v>7.8600000000000003E-2</c:v>
                </c:pt>
                <c:pt idx="2">
                  <c:v>0.52100000000000002</c:v>
                </c:pt>
                <c:pt idx="3">
                  <c:v>0.36159999999999998</c:v>
                </c:pt>
              </c:numCache>
            </c:numRef>
          </c:val>
          <c:extLst>
            <c:ext xmlns:c16="http://schemas.microsoft.com/office/drawing/2014/chart" uri="{C3380CC4-5D6E-409C-BE32-E72D297353CC}">
              <c16:uniqueId val="{00000005-70A4-48CD-B656-9D72DAC5A2F3}"/>
            </c:ext>
          </c:extLst>
        </c:ser>
        <c:ser>
          <c:idx val="2"/>
          <c:order val="2"/>
          <c:tx>
            <c:strRef>
              <c:f>B_ENG!$D$58</c:f>
              <c:strCache>
                <c:ptCount val="1"/>
                <c:pt idx="0">
                  <c:v> 2016</c:v>
                </c:pt>
              </c:strCache>
            </c:strRef>
          </c:tx>
          <c:spPr>
            <a:solidFill>
              <a:srgbClr val="009BB4"/>
            </a:solidFill>
            <a:ln w="25400">
              <a:noFill/>
            </a:ln>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0A4-48CD-B656-9D72DAC5A2F3}"/>
                </c:ext>
              </c:extLst>
            </c:dLbl>
            <c:dLbl>
              <c:idx val="1"/>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0A4-48CD-B656-9D72DAC5A2F3}"/>
                </c:ext>
              </c:extLst>
            </c:dLbl>
            <c:dLbl>
              <c:idx val="2"/>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8-70A4-48CD-B656-9D72DAC5A2F3}"/>
                </c:ext>
              </c:extLst>
            </c:dLbl>
            <c:dLbl>
              <c:idx val="3"/>
              <c:layout>
                <c:manualLayout>
                  <c:x val="-9.6380801687763695E-2"/>
                  <c:y val="2.30982781402649E-17"/>
                </c:manualLayout>
              </c:layout>
              <c:numFmt formatCode="0%" sourceLinked="0"/>
              <c:spPr>
                <a:noFill/>
                <a:ln w="25400">
                  <a:noFill/>
                </a:ln>
              </c:spPr>
              <c:txPr>
                <a:bodyPr/>
                <a:lstStyle/>
                <a:p>
                  <a:pPr>
                    <a:defRPr b="1">
                      <a:solidFill>
                        <a:schemeClr val="bg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0A4-48CD-B656-9D72DAC5A2F3}"/>
                </c:ext>
              </c:extLst>
            </c:dLbl>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B_ENG!$A$59:$A$62</c:f>
              <c:strCache>
                <c:ptCount val="4"/>
                <c:pt idx="0">
                  <c:v>Access to neither 
fixed nor 
mobile phone</c:v>
                </c:pt>
                <c:pt idx="1">
                  <c:v>Access to 
a fixed phone 
only</c:v>
                </c:pt>
                <c:pt idx="2">
                  <c:v>Access to 
a mobile phone 
only</c:v>
                </c:pt>
                <c:pt idx="3">
                  <c:v>Access to both 
fixed and 
mobile phone</c:v>
                </c:pt>
              </c:strCache>
            </c:strRef>
          </c:cat>
          <c:val>
            <c:numRef>
              <c:f>B_ENG!$D$59:$D$62</c:f>
              <c:numCache>
                <c:formatCode>0%</c:formatCode>
                <c:ptCount val="4"/>
                <c:pt idx="0">
                  <c:v>8.8000000000000005E-3</c:v>
                </c:pt>
                <c:pt idx="1">
                  <c:v>5.0000000000000001E-3</c:v>
                </c:pt>
                <c:pt idx="2">
                  <c:v>0.85529999999999995</c:v>
                </c:pt>
                <c:pt idx="3">
                  <c:v>0.13089999999999999</c:v>
                </c:pt>
              </c:numCache>
            </c:numRef>
          </c:val>
          <c:extLst>
            <c:ext xmlns:c16="http://schemas.microsoft.com/office/drawing/2014/chart" uri="{C3380CC4-5D6E-409C-BE32-E72D297353CC}">
              <c16:uniqueId val="{0000000A-70A4-48CD-B656-9D72DAC5A2F3}"/>
            </c:ext>
          </c:extLst>
        </c:ser>
        <c:dLbls>
          <c:showLegendKey val="0"/>
          <c:showVal val="1"/>
          <c:showCatName val="0"/>
          <c:showSerName val="0"/>
          <c:showPercent val="0"/>
          <c:showBubbleSize val="0"/>
        </c:dLbls>
        <c:gapWidth val="57"/>
        <c:axId val="161765888"/>
        <c:axId val="161381120"/>
      </c:barChart>
      <c:catAx>
        <c:axId val="16176588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61381120"/>
        <c:crosses val="autoZero"/>
        <c:auto val="1"/>
        <c:lblAlgn val="ctr"/>
        <c:lblOffset val="40"/>
        <c:tickLblSkip val="1"/>
        <c:tickMarkSkip val="1"/>
        <c:noMultiLvlLbl val="0"/>
      </c:catAx>
      <c:valAx>
        <c:axId val="161381120"/>
        <c:scaling>
          <c:orientation val="minMax"/>
          <c:max val="1"/>
        </c:scaling>
        <c:delete val="0"/>
        <c:axPos val="b"/>
        <c:numFmt formatCode="0%" sourceLinked="1"/>
        <c:majorTickMark val="none"/>
        <c:minorTickMark val="none"/>
        <c:tickLblPos val="none"/>
        <c:spPr>
          <a:ln w="9525">
            <a:noFill/>
          </a:ln>
        </c:spPr>
        <c:crossAx val="161765888"/>
        <c:crosses val="autoZero"/>
        <c:crossBetween val="between"/>
        <c:majorUnit val="0.1"/>
        <c:minorUnit val="0.01"/>
      </c:valAx>
      <c:spPr>
        <a:noFill/>
        <a:ln w="12700">
          <a:solidFill>
            <a:srgbClr val="969696"/>
          </a:solidFill>
          <a:prstDash val="solid"/>
        </a:ln>
      </c:spPr>
    </c:plotArea>
    <c:legend>
      <c:legendPos val="r"/>
      <c:layout>
        <c:manualLayout>
          <c:xMode val="edge"/>
          <c:yMode val="edge"/>
          <c:x val="0.73678660130718998"/>
          <c:y val="0.18978769841269799"/>
          <c:w val="0.20898125000000001"/>
          <c:h val="0.13433452380952399"/>
        </c:manualLayout>
      </c:layout>
      <c:overlay val="0"/>
      <c:spPr>
        <a:solidFill>
          <a:schemeClr val="bg1"/>
        </a:solid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B4 Number of mobile phones used in Czech households per 1 member of household*</a:t>
            </a:r>
          </a:p>
        </c:rich>
      </c:tx>
      <c:layout/>
      <c:overlay val="1"/>
    </c:title>
    <c:autoTitleDeleted val="0"/>
    <c:plotArea>
      <c:layout>
        <c:manualLayout>
          <c:layoutTarget val="inner"/>
          <c:xMode val="edge"/>
          <c:yMode val="edge"/>
          <c:x val="0.32100246913580299"/>
          <c:y val="0.177087698412699"/>
          <c:w val="0.65099753086419898"/>
          <c:h val="0.63861349206349305"/>
        </c:manualLayout>
      </c:layout>
      <c:barChart>
        <c:barDir val="bar"/>
        <c:grouping val="clustered"/>
        <c:varyColors val="0"/>
        <c:ser>
          <c:idx val="0"/>
          <c:order val="0"/>
          <c:tx>
            <c:strRef>
              <c:f>B_ENG!$G$57</c:f>
              <c:strCache>
                <c:ptCount val="1"/>
                <c:pt idx="0">
                  <c:v> 2016</c:v>
                </c:pt>
              </c:strCache>
            </c:strRef>
          </c:tx>
          <c:spPr>
            <a:solidFill>
              <a:srgbClr val="009BB4"/>
            </a:solidFill>
            <a:ln w="25400">
              <a:noFill/>
            </a:ln>
          </c:spPr>
          <c:invertIfNegative val="0"/>
          <c:dLbls>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B_ENG!$F$58:$F$60</c:f>
              <c:strCache>
                <c:ptCount val="3"/>
                <c:pt idx="0">
                  <c:v>HHs in the lowest income group 
(first quintil)</c:v>
                </c:pt>
                <c:pt idx="1">
                  <c:v>HHs in the highest income group 
(fifth quintil)</c:v>
                </c:pt>
                <c:pt idx="2">
                  <c:v>All 
households (HHs)</c:v>
                </c:pt>
              </c:strCache>
            </c:strRef>
          </c:cat>
          <c:val>
            <c:numRef>
              <c:f>B_ENG!$G$58:$G$60</c:f>
              <c:numCache>
                <c:formatCode>0.00</c:formatCode>
                <c:ptCount val="3"/>
                <c:pt idx="0">
                  <c:v>0.88494208494208504</c:v>
                </c:pt>
                <c:pt idx="1">
                  <c:v>1.1563218390804599</c:v>
                </c:pt>
                <c:pt idx="2">
                  <c:v>0.99086538461538398</c:v>
                </c:pt>
              </c:numCache>
            </c:numRef>
          </c:val>
          <c:extLst>
            <c:ext xmlns:c16="http://schemas.microsoft.com/office/drawing/2014/chart" uri="{C3380CC4-5D6E-409C-BE32-E72D297353CC}">
              <c16:uniqueId val="{00000000-B2EF-4F82-97AA-DC2EAEED62E1}"/>
            </c:ext>
          </c:extLst>
        </c:ser>
        <c:dLbls>
          <c:showLegendKey val="0"/>
          <c:showVal val="0"/>
          <c:showCatName val="0"/>
          <c:showSerName val="0"/>
          <c:showPercent val="0"/>
          <c:showBubbleSize val="0"/>
        </c:dLbls>
        <c:gapWidth val="100"/>
        <c:axId val="168288256"/>
        <c:axId val="168305216"/>
      </c:barChart>
      <c:barChart>
        <c:barDir val="bar"/>
        <c:grouping val="clustered"/>
        <c:varyColors val="0"/>
        <c:ser>
          <c:idx val="1"/>
          <c:order val="1"/>
          <c:tx>
            <c:strRef>
              <c:f>B_ENG!$H$57</c:f>
              <c:strCache>
                <c:ptCount val="1"/>
                <c:pt idx="0">
                  <c:v> 2005</c:v>
                </c:pt>
              </c:strCache>
            </c:strRef>
          </c:tx>
          <c:spPr>
            <a:solidFill>
              <a:srgbClr val="47E5FF"/>
            </a:solidFill>
          </c:spPr>
          <c:invertIfNegative val="0"/>
          <c:dLbls>
            <c:dLbl>
              <c:idx val="1"/>
              <c:layout>
                <c:manualLayout>
                  <c:x val="-0.1094080061260829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EF-4F82-97AA-DC2EAEED62E1}"/>
                </c:ext>
              </c:extLst>
            </c:dLbl>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B_ENG!$F$58:$F$60</c:f>
              <c:strCache>
                <c:ptCount val="3"/>
                <c:pt idx="0">
                  <c:v>HHs in the lowest income group 
(first quintil)</c:v>
                </c:pt>
                <c:pt idx="1">
                  <c:v>HHs in the highest income group 
(fifth quintil)</c:v>
                </c:pt>
                <c:pt idx="2">
                  <c:v>All 
households (HHs)</c:v>
                </c:pt>
              </c:strCache>
            </c:strRef>
          </c:cat>
          <c:val>
            <c:numRef>
              <c:f>B_ENG!$H$58:$H$60</c:f>
              <c:numCache>
                <c:formatCode>0.00</c:formatCode>
                <c:ptCount val="3"/>
                <c:pt idx="0">
                  <c:v>0.51700000000000002</c:v>
                </c:pt>
                <c:pt idx="1">
                  <c:v>0.78280000000000005</c:v>
                </c:pt>
                <c:pt idx="2">
                  <c:v>0.63504273504273501</c:v>
                </c:pt>
              </c:numCache>
            </c:numRef>
          </c:val>
          <c:extLst>
            <c:ext xmlns:c16="http://schemas.microsoft.com/office/drawing/2014/chart" uri="{C3380CC4-5D6E-409C-BE32-E72D297353CC}">
              <c16:uniqueId val="{00000002-B2EF-4F82-97AA-DC2EAEED62E1}"/>
            </c:ext>
          </c:extLst>
        </c:ser>
        <c:dLbls>
          <c:showLegendKey val="0"/>
          <c:showVal val="0"/>
          <c:showCatName val="0"/>
          <c:showSerName val="0"/>
          <c:showPercent val="0"/>
          <c:showBubbleSize val="0"/>
        </c:dLbls>
        <c:gapWidth val="200"/>
        <c:axId val="168289792"/>
        <c:axId val="168305792"/>
      </c:barChart>
      <c:catAx>
        <c:axId val="16828825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68305216"/>
        <c:crosses val="autoZero"/>
        <c:auto val="1"/>
        <c:lblAlgn val="ctr"/>
        <c:lblOffset val="100"/>
        <c:tickLblSkip val="1"/>
        <c:tickMarkSkip val="1"/>
        <c:noMultiLvlLbl val="0"/>
      </c:catAx>
      <c:valAx>
        <c:axId val="168305216"/>
        <c:scaling>
          <c:orientation val="minMax"/>
          <c:max val="1.2"/>
          <c:min val="0"/>
        </c:scaling>
        <c:delete val="0"/>
        <c:axPos val="b"/>
        <c:numFmt formatCode="0.00" sourceLinked="1"/>
        <c:majorTickMark val="none"/>
        <c:minorTickMark val="none"/>
        <c:tickLblPos val="none"/>
        <c:spPr>
          <a:ln w="9525">
            <a:noFill/>
          </a:ln>
        </c:spPr>
        <c:crossAx val="168288256"/>
        <c:crosses val="autoZero"/>
        <c:crossBetween val="between"/>
        <c:majorUnit val="0.2"/>
        <c:minorUnit val="0.01"/>
      </c:valAx>
      <c:valAx>
        <c:axId val="168305792"/>
        <c:scaling>
          <c:orientation val="minMax"/>
          <c:max val="1.2"/>
          <c:min val="0"/>
        </c:scaling>
        <c:delete val="0"/>
        <c:axPos val="t"/>
        <c:numFmt formatCode="0.00" sourceLinked="1"/>
        <c:majorTickMark val="none"/>
        <c:minorTickMark val="none"/>
        <c:tickLblPos val="none"/>
        <c:crossAx val="168289792"/>
        <c:crosses val="max"/>
        <c:crossBetween val="between"/>
        <c:majorUnit val="0.2"/>
        <c:minorUnit val="0.01"/>
      </c:valAx>
      <c:catAx>
        <c:axId val="168289792"/>
        <c:scaling>
          <c:orientation val="minMax"/>
        </c:scaling>
        <c:delete val="1"/>
        <c:axPos val="l"/>
        <c:numFmt formatCode="General" sourceLinked="0"/>
        <c:majorTickMark val="out"/>
        <c:minorTickMark val="none"/>
        <c:tickLblPos val="none"/>
        <c:crossAx val="168305792"/>
        <c:crosses val="autoZero"/>
        <c:auto val="1"/>
        <c:lblAlgn val="ctr"/>
        <c:lblOffset val="100"/>
        <c:noMultiLvlLbl val="0"/>
      </c:catAx>
      <c:spPr>
        <a:noFill/>
        <a:ln w="12700">
          <a:solidFill>
            <a:srgbClr val="969696"/>
          </a:solidFill>
          <a:prstDash val="solid"/>
        </a:ln>
      </c:spPr>
    </c:plotArea>
    <c:legend>
      <c:legendPos val="r"/>
      <c:layout>
        <c:manualLayout>
          <c:xMode val="edge"/>
          <c:yMode val="edge"/>
          <c:x val="0.82743137254901999"/>
          <c:y val="0.63511190476190404"/>
          <c:w val="0.13100359477124199"/>
          <c:h val="0.13644880952381"/>
        </c:manualLayout>
      </c:layout>
      <c:overlay val="0"/>
      <c:spPr>
        <a:solidFill>
          <a:schemeClr val="bg1"/>
        </a:solidFill>
        <a:ln>
          <a:solidFill>
            <a:schemeClr val="tx1">
              <a:tint val="75000"/>
              <a:shade val="95000"/>
              <a:satMod val="105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Figure B</a:t>
            </a:r>
            <a:r>
              <a:rPr lang="cs-CZ" sz="800" b="1"/>
              <a:t>5</a:t>
            </a:r>
            <a:r>
              <a:rPr lang="en-US" sz="800" b="1"/>
              <a:t> </a:t>
            </a:r>
            <a:r>
              <a:rPr lang="cs-CZ" sz="800" b="1"/>
              <a:t>Ho</a:t>
            </a:r>
            <a:r>
              <a:rPr lang="en-US" sz="800" b="1"/>
              <a:t>usehold </a:t>
            </a:r>
            <a:r>
              <a:rPr lang="cs-CZ" sz="800" b="1"/>
              <a:t>consumption </a:t>
            </a:r>
            <a:r>
              <a:rPr lang="en-US" sz="800" b="1"/>
              <a:t>expenditure </a:t>
            </a:r>
            <a:endParaRPr lang="cs-CZ" sz="800" b="1"/>
          </a:p>
          <a:p>
            <a:pPr>
              <a:defRPr sz="800" b="1"/>
            </a:pPr>
            <a:r>
              <a:rPr lang="en-US" sz="800" b="1"/>
              <a:t>for telecomm</a:t>
            </a:r>
            <a:r>
              <a:rPr lang="cs-CZ" sz="800" b="1"/>
              <a:t>.</a:t>
            </a:r>
            <a:r>
              <a:rPr lang="en-US" sz="800" b="1"/>
              <a:t> services </a:t>
            </a:r>
            <a:r>
              <a:rPr lang="cs-CZ" sz="800" b="1"/>
              <a:t>in the Czech Republic</a:t>
            </a:r>
            <a:endParaRPr lang="en-US" sz="800" b="1"/>
          </a:p>
        </c:rich>
      </c:tx>
      <c:overlay val="1"/>
    </c:title>
    <c:autoTitleDeleted val="0"/>
    <c:plotArea>
      <c:layout>
        <c:manualLayout>
          <c:layoutTarget val="inner"/>
          <c:xMode val="edge"/>
          <c:yMode val="edge"/>
          <c:x val="2.2538872296135399E-2"/>
          <c:y val="0.166674603174603"/>
          <c:w val="0.95492225540772901"/>
          <c:h val="0.63360039682539704"/>
        </c:manualLayout>
      </c:layout>
      <c:barChart>
        <c:barDir val="col"/>
        <c:grouping val="clustered"/>
        <c:varyColors val="0"/>
        <c:ser>
          <c:idx val="2"/>
          <c:order val="0"/>
          <c:tx>
            <c:strRef>
              <c:f>B_ENG!$A$83</c:f>
              <c:strCache>
                <c:ptCount val="1"/>
                <c:pt idx="0">
                  <c:v> Billions CZK</c:v>
                </c:pt>
              </c:strCache>
            </c:strRef>
          </c:tx>
          <c:spPr>
            <a:solidFill>
              <a:srgbClr val="009BB4"/>
            </a:solidFill>
            <a:ln w="25400">
              <a:noFill/>
            </a:ln>
          </c:spPr>
          <c:invertIfNegative val="0"/>
          <c:dLbls>
            <c:dLbl>
              <c:idx val="0"/>
              <c:numFmt formatCode="#,##0.0" sourceLinked="0"/>
              <c:spPr/>
              <c:txPr>
                <a:bodyPr rot="0" vert="horz"/>
                <a:lstStyle/>
                <a:p>
                  <a:pPr>
                    <a:defRPr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0-0F49-417E-8030-F8B52DCC19CF}"/>
                </c:ext>
              </c:extLst>
            </c:dLbl>
            <c:numFmt formatCode="#,##0.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B_ENG!$B$82:$G$82</c:f>
              <c:numCache>
                <c:formatCode>@</c:formatCode>
                <c:ptCount val="6"/>
                <c:pt idx="0">
                  <c:v>1991</c:v>
                </c:pt>
                <c:pt idx="1">
                  <c:v>1996</c:v>
                </c:pt>
                <c:pt idx="2">
                  <c:v>2001</c:v>
                </c:pt>
                <c:pt idx="3">
                  <c:v>2006</c:v>
                </c:pt>
                <c:pt idx="4">
                  <c:v>2011</c:v>
                </c:pt>
                <c:pt idx="5">
                  <c:v>2016</c:v>
                </c:pt>
              </c:numCache>
            </c:numRef>
          </c:cat>
          <c:val>
            <c:numRef>
              <c:f>B_ENG!$B$83:$G$83</c:f>
              <c:numCache>
                <c:formatCode>#,##0.0</c:formatCode>
                <c:ptCount val="6"/>
                <c:pt idx="0">
                  <c:v>5.13</c:v>
                </c:pt>
                <c:pt idx="1">
                  <c:v>14.164999999999999</c:v>
                </c:pt>
                <c:pt idx="2">
                  <c:v>26.864000000000001</c:v>
                </c:pt>
                <c:pt idx="3">
                  <c:v>52.472000000000001</c:v>
                </c:pt>
                <c:pt idx="4">
                  <c:v>56.143000000000001</c:v>
                </c:pt>
                <c:pt idx="5">
                  <c:v>57.854999999999997</c:v>
                </c:pt>
              </c:numCache>
            </c:numRef>
          </c:val>
          <c:extLst>
            <c:ext xmlns:c16="http://schemas.microsoft.com/office/drawing/2014/chart" uri="{C3380CC4-5D6E-409C-BE32-E72D297353CC}">
              <c16:uniqueId val="{00000001-0F49-417E-8030-F8B52DCC19CF}"/>
            </c:ext>
          </c:extLst>
        </c:ser>
        <c:dLbls>
          <c:showLegendKey val="0"/>
          <c:showVal val="0"/>
          <c:showCatName val="0"/>
          <c:showSerName val="0"/>
          <c:showPercent val="0"/>
          <c:showBubbleSize val="0"/>
        </c:dLbls>
        <c:gapWidth val="40"/>
        <c:axId val="168288768"/>
        <c:axId val="168308096"/>
      </c:barChart>
      <c:lineChart>
        <c:grouping val="standard"/>
        <c:varyColors val="0"/>
        <c:ser>
          <c:idx val="0"/>
          <c:order val="1"/>
          <c:tx>
            <c:strRef>
              <c:f>B_ENG!$A$84</c:f>
              <c:strCache>
                <c:ptCount val="1"/>
                <c:pt idx="0">
                  <c:v> As % of total HHs expenditure</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B_ENG!$B$82:$G$82</c:f>
              <c:numCache>
                <c:formatCode>@</c:formatCode>
                <c:ptCount val="6"/>
                <c:pt idx="0">
                  <c:v>1991</c:v>
                </c:pt>
                <c:pt idx="1">
                  <c:v>1996</c:v>
                </c:pt>
                <c:pt idx="2">
                  <c:v>2001</c:v>
                </c:pt>
                <c:pt idx="3">
                  <c:v>2006</c:v>
                </c:pt>
                <c:pt idx="4">
                  <c:v>2011</c:v>
                </c:pt>
                <c:pt idx="5">
                  <c:v>2016</c:v>
                </c:pt>
              </c:numCache>
            </c:numRef>
          </c:cat>
          <c:val>
            <c:numRef>
              <c:f>B_ENG!$B$84:$G$84</c:f>
              <c:numCache>
                <c:formatCode>0.0%</c:formatCode>
                <c:ptCount val="6"/>
                <c:pt idx="0">
                  <c:v>1.1649083287539301E-2</c:v>
                </c:pt>
                <c:pt idx="1">
                  <c:v>1.51791981225588E-2</c:v>
                </c:pt>
                <c:pt idx="2">
                  <c:v>2.0193197424134599E-2</c:v>
                </c:pt>
                <c:pt idx="3">
                  <c:v>3.04868235358371E-2</c:v>
                </c:pt>
                <c:pt idx="4">
                  <c:v>2.75084973392071E-2</c:v>
                </c:pt>
                <c:pt idx="5">
                  <c:v>2.5180031450000001E-2</c:v>
                </c:pt>
              </c:numCache>
            </c:numRef>
          </c:val>
          <c:smooth val="0"/>
          <c:extLst>
            <c:ext xmlns:c16="http://schemas.microsoft.com/office/drawing/2014/chart" uri="{C3380CC4-5D6E-409C-BE32-E72D297353CC}">
              <c16:uniqueId val="{00000002-0F49-417E-8030-F8B52DCC19CF}"/>
            </c:ext>
          </c:extLst>
        </c:ser>
        <c:dLbls>
          <c:showLegendKey val="0"/>
          <c:showVal val="0"/>
          <c:showCatName val="0"/>
          <c:showSerName val="0"/>
          <c:showPercent val="0"/>
          <c:showBubbleSize val="0"/>
        </c:dLbls>
        <c:marker val="1"/>
        <c:smooth val="0"/>
        <c:axId val="169660416"/>
        <c:axId val="168308672"/>
      </c:lineChart>
      <c:catAx>
        <c:axId val="168288768"/>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68308096"/>
        <c:crosses val="autoZero"/>
        <c:auto val="1"/>
        <c:lblAlgn val="ctr"/>
        <c:lblOffset val="140"/>
        <c:tickLblSkip val="1"/>
        <c:tickMarkSkip val="1"/>
        <c:noMultiLvlLbl val="0"/>
      </c:catAx>
      <c:valAx>
        <c:axId val="168308096"/>
        <c:scaling>
          <c:orientation val="minMax"/>
          <c:max val="100"/>
          <c:min val="0"/>
        </c:scaling>
        <c:delete val="0"/>
        <c:axPos val="l"/>
        <c:numFmt formatCode="#,##0.0" sourceLinked="1"/>
        <c:majorTickMark val="none"/>
        <c:minorTickMark val="none"/>
        <c:tickLblPos val="none"/>
        <c:spPr>
          <a:ln w="9525">
            <a:noFill/>
          </a:ln>
        </c:spPr>
        <c:crossAx val="168288768"/>
        <c:crosses val="autoZero"/>
        <c:crossBetween val="between"/>
        <c:majorUnit val="10"/>
        <c:minorUnit val="1"/>
      </c:valAx>
      <c:catAx>
        <c:axId val="169660416"/>
        <c:scaling>
          <c:orientation val="minMax"/>
        </c:scaling>
        <c:delete val="1"/>
        <c:axPos val="b"/>
        <c:numFmt formatCode="@" sourceLinked="1"/>
        <c:majorTickMark val="out"/>
        <c:minorTickMark val="none"/>
        <c:tickLblPos val="none"/>
        <c:crossAx val="168308672"/>
        <c:crosses val="autoZero"/>
        <c:auto val="1"/>
        <c:lblAlgn val="ctr"/>
        <c:lblOffset val="100"/>
        <c:noMultiLvlLbl val="0"/>
      </c:catAx>
      <c:valAx>
        <c:axId val="168308672"/>
        <c:scaling>
          <c:orientation val="minMax"/>
          <c:max val="0.04"/>
          <c:min val="0"/>
        </c:scaling>
        <c:delete val="0"/>
        <c:axPos val="r"/>
        <c:numFmt formatCode="0.0%" sourceLinked="1"/>
        <c:majorTickMark val="none"/>
        <c:minorTickMark val="none"/>
        <c:tickLblPos val="none"/>
        <c:crossAx val="169660416"/>
        <c:crosses val="max"/>
        <c:crossBetween val="between"/>
        <c:majorUnit val="5.0000000000000001E-3"/>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2.5900462962963E-2"/>
          <c:y val="0.181263888888889"/>
          <c:w val="0.43075849673202599"/>
          <c:h val="0.18074960317460301"/>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Figure B</a:t>
            </a:r>
            <a:r>
              <a:rPr lang="cs-CZ" sz="800" b="1"/>
              <a:t>6</a:t>
            </a:r>
            <a:r>
              <a:rPr lang="en-US" sz="800" b="1"/>
              <a:t> </a:t>
            </a:r>
            <a:r>
              <a:rPr lang="cs-CZ" sz="800" b="1"/>
              <a:t>Telecommunication h</a:t>
            </a:r>
            <a:r>
              <a:rPr lang="en-US" sz="800" b="1"/>
              <a:t>ousehold </a:t>
            </a:r>
            <a:r>
              <a:rPr lang="cs-CZ" sz="800" b="1"/>
              <a:t>consumption </a:t>
            </a:r>
            <a:r>
              <a:rPr lang="en-US" sz="800" b="1"/>
              <a:t>expenditure </a:t>
            </a:r>
            <a:r>
              <a:rPr lang="cs-CZ" sz="800" b="1"/>
              <a:t>by type of services</a:t>
            </a:r>
            <a:r>
              <a:rPr lang="en-US" sz="800" b="1"/>
              <a:t> </a:t>
            </a:r>
            <a:r>
              <a:rPr lang="cs-CZ" sz="800" b="1"/>
              <a:t> </a:t>
            </a:r>
          </a:p>
          <a:p>
            <a:pPr>
              <a:defRPr sz="800" b="1"/>
            </a:pPr>
            <a:r>
              <a:rPr lang="cs-CZ" sz="800" b="1"/>
              <a:t>in the Czech Republic </a:t>
            </a:r>
            <a:r>
              <a:rPr lang="en-US" sz="800" b="1"/>
              <a:t>(%)</a:t>
            </a:r>
          </a:p>
        </c:rich>
      </c:tx>
      <c:overlay val="1"/>
    </c:title>
    <c:autoTitleDeleted val="0"/>
    <c:plotArea>
      <c:layout>
        <c:manualLayout>
          <c:layoutTarget val="inner"/>
          <c:xMode val="edge"/>
          <c:yMode val="edge"/>
          <c:x val="0.13881274509803901"/>
          <c:y val="0.19973849206349201"/>
          <c:w val="0.84571648056188198"/>
          <c:h val="0.55775198412698401"/>
        </c:manualLayout>
      </c:layout>
      <c:barChart>
        <c:barDir val="bar"/>
        <c:grouping val="percentStacked"/>
        <c:varyColors val="0"/>
        <c:ser>
          <c:idx val="4"/>
          <c:order val="0"/>
          <c:tx>
            <c:strRef>
              <c:f>B_ENG!$A$88</c:f>
              <c:strCache>
                <c:ptCount val="1"/>
                <c:pt idx="0">
                  <c:v>  Fixed line</c:v>
                </c:pt>
              </c:strCache>
            </c:strRef>
          </c:tx>
          <c:spPr>
            <a:solidFill>
              <a:srgbClr val="009BB4"/>
            </a:solidFill>
          </c:spPr>
          <c:invertIfNegative val="0"/>
          <c:dLbls>
            <c:dLbl>
              <c:idx val="0"/>
              <c:spPr/>
              <c:txPr>
                <a:bodyPr/>
                <a:lstStyle/>
                <a:p>
                  <a:pPr>
                    <a:defRPr b="1">
                      <a:solidFill>
                        <a:schemeClr val="bg1"/>
                      </a:solidFill>
                    </a:defRPr>
                  </a:pPr>
                  <a:endParaRPr lang="cs-CZ"/>
                </a:p>
              </c:txPr>
              <c:showLegendKey val="0"/>
              <c:showVal val="1"/>
              <c:showCatName val="0"/>
              <c:showSerName val="0"/>
              <c:showPercent val="0"/>
              <c:showBubbleSize val="0"/>
              <c:extLst>
                <c:ext xmlns:c16="http://schemas.microsoft.com/office/drawing/2014/chart" uri="{C3380CC4-5D6E-409C-BE32-E72D297353CC}">
                  <c16:uniqueId val="{00000000-0D5B-4B50-9A19-A1598057CDC9}"/>
                </c:ext>
              </c:extLst>
            </c:dLbl>
            <c:dLbl>
              <c:idx val="1"/>
              <c:spPr/>
              <c:txPr>
                <a:bodyPr/>
                <a:lstStyle/>
                <a:p>
                  <a:pPr>
                    <a:defRPr b="1">
                      <a:solidFill>
                        <a:schemeClr val="bg1"/>
                      </a:solidFill>
                    </a:defRPr>
                  </a:pPr>
                  <a:endParaRPr lang="cs-CZ"/>
                </a:p>
              </c:txPr>
              <c:showLegendKey val="0"/>
              <c:showVal val="1"/>
              <c:showCatName val="0"/>
              <c:showSerName val="0"/>
              <c:showPercent val="0"/>
              <c:showBubbleSize val="0"/>
              <c:extLst>
                <c:ext xmlns:c16="http://schemas.microsoft.com/office/drawing/2014/chart" uri="{C3380CC4-5D6E-409C-BE32-E72D297353CC}">
                  <c16:uniqueId val="{00000001-0D5B-4B50-9A19-A1598057CDC9}"/>
                </c:ext>
              </c:extLst>
            </c:dLbl>
            <c:dLbl>
              <c:idx val="2"/>
              <c:layout>
                <c:manualLayout>
                  <c:x val="4.5864038765585698E-3"/>
                  <c:y val="0"/>
                </c:manualLayout>
              </c:layout>
              <c:spPr/>
              <c:txPr>
                <a:bodyPr/>
                <a:lstStyle/>
                <a:p>
                  <a:pPr>
                    <a:defRPr b="1">
                      <a:solidFill>
                        <a:schemeClr val="bg1"/>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5B-4B50-9A19-A1598057CDC9}"/>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B_ENG!$B$87:$D$87</c:f>
              <c:strCache>
                <c:ptCount val="3"/>
                <c:pt idx="0">
                  <c:v>2006</c:v>
                </c:pt>
                <c:pt idx="1">
                  <c:v>2011</c:v>
                </c:pt>
                <c:pt idx="2">
                  <c:v>2016</c:v>
                </c:pt>
              </c:strCache>
            </c:strRef>
          </c:cat>
          <c:val>
            <c:numRef>
              <c:f>B_ENG!$B$88:$D$88</c:f>
              <c:numCache>
                <c:formatCode>0%</c:formatCode>
                <c:ptCount val="3"/>
                <c:pt idx="0">
                  <c:v>0.311490755909197</c:v>
                </c:pt>
                <c:pt idx="1">
                  <c:v>8.7754690336897298E-2</c:v>
                </c:pt>
                <c:pt idx="2">
                  <c:v>3.7405865900117498E-2</c:v>
                </c:pt>
              </c:numCache>
            </c:numRef>
          </c:val>
          <c:extLst>
            <c:ext xmlns:c16="http://schemas.microsoft.com/office/drawing/2014/chart" uri="{C3380CC4-5D6E-409C-BE32-E72D297353CC}">
              <c16:uniqueId val="{00000003-0D5B-4B50-9A19-A1598057CDC9}"/>
            </c:ext>
          </c:extLst>
        </c:ser>
        <c:ser>
          <c:idx val="0"/>
          <c:order val="1"/>
          <c:tx>
            <c:strRef>
              <c:f>B_ENG!$A$89</c:f>
              <c:strCache>
                <c:ptCount val="1"/>
                <c:pt idx="0">
                  <c:v>  Mobile phone</c:v>
                </c:pt>
              </c:strCache>
            </c:strRef>
          </c:tx>
          <c:spPr>
            <a:solidFill>
              <a:srgbClr val="00C5E9"/>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B_ENG!$B$87:$D$87</c:f>
              <c:strCache>
                <c:ptCount val="3"/>
                <c:pt idx="0">
                  <c:v>2006</c:v>
                </c:pt>
                <c:pt idx="1">
                  <c:v>2011</c:v>
                </c:pt>
                <c:pt idx="2">
                  <c:v>2016</c:v>
                </c:pt>
              </c:strCache>
            </c:strRef>
          </c:cat>
          <c:val>
            <c:numRef>
              <c:f>B_ENG!$B$89:$D$89</c:f>
              <c:numCache>
                <c:formatCode>0%</c:formatCode>
                <c:ptCount val="3"/>
                <c:pt idx="0">
                  <c:v>0.58670723145331205</c:v>
                </c:pt>
                <c:pt idx="1">
                  <c:v>0.64837603389146703</c:v>
                </c:pt>
                <c:pt idx="2">
                  <c:v>0.66743373515965398</c:v>
                </c:pt>
              </c:numCache>
            </c:numRef>
          </c:val>
          <c:extLst>
            <c:ext xmlns:c16="http://schemas.microsoft.com/office/drawing/2014/chart" uri="{C3380CC4-5D6E-409C-BE32-E72D297353CC}">
              <c16:uniqueId val="{00000004-0D5B-4B50-9A19-A1598057CDC9}"/>
            </c:ext>
          </c:extLst>
        </c:ser>
        <c:ser>
          <c:idx val="2"/>
          <c:order val="2"/>
          <c:tx>
            <c:strRef>
              <c:f>B_ENG!$A$90</c:f>
              <c:strCache>
                <c:ptCount val="1"/>
                <c:pt idx="0">
                  <c:v>  Internet</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B_ENG!$B$87:$D$87</c:f>
              <c:strCache>
                <c:ptCount val="3"/>
                <c:pt idx="0">
                  <c:v>2006</c:v>
                </c:pt>
                <c:pt idx="1">
                  <c:v>2011</c:v>
                </c:pt>
                <c:pt idx="2">
                  <c:v>2016</c:v>
                </c:pt>
              </c:strCache>
            </c:strRef>
          </c:cat>
          <c:val>
            <c:numRef>
              <c:f>B_ENG!$B$90:$D$90</c:f>
              <c:numCache>
                <c:formatCode>0%</c:formatCode>
                <c:ptCount val="3"/>
                <c:pt idx="0">
                  <c:v>0.101802012637491</c:v>
                </c:pt>
                <c:pt idx="1">
                  <c:v>0.26386927577163599</c:v>
                </c:pt>
                <c:pt idx="2">
                  <c:v>0.29467993194569297</c:v>
                </c:pt>
              </c:numCache>
            </c:numRef>
          </c:val>
          <c:extLst>
            <c:ext xmlns:c16="http://schemas.microsoft.com/office/drawing/2014/chart" uri="{C3380CC4-5D6E-409C-BE32-E72D297353CC}">
              <c16:uniqueId val="{00000005-0D5B-4B50-9A19-A1598057CDC9}"/>
            </c:ext>
          </c:extLst>
        </c:ser>
        <c:dLbls>
          <c:showLegendKey val="0"/>
          <c:showVal val="1"/>
          <c:showCatName val="0"/>
          <c:showSerName val="0"/>
          <c:showPercent val="0"/>
          <c:showBubbleSize val="0"/>
        </c:dLbls>
        <c:gapWidth val="40"/>
        <c:overlap val="100"/>
        <c:axId val="169661952"/>
        <c:axId val="168312128"/>
      </c:barChart>
      <c:catAx>
        <c:axId val="16966195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68312128"/>
        <c:crosses val="autoZero"/>
        <c:auto val="1"/>
        <c:lblAlgn val="ctr"/>
        <c:lblOffset val="40"/>
        <c:tickLblSkip val="1"/>
        <c:tickMarkSkip val="1"/>
        <c:noMultiLvlLbl val="0"/>
      </c:catAx>
      <c:valAx>
        <c:axId val="168312128"/>
        <c:scaling>
          <c:orientation val="minMax"/>
          <c:max val="1"/>
        </c:scaling>
        <c:delete val="0"/>
        <c:axPos val="b"/>
        <c:numFmt formatCode="0%" sourceLinked="1"/>
        <c:majorTickMark val="none"/>
        <c:minorTickMark val="none"/>
        <c:tickLblPos val="none"/>
        <c:spPr>
          <a:ln w="9525">
            <a:noFill/>
          </a:ln>
        </c:spPr>
        <c:crossAx val="169661952"/>
        <c:crosses val="autoZero"/>
        <c:crossBetween val="between"/>
        <c:majorUnit val="0.25"/>
        <c:minorUnit val="0.05"/>
      </c:valAx>
      <c:spPr>
        <a:noFill/>
        <a:ln w="12700">
          <a:solidFill>
            <a:srgbClr val="969696"/>
          </a:solidFill>
          <a:prstDash val="solid"/>
        </a:ln>
      </c:spPr>
    </c:plotArea>
    <c:legend>
      <c:legendPos val="r"/>
      <c:layout>
        <c:manualLayout>
          <c:xMode val="edge"/>
          <c:yMode val="edge"/>
          <c:x val="0.119288888888889"/>
          <c:y val="0.79884722222222204"/>
          <c:w val="0.846702614379086"/>
          <c:h val="8.7183730158730099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B</a:t>
            </a:r>
            <a:r>
              <a:rPr lang="cs-CZ" sz="800"/>
              <a:t>7</a:t>
            </a:r>
            <a:r>
              <a:rPr lang="en-US" sz="800"/>
              <a:t> Household</a:t>
            </a:r>
            <a:r>
              <a:rPr lang="cs-CZ" sz="800" baseline="0"/>
              <a:t> </a:t>
            </a:r>
            <a:r>
              <a:rPr lang="en-US" sz="800"/>
              <a:t>expenditure for telecommunication services in EU countries</a:t>
            </a:r>
            <a:r>
              <a:rPr lang="cs-CZ" sz="800"/>
              <a:t> (%)*</a:t>
            </a:r>
            <a:endParaRPr lang="en-US" sz="800"/>
          </a:p>
        </c:rich>
      </c:tx>
      <c:overlay val="1"/>
    </c:title>
    <c:autoTitleDeleted val="0"/>
    <c:plotArea>
      <c:layout>
        <c:manualLayout>
          <c:layoutTarget val="inner"/>
          <c:xMode val="edge"/>
          <c:yMode val="edge"/>
          <c:x val="6.5949831649831703E-2"/>
          <c:y val="9.8363888888888903E-2"/>
          <c:w val="0.90411750841750804"/>
          <c:h val="0.60817932098765404"/>
        </c:manualLayout>
      </c:layout>
      <c:barChart>
        <c:barDir val="col"/>
        <c:grouping val="clustered"/>
        <c:varyColors val="0"/>
        <c:ser>
          <c:idx val="2"/>
          <c:order val="2"/>
          <c:tx>
            <c:strRef>
              <c:f>B_ENG!$D$109</c:f>
              <c:strCache>
                <c:ptCount val="1"/>
                <c:pt idx="0">
                  <c:v>2016</c:v>
                </c:pt>
              </c:strCache>
            </c:strRef>
          </c:tx>
          <c:spPr>
            <a:solidFill>
              <a:srgbClr val="009BB4"/>
            </a:solidFill>
          </c:spPr>
          <c:invertIfNegative val="0"/>
          <c:dPt>
            <c:idx val="10"/>
            <c:invertIfNegative val="0"/>
            <c:bubble3D val="0"/>
            <c:spPr>
              <a:solidFill>
                <a:srgbClr val="009BB4"/>
              </a:solidFill>
              <a:ln w="9525">
                <a:solidFill>
                  <a:srgbClr val="FF0000"/>
                </a:solidFill>
              </a:ln>
            </c:spPr>
            <c:extLst>
              <c:ext xmlns:c16="http://schemas.microsoft.com/office/drawing/2014/chart" uri="{C3380CC4-5D6E-409C-BE32-E72D297353CC}">
                <c16:uniqueId val="{00000001-EE5A-4419-8F9E-C86F7D0C9898}"/>
              </c:ext>
            </c:extLst>
          </c:dPt>
          <c:dPt>
            <c:idx val="19"/>
            <c:invertIfNegative val="0"/>
            <c:bubble3D val="0"/>
            <c:spPr>
              <a:solidFill>
                <a:srgbClr val="009BB4"/>
              </a:solidFill>
              <a:ln w="9525">
                <a:solidFill>
                  <a:srgbClr val="FF0000"/>
                </a:solidFill>
              </a:ln>
            </c:spPr>
            <c:extLst>
              <c:ext xmlns:c16="http://schemas.microsoft.com/office/drawing/2014/chart" uri="{C3380CC4-5D6E-409C-BE32-E72D297353CC}">
                <c16:uniqueId val="{00000003-EE5A-4419-8F9E-C86F7D0C9898}"/>
              </c:ext>
            </c:extLst>
          </c:dPt>
          <c:cat>
            <c:strRef>
              <c:f>B_ENG!$A$110:$A$137</c:f>
              <c:strCache>
                <c:ptCount val="28"/>
                <c:pt idx="0">
                  <c:v>Greece</c:v>
                </c:pt>
                <c:pt idx="1">
                  <c:v>Romania</c:v>
                </c:pt>
                <c:pt idx="2">
                  <c:v>Bulgaria</c:v>
                </c:pt>
                <c:pt idx="3">
                  <c:v>Hungary</c:v>
                </c:pt>
                <c:pt idx="4">
                  <c:v>Slovakia</c:v>
                </c:pt>
                <c:pt idx="5">
                  <c:v>Cyprus</c:v>
                </c:pt>
                <c:pt idx="6">
                  <c:v>Sweden</c:v>
                </c:pt>
                <c:pt idx="7">
                  <c:v>Malta</c:v>
                </c:pt>
                <c:pt idx="8">
                  <c:v>Slovenia</c:v>
                </c:pt>
                <c:pt idx="9">
                  <c:v>Netherlands</c:v>
                </c:pt>
                <c:pt idx="10">
                  <c:v>Czech Republic</c:v>
                </c:pt>
                <c:pt idx="11">
                  <c:v>Latvia</c:v>
                </c:pt>
                <c:pt idx="12">
                  <c:v>Ireland</c:v>
                </c:pt>
                <c:pt idx="13">
                  <c:v>Spain</c:v>
                </c:pt>
                <c:pt idx="14">
                  <c:v>Germany</c:v>
                </c:pt>
                <c:pt idx="15">
                  <c:v>Poland</c:v>
                </c:pt>
                <c:pt idx="16">
                  <c:v>Lithuania</c:v>
                </c:pt>
                <c:pt idx="17">
                  <c:v>Portugal</c:v>
                </c:pt>
                <c:pt idx="18">
                  <c:v>Estonia</c:v>
                </c:pt>
                <c:pt idx="19">
                  <c:v>EU28</c:v>
                </c:pt>
                <c:pt idx="20">
                  <c:v>Belgium</c:v>
                </c:pt>
                <c:pt idx="21">
                  <c:v>France</c:v>
                </c:pt>
                <c:pt idx="22">
                  <c:v>Denmark</c:v>
                </c:pt>
                <c:pt idx="23">
                  <c:v>Finland</c:v>
                </c:pt>
                <c:pt idx="24">
                  <c:v>United Kingdom</c:v>
                </c:pt>
                <c:pt idx="25">
                  <c:v>Italy</c:v>
                </c:pt>
                <c:pt idx="26">
                  <c:v>Luxembourg </c:v>
                </c:pt>
                <c:pt idx="27">
                  <c:v>Austria</c:v>
                </c:pt>
              </c:strCache>
            </c:strRef>
          </c:cat>
          <c:val>
            <c:numRef>
              <c:f>B_ENG!$D$110:$D$137</c:f>
              <c:numCache>
                <c:formatCode>0.00%</c:formatCode>
                <c:ptCount val="28"/>
                <c:pt idx="0">
                  <c:v>4.2954882220106301E-2</c:v>
                </c:pt>
                <c:pt idx="1">
                  <c:v>3.95251750281507E-2</c:v>
                </c:pt>
                <c:pt idx="2">
                  <c:v>3.61567985986785E-2</c:v>
                </c:pt>
                <c:pt idx="3">
                  <c:v>3.5937165248761199E-2</c:v>
                </c:pt>
                <c:pt idx="4">
                  <c:v>3.0993901222278498E-2</c:v>
                </c:pt>
                <c:pt idx="5">
                  <c:v>2.9684985876211201E-2</c:v>
                </c:pt>
                <c:pt idx="6">
                  <c:v>2.7834664643825599E-2</c:v>
                </c:pt>
                <c:pt idx="7">
                  <c:v>2.6268467261380098E-2</c:v>
                </c:pt>
                <c:pt idx="8">
                  <c:v>2.5850060014543701E-2</c:v>
                </c:pt>
                <c:pt idx="9">
                  <c:v>2.5650297330436202E-2</c:v>
                </c:pt>
                <c:pt idx="10">
                  <c:v>2.51802243288431E-2</c:v>
                </c:pt>
                <c:pt idx="11">
                  <c:v>2.5140087838861101E-2</c:v>
                </c:pt>
                <c:pt idx="12">
                  <c:v>2.3879847901436602E-2</c:v>
                </c:pt>
                <c:pt idx="13">
                  <c:v>2.3333684797180201E-2</c:v>
                </c:pt>
                <c:pt idx="14">
                  <c:v>2.32061707346445E-2</c:v>
                </c:pt>
                <c:pt idx="15">
                  <c:v>2.2626537464385001E-2</c:v>
                </c:pt>
                <c:pt idx="16">
                  <c:v>2.2454812608188102E-2</c:v>
                </c:pt>
                <c:pt idx="17">
                  <c:v>2.2454452006519202E-2</c:v>
                </c:pt>
                <c:pt idx="18">
                  <c:v>2.1730958560816301E-2</c:v>
                </c:pt>
                <c:pt idx="19">
                  <c:v>2.0552903548816299E-2</c:v>
                </c:pt>
                <c:pt idx="20">
                  <c:v>2.0526231981715201E-2</c:v>
                </c:pt>
                <c:pt idx="21">
                  <c:v>2.0165406188414801E-2</c:v>
                </c:pt>
                <c:pt idx="22">
                  <c:v>1.8768751253971899E-2</c:v>
                </c:pt>
                <c:pt idx="23">
                  <c:v>1.8202998559411002E-2</c:v>
                </c:pt>
                <c:pt idx="24">
                  <c:v>1.7992279235868502E-2</c:v>
                </c:pt>
                <c:pt idx="25">
                  <c:v>1.6327091240636801E-2</c:v>
                </c:pt>
                <c:pt idx="26">
                  <c:v>1.38753920226158E-2</c:v>
                </c:pt>
                <c:pt idx="27">
                  <c:v>1.3709195338712499E-2</c:v>
                </c:pt>
              </c:numCache>
            </c:numRef>
          </c:val>
          <c:extLst>
            <c:ext xmlns:c16="http://schemas.microsoft.com/office/drawing/2014/chart" uri="{C3380CC4-5D6E-409C-BE32-E72D297353CC}">
              <c16:uniqueId val="{00000004-EE5A-4419-8F9E-C86F7D0C9898}"/>
            </c:ext>
          </c:extLst>
        </c:ser>
        <c:dLbls>
          <c:showLegendKey val="0"/>
          <c:showVal val="0"/>
          <c:showCatName val="0"/>
          <c:showSerName val="0"/>
          <c:showPercent val="0"/>
          <c:showBubbleSize val="0"/>
        </c:dLbls>
        <c:gapWidth val="50"/>
        <c:axId val="169811968"/>
        <c:axId val="168311552"/>
      </c:barChart>
      <c:barChart>
        <c:barDir val="col"/>
        <c:grouping val="clustered"/>
        <c:varyColors val="0"/>
        <c:ser>
          <c:idx val="1"/>
          <c:order val="1"/>
          <c:tx>
            <c:strRef>
              <c:f>B_ENG!$C$109</c:f>
              <c:strCache>
                <c:ptCount val="1"/>
                <c:pt idx="0">
                  <c:v>2006</c:v>
                </c:pt>
              </c:strCache>
            </c:strRef>
          </c:tx>
          <c:spPr>
            <a:solidFill>
              <a:srgbClr val="47E5FF"/>
            </a:solidFill>
          </c:spPr>
          <c:invertIfNegative val="0"/>
          <c:cat>
            <c:strRef>
              <c:f>B_ENG!$A$110:$A$137</c:f>
              <c:strCache>
                <c:ptCount val="28"/>
                <c:pt idx="0">
                  <c:v>Greece</c:v>
                </c:pt>
                <c:pt idx="1">
                  <c:v>Romania</c:v>
                </c:pt>
                <c:pt idx="2">
                  <c:v>Bulgaria</c:v>
                </c:pt>
                <c:pt idx="3">
                  <c:v>Hungary</c:v>
                </c:pt>
                <c:pt idx="4">
                  <c:v>Slovakia</c:v>
                </c:pt>
                <c:pt idx="5">
                  <c:v>Cyprus</c:v>
                </c:pt>
                <c:pt idx="6">
                  <c:v>Sweden</c:v>
                </c:pt>
                <c:pt idx="7">
                  <c:v>Malta</c:v>
                </c:pt>
                <c:pt idx="8">
                  <c:v>Slovenia</c:v>
                </c:pt>
                <c:pt idx="9">
                  <c:v>Netherlands</c:v>
                </c:pt>
                <c:pt idx="10">
                  <c:v>Czech Republic</c:v>
                </c:pt>
                <c:pt idx="11">
                  <c:v>Latvia</c:v>
                </c:pt>
                <c:pt idx="12">
                  <c:v>Ireland</c:v>
                </c:pt>
                <c:pt idx="13">
                  <c:v>Spain</c:v>
                </c:pt>
                <c:pt idx="14">
                  <c:v>Germany</c:v>
                </c:pt>
                <c:pt idx="15">
                  <c:v>Poland</c:v>
                </c:pt>
                <c:pt idx="16">
                  <c:v>Lithuania</c:v>
                </c:pt>
                <c:pt idx="17">
                  <c:v>Portugal</c:v>
                </c:pt>
                <c:pt idx="18">
                  <c:v>Estonia</c:v>
                </c:pt>
                <c:pt idx="19">
                  <c:v>EU28</c:v>
                </c:pt>
                <c:pt idx="20">
                  <c:v>Belgium</c:v>
                </c:pt>
                <c:pt idx="21">
                  <c:v>France</c:v>
                </c:pt>
                <c:pt idx="22">
                  <c:v>Denmark</c:v>
                </c:pt>
                <c:pt idx="23">
                  <c:v>Finland</c:v>
                </c:pt>
                <c:pt idx="24">
                  <c:v>United Kingdom</c:v>
                </c:pt>
                <c:pt idx="25">
                  <c:v>Italy</c:v>
                </c:pt>
                <c:pt idx="26">
                  <c:v>Luxembourg </c:v>
                </c:pt>
                <c:pt idx="27">
                  <c:v>Austria</c:v>
                </c:pt>
              </c:strCache>
            </c:strRef>
          </c:cat>
          <c:val>
            <c:numRef>
              <c:f>B_ENG!$C$110:$C$137</c:f>
              <c:numCache>
                <c:formatCode>0.00%</c:formatCode>
                <c:ptCount val="28"/>
                <c:pt idx="0">
                  <c:v>3.6324783377041897E-2</c:v>
                </c:pt>
                <c:pt idx="1">
                  <c:v>1.3616667924813201E-2</c:v>
                </c:pt>
                <c:pt idx="2">
                  <c:v>3.8679315043892597E-2</c:v>
                </c:pt>
                <c:pt idx="3">
                  <c:v>3.6881606807799401E-2</c:v>
                </c:pt>
                <c:pt idx="4">
                  <c:v>3.4276281590882897E-2</c:v>
                </c:pt>
                <c:pt idx="5">
                  <c:v>2.9140437017766599E-2</c:v>
                </c:pt>
                <c:pt idx="6">
                  <c:v>2.99286683476436E-2</c:v>
                </c:pt>
                <c:pt idx="7">
                  <c:v>3.0695519401884901E-2</c:v>
                </c:pt>
                <c:pt idx="8">
                  <c:v>3.1754625488442198E-2</c:v>
                </c:pt>
                <c:pt idx="9">
                  <c:v>3.8237659403362302E-2</c:v>
                </c:pt>
                <c:pt idx="10">
                  <c:v>3.05834039523524E-2</c:v>
                </c:pt>
                <c:pt idx="11">
                  <c:v>3.08289841000121E-2</c:v>
                </c:pt>
                <c:pt idx="12">
                  <c:v>3.11556852371591E-2</c:v>
                </c:pt>
                <c:pt idx="13">
                  <c:v>2.4075896041896999E-2</c:v>
                </c:pt>
                <c:pt idx="14">
                  <c:v>2.4860480443310198E-2</c:v>
                </c:pt>
                <c:pt idx="15">
                  <c:v>3.1521994404090502E-2</c:v>
                </c:pt>
                <c:pt idx="16">
                  <c:v>2.2042322803001599E-2</c:v>
                </c:pt>
                <c:pt idx="17">
                  <c:v>3.03108410022544E-2</c:v>
                </c:pt>
                <c:pt idx="18">
                  <c:v>2.2690649932530699E-2</c:v>
                </c:pt>
                <c:pt idx="19">
                  <c:v>2.4510553917992201E-2</c:v>
                </c:pt>
                <c:pt idx="20">
                  <c:v>2.41197672932171E-2</c:v>
                </c:pt>
                <c:pt idx="21">
                  <c:v>2.7104418414819201E-2</c:v>
                </c:pt>
                <c:pt idx="22">
                  <c:v>1.7883491594462099E-2</c:v>
                </c:pt>
                <c:pt idx="23">
                  <c:v>2.26208198685596E-2</c:v>
                </c:pt>
                <c:pt idx="24">
                  <c:v>1.8290064104991E-2</c:v>
                </c:pt>
                <c:pt idx="25">
                  <c:v>2.2949976183438799E-2</c:v>
                </c:pt>
                <c:pt idx="26">
                  <c:v>1.46293912924279E-2</c:v>
                </c:pt>
                <c:pt idx="27">
                  <c:v>2.23796337763424E-2</c:v>
                </c:pt>
              </c:numCache>
            </c:numRef>
          </c:val>
          <c:extLst>
            <c:ext xmlns:c16="http://schemas.microsoft.com/office/drawing/2014/chart" uri="{C3380CC4-5D6E-409C-BE32-E72D297353CC}">
              <c16:uniqueId val="{00000005-EE5A-4419-8F9E-C86F7D0C9898}"/>
            </c:ext>
          </c:extLst>
        </c:ser>
        <c:dLbls>
          <c:showLegendKey val="0"/>
          <c:showVal val="0"/>
          <c:showCatName val="0"/>
          <c:showSerName val="0"/>
          <c:showPercent val="0"/>
          <c:showBubbleSize val="0"/>
        </c:dLbls>
        <c:gapWidth val="230"/>
        <c:axId val="169813504"/>
        <c:axId val="165306944"/>
      </c:barChart>
      <c:scatterChart>
        <c:scatterStyle val="lineMarker"/>
        <c:varyColors val="0"/>
        <c:ser>
          <c:idx val="0"/>
          <c:order val="0"/>
          <c:tx>
            <c:strRef>
              <c:f>B_ENG!$B$109</c:f>
              <c:strCache>
                <c:ptCount val="1"/>
                <c:pt idx="0">
                  <c:v>1996</c:v>
                </c:pt>
              </c:strCache>
            </c:strRef>
          </c:tx>
          <c:spPr>
            <a:ln w="28575">
              <a:noFill/>
            </a:ln>
          </c:spPr>
          <c:marker>
            <c:symbol val="triangle"/>
            <c:size val="6"/>
            <c:spPr>
              <a:solidFill>
                <a:schemeClr val="tx1"/>
              </a:solidFill>
              <a:ln>
                <a:noFill/>
              </a:ln>
            </c:spPr>
          </c:marker>
          <c:xVal>
            <c:strRef>
              <c:f>B_ENG!$A$110:$A$137</c:f>
              <c:strCache>
                <c:ptCount val="28"/>
                <c:pt idx="0">
                  <c:v>Greece</c:v>
                </c:pt>
                <c:pt idx="1">
                  <c:v>Romania</c:v>
                </c:pt>
                <c:pt idx="2">
                  <c:v>Bulgaria</c:v>
                </c:pt>
                <c:pt idx="3">
                  <c:v>Hungary</c:v>
                </c:pt>
                <c:pt idx="4">
                  <c:v>Slovakia</c:v>
                </c:pt>
                <c:pt idx="5">
                  <c:v>Cyprus</c:v>
                </c:pt>
                <c:pt idx="6">
                  <c:v>Sweden</c:v>
                </c:pt>
                <c:pt idx="7">
                  <c:v>Malta</c:v>
                </c:pt>
                <c:pt idx="8">
                  <c:v>Slovenia</c:v>
                </c:pt>
                <c:pt idx="9">
                  <c:v>Netherlands</c:v>
                </c:pt>
                <c:pt idx="10">
                  <c:v>Czech Republic</c:v>
                </c:pt>
                <c:pt idx="11">
                  <c:v>Latvia</c:v>
                </c:pt>
                <c:pt idx="12">
                  <c:v>Ireland</c:v>
                </c:pt>
                <c:pt idx="13">
                  <c:v>Spain</c:v>
                </c:pt>
                <c:pt idx="14">
                  <c:v>Germany</c:v>
                </c:pt>
                <c:pt idx="15">
                  <c:v>Poland</c:v>
                </c:pt>
                <c:pt idx="16">
                  <c:v>Lithuania</c:v>
                </c:pt>
                <c:pt idx="17">
                  <c:v>Portugal</c:v>
                </c:pt>
                <c:pt idx="18">
                  <c:v>Estonia</c:v>
                </c:pt>
                <c:pt idx="19">
                  <c:v>EU28</c:v>
                </c:pt>
                <c:pt idx="20">
                  <c:v>Belgium</c:v>
                </c:pt>
                <c:pt idx="21">
                  <c:v>France</c:v>
                </c:pt>
                <c:pt idx="22">
                  <c:v>Denmark</c:v>
                </c:pt>
                <c:pt idx="23">
                  <c:v>Finland</c:v>
                </c:pt>
                <c:pt idx="24">
                  <c:v>United Kingdom</c:v>
                </c:pt>
                <c:pt idx="25">
                  <c:v>Italy</c:v>
                </c:pt>
                <c:pt idx="26">
                  <c:v>Luxembourg </c:v>
                </c:pt>
                <c:pt idx="27">
                  <c:v>Austria</c:v>
                </c:pt>
              </c:strCache>
            </c:strRef>
          </c:xVal>
          <c:yVal>
            <c:numRef>
              <c:f>B_ENG!$B$110:$B$137</c:f>
              <c:numCache>
                <c:formatCode>0.00%</c:formatCode>
                <c:ptCount val="28"/>
                <c:pt idx="0">
                  <c:v>1.57142929262333E-2</c:v>
                </c:pt>
                <c:pt idx="1">
                  <c:v>8.5355490510811097E-3</c:v>
                </c:pt>
                <c:pt idx="2">
                  <c:v>3.3606169027430598E-2</c:v>
                </c:pt>
                <c:pt idx="3">
                  <c:v>2.1808992514184899E-2</c:v>
                </c:pt>
                <c:pt idx="4">
                  <c:v>1.9600452318130401E-2</c:v>
                </c:pt>
                <c:pt idx="5">
                  <c:v>2.3775898449831401E-2</c:v>
                </c:pt>
                <c:pt idx="6">
                  <c:v>2.0745098864034001E-2</c:v>
                </c:pt>
                <c:pt idx="7">
                  <c:v>2.3035952063914799E-2</c:v>
                </c:pt>
                <c:pt idx="8">
                  <c:v>1.7499294383291002E-2</c:v>
                </c:pt>
                <c:pt idx="9">
                  <c:v>2.0121183062575199E-2</c:v>
                </c:pt>
                <c:pt idx="10">
                  <c:v>1.5228689651084801E-2</c:v>
                </c:pt>
                <c:pt idx="11">
                  <c:v>1.2437487822303001E-2</c:v>
                </c:pt>
                <c:pt idx="12">
                  <c:v>1.65064761343366E-2</c:v>
                </c:pt>
                <c:pt idx="13">
                  <c:v>1.6064643812428801E-2</c:v>
                </c:pt>
                <c:pt idx="14">
                  <c:v>1.61130816832099E-2</c:v>
                </c:pt>
                <c:pt idx="15">
                  <c:v>2.0692299996665199E-2</c:v>
                </c:pt>
                <c:pt idx="16">
                  <c:v>8.6701160676828405E-3</c:v>
                </c:pt>
                <c:pt idx="17">
                  <c:v>2.00924589093525E-2</c:v>
                </c:pt>
                <c:pt idx="18">
                  <c:v>1.53197528802805E-2</c:v>
                </c:pt>
                <c:pt idx="19">
                  <c:v>1.6275497346727501E-2</c:v>
                </c:pt>
                <c:pt idx="20">
                  <c:v>1.52441779115605E-2</c:v>
                </c:pt>
                <c:pt idx="21">
                  <c:v>1.7783398341653201E-2</c:v>
                </c:pt>
                <c:pt idx="22">
                  <c:v>1.5958247118860701E-2</c:v>
                </c:pt>
                <c:pt idx="23">
                  <c:v>1.53129611827942E-2</c:v>
                </c:pt>
                <c:pt idx="24">
                  <c:v>1.44380275112477E-2</c:v>
                </c:pt>
                <c:pt idx="25">
                  <c:v>1.7623298231983098E-2</c:v>
                </c:pt>
                <c:pt idx="26">
                  <c:v>1.24148676836471E-2</c:v>
                </c:pt>
                <c:pt idx="27">
                  <c:v>1.50886085652551E-2</c:v>
                </c:pt>
              </c:numCache>
            </c:numRef>
          </c:yVal>
          <c:smooth val="0"/>
          <c:extLst>
            <c:ext xmlns:c16="http://schemas.microsoft.com/office/drawing/2014/chart" uri="{C3380CC4-5D6E-409C-BE32-E72D297353CC}">
              <c16:uniqueId val="{00000006-EE5A-4419-8F9E-C86F7D0C9898}"/>
            </c:ext>
          </c:extLst>
        </c:ser>
        <c:dLbls>
          <c:showLegendKey val="0"/>
          <c:showVal val="0"/>
          <c:showCatName val="0"/>
          <c:showSerName val="0"/>
          <c:showPercent val="0"/>
          <c:showBubbleSize val="0"/>
        </c:dLbls>
        <c:axId val="169811968"/>
        <c:axId val="168311552"/>
      </c:scatterChart>
      <c:catAx>
        <c:axId val="169811968"/>
        <c:scaling>
          <c:orientation val="minMax"/>
        </c:scaling>
        <c:delete val="0"/>
        <c:axPos val="b"/>
        <c:numFmt formatCode="General" sourceLinked="0"/>
        <c:majorTickMark val="out"/>
        <c:minorTickMark val="none"/>
        <c:tickLblPos val="nextTo"/>
        <c:spPr>
          <a:ln w="3175">
            <a:solidFill>
              <a:schemeClr val="tx1"/>
            </a:solidFill>
          </a:ln>
        </c:spPr>
        <c:crossAx val="168311552"/>
        <c:crosses val="autoZero"/>
        <c:auto val="1"/>
        <c:lblAlgn val="ctr"/>
        <c:lblOffset val="100"/>
        <c:noMultiLvlLbl val="0"/>
      </c:catAx>
      <c:valAx>
        <c:axId val="168311552"/>
        <c:scaling>
          <c:orientation val="minMax"/>
          <c:max val="4.4999999999999998E-2"/>
          <c:min val="0"/>
        </c:scaling>
        <c:delete val="0"/>
        <c:axPos val="l"/>
        <c:majorGridlines>
          <c:spPr>
            <a:ln w="12700">
              <a:solidFill>
                <a:srgbClr val="A6A6A6"/>
              </a:solidFill>
            </a:ln>
          </c:spPr>
        </c:majorGridlines>
        <c:numFmt formatCode="0.0%" sourceLinked="0"/>
        <c:majorTickMark val="out"/>
        <c:minorTickMark val="none"/>
        <c:tickLblPos val="nextTo"/>
        <c:crossAx val="169811968"/>
        <c:crosses val="autoZero"/>
        <c:crossBetween val="between"/>
        <c:majorUnit val="5.0000000000000001E-3"/>
        <c:minorUnit val="1E-3"/>
      </c:valAx>
      <c:valAx>
        <c:axId val="165306944"/>
        <c:scaling>
          <c:orientation val="minMax"/>
          <c:max val="4.4999999999999998E-2"/>
        </c:scaling>
        <c:delete val="0"/>
        <c:axPos val="r"/>
        <c:numFmt formatCode="0.00%" sourceLinked="1"/>
        <c:majorTickMark val="none"/>
        <c:minorTickMark val="none"/>
        <c:tickLblPos val="none"/>
        <c:crossAx val="169813504"/>
        <c:crosses val="max"/>
        <c:crossBetween val="between"/>
        <c:majorUnit val="1E-3"/>
      </c:valAx>
      <c:catAx>
        <c:axId val="169813504"/>
        <c:scaling>
          <c:orientation val="minMax"/>
        </c:scaling>
        <c:delete val="1"/>
        <c:axPos val="b"/>
        <c:numFmt formatCode="General" sourceLinked="0"/>
        <c:majorTickMark val="out"/>
        <c:minorTickMark val="none"/>
        <c:tickLblPos val="none"/>
        <c:crossAx val="16530694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760897435897501"/>
          <c:y val="0.15439197530864199"/>
          <c:w val="6.6467291255752806E-2"/>
          <c:h val="0.17457314814814801"/>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Figure B</a:t>
            </a:r>
            <a:r>
              <a:rPr lang="cs-CZ" sz="800" b="1"/>
              <a:t>8</a:t>
            </a:r>
            <a:r>
              <a:rPr lang="en-US" sz="800" b="1"/>
              <a:t> </a:t>
            </a:r>
            <a:r>
              <a:rPr lang="cs-CZ" sz="800" b="1" i="0" u="none" strike="noStrike" baseline="0">
                <a:effectLst/>
              </a:rPr>
              <a:t>Households in the Czech Republic </a:t>
            </a:r>
          </a:p>
          <a:p>
            <a:pPr>
              <a:defRPr sz="800" b="1"/>
            </a:pPr>
            <a:r>
              <a:rPr lang="cs-CZ" sz="800" b="1" i="0" u="none" strike="noStrike" baseline="0">
                <a:effectLst/>
              </a:rPr>
              <a:t>with access to a computer at home </a:t>
            </a:r>
            <a:endParaRPr lang="en-US" sz="800" b="1" i="0"/>
          </a:p>
        </c:rich>
      </c:tx>
      <c:overlay val="1"/>
    </c:title>
    <c:autoTitleDeleted val="0"/>
    <c:plotArea>
      <c:layout>
        <c:manualLayout>
          <c:layoutTarget val="inner"/>
          <c:xMode val="edge"/>
          <c:yMode val="edge"/>
          <c:x val="2.2538872296135399E-2"/>
          <c:y val="0.173091666666667"/>
          <c:w val="0.95492225540772901"/>
          <c:h val="0.62718333333333398"/>
        </c:manualLayout>
      </c:layout>
      <c:barChart>
        <c:barDir val="col"/>
        <c:grouping val="clustered"/>
        <c:varyColors val="0"/>
        <c:ser>
          <c:idx val="2"/>
          <c:order val="0"/>
          <c:tx>
            <c:strRef>
              <c:f>B_ENG!$A$143</c:f>
              <c:strCache>
                <c:ptCount val="1"/>
                <c:pt idx="0">
                  <c:v> Millions</c:v>
                </c:pt>
              </c:strCache>
            </c:strRef>
          </c:tx>
          <c:spPr>
            <a:solidFill>
              <a:srgbClr val="009BB4"/>
            </a:solidFill>
            <a:ln w="25400">
              <a:noFill/>
            </a:ln>
          </c:spPr>
          <c:invertIfNegative val="0"/>
          <c:dLbls>
            <c:numFmt formatCode="#,##0.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B_ENG!$B$142:$I$142</c:f>
              <c:numCache>
                <c:formatCode>@</c:formatCode>
                <c:ptCount val="8"/>
                <c:pt idx="0">
                  <c:v>2003</c:v>
                </c:pt>
                <c:pt idx="1">
                  <c:v>2005</c:v>
                </c:pt>
                <c:pt idx="2">
                  <c:v>2007</c:v>
                </c:pt>
                <c:pt idx="3">
                  <c:v>2009</c:v>
                </c:pt>
                <c:pt idx="4">
                  <c:v>2011</c:v>
                </c:pt>
                <c:pt idx="5">
                  <c:v>2013</c:v>
                </c:pt>
                <c:pt idx="6">
                  <c:v>2015</c:v>
                </c:pt>
                <c:pt idx="7">
                  <c:v>2017</c:v>
                </c:pt>
              </c:numCache>
            </c:numRef>
          </c:cat>
          <c:val>
            <c:numRef>
              <c:f>B_ENG!$B$143:$I$143</c:f>
              <c:numCache>
                <c:formatCode>#,##0.0</c:formatCode>
                <c:ptCount val="8"/>
                <c:pt idx="0">
                  <c:v>0.96599999999999997</c:v>
                </c:pt>
                <c:pt idx="1">
                  <c:v>1.2318321497875999</c:v>
                </c:pt>
                <c:pt idx="2">
                  <c:v>1.6780274477208259</c:v>
                </c:pt>
                <c:pt idx="3">
                  <c:v>2.334657146824997</c:v>
                </c:pt>
                <c:pt idx="4">
                  <c:v>2.6562540000000001</c:v>
                </c:pt>
                <c:pt idx="5">
                  <c:v>2.8966159999999901</c:v>
                </c:pt>
                <c:pt idx="6">
                  <c:v>3.1104940000000001</c:v>
                </c:pt>
                <c:pt idx="7">
                  <c:v>3.3426812401429999</c:v>
                </c:pt>
              </c:numCache>
            </c:numRef>
          </c:val>
          <c:extLst>
            <c:ext xmlns:c16="http://schemas.microsoft.com/office/drawing/2014/chart" uri="{C3380CC4-5D6E-409C-BE32-E72D297353CC}">
              <c16:uniqueId val="{00000000-98A0-4E8C-B762-4DA5F3CE2137}"/>
            </c:ext>
          </c:extLst>
        </c:ser>
        <c:dLbls>
          <c:showLegendKey val="0"/>
          <c:showVal val="0"/>
          <c:showCatName val="0"/>
          <c:showSerName val="0"/>
          <c:showPercent val="0"/>
          <c:showBubbleSize val="0"/>
        </c:dLbls>
        <c:gapWidth val="40"/>
        <c:axId val="169812480"/>
        <c:axId val="165308672"/>
      </c:barChart>
      <c:lineChart>
        <c:grouping val="standard"/>
        <c:varyColors val="0"/>
        <c:ser>
          <c:idx val="0"/>
          <c:order val="1"/>
          <c:tx>
            <c:strRef>
              <c:f>B_ENG!$A$144</c:f>
              <c:strCache>
                <c:ptCount val="1"/>
                <c:pt idx="0">
                  <c:v> As % of all households</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B_ENG!$B$142:$I$142</c:f>
              <c:numCache>
                <c:formatCode>@</c:formatCode>
                <c:ptCount val="8"/>
                <c:pt idx="0">
                  <c:v>2003</c:v>
                </c:pt>
                <c:pt idx="1">
                  <c:v>2005</c:v>
                </c:pt>
                <c:pt idx="2">
                  <c:v>2007</c:v>
                </c:pt>
                <c:pt idx="3">
                  <c:v>2009</c:v>
                </c:pt>
                <c:pt idx="4">
                  <c:v>2011</c:v>
                </c:pt>
                <c:pt idx="5">
                  <c:v>2013</c:v>
                </c:pt>
                <c:pt idx="6">
                  <c:v>2015</c:v>
                </c:pt>
                <c:pt idx="7">
                  <c:v>2017</c:v>
                </c:pt>
              </c:numCache>
            </c:numRef>
          </c:cat>
          <c:val>
            <c:numRef>
              <c:f>B_ENG!$B$144:$I$144</c:f>
              <c:numCache>
                <c:formatCode>0.0%</c:formatCode>
                <c:ptCount val="8"/>
                <c:pt idx="0">
                  <c:v>0.23799999999999999</c:v>
                </c:pt>
                <c:pt idx="1">
                  <c:v>0.29957328482995998</c:v>
                </c:pt>
                <c:pt idx="2">
                  <c:v>0.39611875989541401</c:v>
                </c:pt>
                <c:pt idx="3">
                  <c:v>0.54172856891207199</c:v>
                </c:pt>
                <c:pt idx="4">
                  <c:v>0.64750454258032197</c:v>
                </c:pt>
                <c:pt idx="5">
                  <c:v>0.68145633137330797</c:v>
                </c:pt>
                <c:pt idx="6">
                  <c:v>0.73099999999999998</c:v>
                </c:pt>
                <c:pt idx="7">
                  <c:v>0.76299186249920803</c:v>
                </c:pt>
              </c:numCache>
            </c:numRef>
          </c:val>
          <c:smooth val="0"/>
          <c:extLst>
            <c:ext xmlns:c16="http://schemas.microsoft.com/office/drawing/2014/chart" uri="{C3380CC4-5D6E-409C-BE32-E72D297353CC}">
              <c16:uniqueId val="{00000001-98A0-4E8C-B762-4DA5F3CE2137}"/>
            </c:ext>
          </c:extLst>
        </c:ser>
        <c:dLbls>
          <c:showLegendKey val="0"/>
          <c:showVal val="0"/>
          <c:showCatName val="0"/>
          <c:showSerName val="0"/>
          <c:showPercent val="0"/>
          <c:showBubbleSize val="0"/>
        </c:dLbls>
        <c:marker val="1"/>
        <c:smooth val="0"/>
        <c:axId val="169918464"/>
        <c:axId val="154099008"/>
      </c:lineChart>
      <c:catAx>
        <c:axId val="169812480"/>
        <c:scaling>
          <c:orientation val="minMax"/>
        </c:scaling>
        <c:delete val="0"/>
        <c:axPos val="b"/>
        <c:numFmt formatCode="@" sourceLinked="1"/>
        <c:majorTickMark val="out"/>
        <c:minorTickMark val="none"/>
        <c:tickLblPos val="nextTo"/>
        <c:spPr>
          <a:ln w="3175">
            <a:solidFill>
              <a:srgbClr val="000000"/>
            </a:solidFill>
            <a:prstDash val="solid"/>
          </a:ln>
        </c:spPr>
        <c:txPr>
          <a:bodyPr rot="0" vert="horz"/>
          <a:lstStyle/>
          <a:p>
            <a:pPr>
              <a:defRPr/>
            </a:pPr>
            <a:endParaRPr lang="cs-CZ"/>
          </a:p>
        </c:txPr>
        <c:crossAx val="165308672"/>
        <c:crosses val="autoZero"/>
        <c:auto val="1"/>
        <c:lblAlgn val="ctr"/>
        <c:lblOffset val="140"/>
        <c:tickLblSkip val="1"/>
        <c:tickMarkSkip val="1"/>
        <c:noMultiLvlLbl val="0"/>
      </c:catAx>
      <c:valAx>
        <c:axId val="165308672"/>
        <c:scaling>
          <c:orientation val="minMax"/>
          <c:max val="5"/>
          <c:min val="0"/>
        </c:scaling>
        <c:delete val="0"/>
        <c:axPos val="l"/>
        <c:numFmt formatCode="#,##0.0" sourceLinked="1"/>
        <c:majorTickMark val="none"/>
        <c:minorTickMark val="none"/>
        <c:tickLblPos val="none"/>
        <c:spPr>
          <a:ln w="9525">
            <a:noFill/>
          </a:ln>
        </c:spPr>
        <c:crossAx val="169812480"/>
        <c:crosses val="autoZero"/>
        <c:crossBetween val="between"/>
        <c:majorUnit val="1"/>
        <c:minorUnit val="0.1"/>
      </c:valAx>
      <c:catAx>
        <c:axId val="169918464"/>
        <c:scaling>
          <c:orientation val="minMax"/>
        </c:scaling>
        <c:delete val="1"/>
        <c:axPos val="b"/>
        <c:numFmt formatCode="@" sourceLinked="1"/>
        <c:majorTickMark val="out"/>
        <c:minorTickMark val="none"/>
        <c:tickLblPos val="none"/>
        <c:crossAx val="154099008"/>
        <c:crosses val="autoZero"/>
        <c:auto val="1"/>
        <c:lblAlgn val="ctr"/>
        <c:lblOffset val="100"/>
        <c:noMultiLvlLbl val="0"/>
      </c:catAx>
      <c:valAx>
        <c:axId val="154099008"/>
        <c:scaling>
          <c:orientation val="minMax"/>
          <c:max val="1.1000000000000001"/>
          <c:min val="0"/>
        </c:scaling>
        <c:delete val="0"/>
        <c:axPos val="r"/>
        <c:numFmt formatCode="0.0%" sourceLinked="1"/>
        <c:majorTickMark val="none"/>
        <c:minorTickMark val="none"/>
        <c:tickLblPos val="none"/>
        <c:crossAx val="169918464"/>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2.5900462962963E-2"/>
          <c:y val="0.181263888888889"/>
          <c:w val="0.51328333333333298"/>
          <c:h val="0.15387142857142899"/>
        </c:manualLayout>
      </c:layout>
      <c:overlay val="0"/>
      <c:spPr>
        <a:noFill/>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en-US" sz="800" b="1"/>
              <a:t> A</a:t>
            </a:r>
            <a:r>
              <a:rPr lang="cs-CZ" sz="800" b="1"/>
              <a:t>3</a:t>
            </a:r>
            <a:r>
              <a:rPr lang="en-US" sz="800" b="1"/>
              <a:t> </a:t>
            </a:r>
            <a:r>
              <a:rPr lang="cs-CZ" sz="800" b="1">
                <a:solidFill>
                  <a:sysClr val="windowText" lastClr="000000"/>
                </a:solidFill>
              </a:rPr>
              <a:t>Voice-fixed</a:t>
            </a:r>
            <a:r>
              <a:rPr lang="cs-CZ" sz="800" b="1" baseline="0">
                <a:solidFill>
                  <a:sysClr val="windowText" lastClr="000000"/>
                </a:solidFill>
              </a:rPr>
              <a:t> subscriptions using </a:t>
            </a:r>
          </a:p>
          <a:p>
            <a:pPr>
              <a:defRPr sz="800" b="1"/>
            </a:pPr>
            <a:r>
              <a:rPr lang="cs-CZ" sz="800" b="1" baseline="0">
                <a:solidFill>
                  <a:sysClr val="windowText" lastClr="000000"/>
                </a:solidFill>
              </a:rPr>
              <a:t>PSTN stations in the Czech Republic (mil.)</a:t>
            </a:r>
            <a:r>
              <a:rPr lang="cs-CZ" sz="800" b="1">
                <a:solidFill>
                  <a:sysClr val="windowText" lastClr="000000"/>
                </a:solidFill>
              </a:rPr>
              <a:t> </a:t>
            </a:r>
            <a:endParaRPr lang="en-US" sz="800" b="1">
              <a:solidFill>
                <a:sysClr val="windowText" lastClr="000000"/>
              </a:solidFill>
            </a:endParaRPr>
          </a:p>
        </c:rich>
      </c:tx>
      <c:layout>
        <c:manualLayout>
          <c:xMode val="edge"/>
          <c:yMode val="edge"/>
          <c:x val="0.13826620370370399"/>
          <c:y val="5.0396825396825402E-3"/>
        </c:manualLayout>
      </c:layout>
      <c:overlay val="1"/>
    </c:title>
    <c:autoTitleDeleted val="0"/>
    <c:plotArea>
      <c:layout>
        <c:manualLayout>
          <c:layoutTarget val="inner"/>
          <c:xMode val="edge"/>
          <c:yMode val="edge"/>
          <c:x val="7.3443318563046298E-2"/>
          <c:y val="0.26636031746031702"/>
          <c:w val="0.88976620370370396"/>
          <c:h val="0.53917579365079404"/>
        </c:manualLayout>
      </c:layout>
      <c:lineChart>
        <c:grouping val="standard"/>
        <c:varyColors val="0"/>
        <c:ser>
          <c:idx val="4"/>
          <c:order val="0"/>
          <c:tx>
            <c:strRef>
              <c:f>A_EN!$A$29</c:f>
              <c:strCache>
                <c:ptCount val="1"/>
                <c:pt idx="0">
                  <c:v> individuals (residential stations)</c:v>
                </c:pt>
              </c:strCache>
            </c:strRef>
          </c:tx>
          <c:spPr>
            <a:ln w="19050">
              <a:solidFill>
                <a:srgbClr val="007D92"/>
              </a:solidFill>
            </a:ln>
          </c:spPr>
          <c:marker>
            <c:symbol val="triangle"/>
            <c:size val="4"/>
            <c:spPr>
              <a:solidFill>
                <a:srgbClr val="47E5FF"/>
              </a:solidFill>
              <a:ln w="12700">
                <a:solidFill>
                  <a:srgbClr val="007D92"/>
                </a:solidFill>
              </a:ln>
            </c:spPr>
          </c:marker>
          <c:cat>
            <c:numRef>
              <c:f>A_EN!$B$28:$N$28</c:f>
              <c:numCache>
                <c:formatCode>General</c:formatCode>
                <c:ptCount val="13"/>
                <c:pt idx="0">
                  <c:v>1992</c:v>
                </c:pt>
                <c:pt idx="1">
                  <c:v>1994</c:v>
                </c:pt>
                <c:pt idx="2">
                  <c:v>1996</c:v>
                </c:pt>
                <c:pt idx="3">
                  <c:v>1998</c:v>
                </c:pt>
                <c:pt idx="4">
                  <c:v>2000</c:v>
                </c:pt>
                <c:pt idx="5">
                  <c:v>2002</c:v>
                </c:pt>
                <c:pt idx="6">
                  <c:v>2004</c:v>
                </c:pt>
                <c:pt idx="7">
                  <c:v>2006</c:v>
                </c:pt>
                <c:pt idx="8">
                  <c:v>2008</c:v>
                </c:pt>
                <c:pt idx="9">
                  <c:v>2010</c:v>
                </c:pt>
                <c:pt idx="10">
                  <c:v>2012</c:v>
                </c:pt>
                <c:pt idx="11">
                  <c:v>2014</c:v>
                </c:pt>
                <c:pt idx="12">
                  <c:v>2016</c:v>
                </c:pt>
              </c:numCache>
            </c:numRef>
          </c:cat>
          <c:val>
            <c:numRef>
              <c:f>A_EN!$B$29:$N$29</c:f>
              <c:numCache>
                <c:formatCode>#,##0.00</c:formatCode>
                <c:ptCount val="13"/>
                <c:pt idx="0">
                  <c:v>1.2643500000000001</c:v>
                </c:pt>
                <c:pt idx="1">
                  <c:v>1.436564</c:v>
                </c:pt>
                <c:pt idx="2">
                  <c:v>1.85615</c:v>
                </c:pt>
                <c:pt idx="3">
                  <c:v>2.5841620000000001</c:v>
                </c:pt>
                <c:pt idx="4">
                  <c:v>2.6627900000000002</c:v>
                </c:pt>
                <c:pt idx="5">
                  <c:v>2.516035</c:v>
                </c:pt>
                <c:pt idx="6">
                  <c:v>2.2980879999999999</c:v>
                </c:pt>
                <c:pt idx="7">
                  <c:v>1.827963</c:v>
                </c:pt>
                <c:pt idx="8">
                  <c:v>1.27335</c:v>
                </c:pt>
                <c:pt idx="9">
                  <c:v>0.98899999999999999</c:v>
                </c:pt>
                <c:pt idx="10">
                  <c:v>0.76300000000000001</c:v>
                </c:pt>
                <c:pt idx="11">
                  <c:v>0.58896999999999999</c:v>
                </c:pt>
                <c:pt idx="12">
                  <c:v>0.40278700000000001</c:v>
                </c:pt>
              </c:numCache>
            </c:numRef>
          </c:val>
          <c:smooth val="0"/>
          <c:extLst>
            <c:ext xmlns:c16="http://schemas.microsoft.com/office/drawing/2014/chart" uri="{C3380CC4-5D6E-409C-BE32-E72D297353CC}">
              <c16:uniqueId val="{00000000-F766-4BD4-B266-EFD570A2D939}"/>
            </c:ext>
          </c:extLst>
        </c:ser>
        <c:ser>
          <c:idx val="1"/>
          <c:order val="1"/>
          <c:tx>
            <c:strRef>
              <c:f>A_EN!$A$30</c:f>
              <c:strCache>
                <c:ptCount val="1"/>
                <c:pt idx="0">
                  <c:v> enterprises (business stations)</c:v>
                </c:pt>
              </c:strCache>
            </c:strRef>
          </c:tx>
          <c:spPr>
            <a:ln w="19050">
              <a:solidFill>
                <a:srgbClr val="47E5FF"/>
              </a:solidFill>
            </a:ln>
          </c:spPr>
          <c:marker>
            <c:symbol val="diamond"/>
            <c:size val="4"/>
            <c:spPr>
              <a:solidFill>
                <a:srgbClr val="009BB4"/>
              </a:solidFill>
              <a:ln w="12700">
                <a:solidFill>
                  <a:srgbClr val="47E5FF"/>
                </a:solidFill>
              </a:ln>
            </c:spPr>
          </c:marker>
          <c:cat>
            <c:numRef>
              <c:f>A_EN!$B$28:$N$28</c:f>
              <c:numCache>
                <c:formatCode>General</c:formatCode>
                <c:ptCount val="13"/>
                <c:pt idx="0">
                  <c:v>1992</c:v>
                </c:pt>
                <c:pt idx="1">
                  <c:v>1994</c:v>
                </c:pt>
                <c:pt idx="2">
                  <c:v>1996</c:v>
                </c:pt>
                <c:pt idx="3">
                  <c:v>1998</c:v>
                </c:pt>
                <c:pt idx="4">
                  <c:v>2000</c:v>
                </c:pt>
                <c:pt idx="5">
                  <c:v>2002</c:v>
                </c:pt>
                <c:pt idx="6">
                  <c:v>2004</c:v>
                </c:pt>
                <c:pt idx="7">
                  <c:v>2006</c:v>
                </c:pt>
                <c:pt idx="8">
                  <c:v>2008</c:v>
                </c:pt>
                <c:pt idx="9">
                  <c:v>2010</c:v>
                </c:pt>
                <c:pt idx="10">
                  <c:v>2012</c:v>
                </c:pt>
                <c:pt idx="11">
                  <c:v>2014</c:v>
                </c:pt>
                <c:pt idx="12">
                  <c:v>2016</c:v>
                </c:pt>
              </c:numCache>
            </c:numRef>
          </c:cat>
          <c:val>
            <c:numRef>
              <c:f>A_EN!$B$30:$N$30</c:f>
              <c:numCache>
                <c:formatCode>#,##0.00</c:formatCode>
                <c:ptCount val="13"/>
                <c:pt idx="0">
                  <c:v>0.54999900000000002</c:v>
                </c:pt>
                <c:pt idx="1">
                  <c:v>0.65922700000000001</c:v>
                </c:pt>
                <c:pt idx="2">
                  <c:v>0.871417</c:v>
                </c:pt>
                <c:pt idx="3">
                  <c:v>1.044788</c:v>
                </c:pt>
                <c:pt idx="4" formatCode="0.00">
                  <c:v>1.0900000000000001</c:v>
                </c:pt>
                <c:pt idx="5">
                  <c:v>1.1272869999999999</c:v>
                </c:pt>
                <c:pt idx="6">
                  <c:v>1.099623</c:v>
                </c:pt>
                <c:pt idx="7" formatCode="0.00">
                  <c:v>0.99135200000000001</c:v>
                </c:pt>
                <c:pt idx="8">
                  <c:v>0.96868100000000001</c:v>
                </c:pt>
                <c:pt idx="9">
                  <c:v>0.88200000000000001</c:v>
                </c:pt>
                <c:pt idx="10">
                  <c:v>0.71499999999999997</c:v>
                </c:pt>
                <c:pt idx="11" formatCode="0.00">
                  <c:v>0.482541</c:v>
                </c:pt>
                <c:pt idx="12">
                  <c:v>0.429419</c:v>
                </c:pt>
              </c:numCache>
            </c:numRef>
          </c:val>
          <c:smooth val="0"/>
          <c:extLst>
            <c:ext xmlns:c16="http://schemas.microsoft.com/office/drawing/2014/chart" uri="{C3380CC4-5D6E-409C-BE32-E72D297353CC}">
              <c16:uniqueId val="{00000001-F766-4BD4-B266-EFD570A2D939}"/>
            </c:ext>
          </c:extLst>
        </c:ser>
        <c:dLbls>
          <c:showLegendKey val="0"/>
          <c:showVal val="0"/>
          <c:showCatName val="0"/>
          <c:showSerName val="0"/>
          <c:showPercent val="0"/>
          <c:showBubbleSize val="0"/>
        </c:dLbls>
        <c:marker val="1"/>
        <c:smooth val="0"/>
        <c:axId val="151332352"/>
        <c:axId val="64253312"/>
      </c:lineChart>
      <c:catAx>
        <c:axId val="15133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4253312"/>
        <c:crosses val="autoZero"/>
        <c:auto val="1"/>
        <c:lblAlgn val="ctr"/>
        <c:lblOffset val="100"/>
        <c:tickLblSkip val="2"/>
        <c:tickMarkSkip val="1"/>
        <c:noMultiLvlLbl val="0"/>
      </c:catAx>
      <c:valAx>
        <c:axId val="64253312"/>
        <c:scaling>
          <c:orientation val="minMax"/>
          <c:max val="3"/>
          <c:min val="0"/>
        </c:scaling>
        <c:delete val="0"/>
        <c:axPos val="l"/>
        <c:majorGridlines>
          <c:spPr>
            <a:ln w="12700">
              <a:solidFill>
                <a:srgbClr val="A6A6A6">
                  <a:alpha val="39000"/>
                </a:srgbClr>
              </a:solidFill>
              <a:prstDash val="solid"/>
            </a:ln>
          </c:spPr>
        </c:majorGridlines>
        <c:numFmt formatCode="#,##0.0" sourceLinked="0"/>
        <c:majorTickMark val="out"/>
        <c:minorTickMark val="none"/>
        <c:tickLblPos val="nextTo"/>
        <c:spPr>
          <a:ln w="3175">
            <a:solidFill>
              <a:srgbClr val="C0C0C0"/>
            </a:solidFill>
            <a:prstDash val="solid"/>
          </a:ln>
        </c:spPr>
        <c:txPr>
          <a:bodyPr rot="0" vert="horz"/>
          <a:lstStyle/>
          <a:p>
            <a:pPr>
              <a:defRPr/>
            </a:pPr>
            <a:endParaRPr lang="cs-CZ"/>
          </a:p>
        </c:txPr>
        <c:crossAx val="151332352"/>
        <c:crosses val="autoZero"/>
        <c:crossBetween val="between"/>
        <c:majorUnit val="0.5"/>
        <c:minorUnit val="0.01"/>
      </c:valAx>
      <c:spPr>
        <a:noFill/>
        <a:ln w="12700">
          <a:solidFill>
            <a:srgbClr val="A6A6A6"/>
          </a:solidFill>
          <a:prstDash val="solid"/>
        </a:ln>
      </c:spPr>
    </c:plotArea>
    <c:legend>
      <c:legendPos val="t"/>
      <c:layout>
        <c:manualLayout>
          <c:xMode val="edge"/>
          <c:yMode val="edge"/>
          <c:x val="7.7568121693121703E-2"/>
          <c:y val="0.14111111111111099"/>
          <c:w val="0.89106051587301605"/>
          <c:h val="9.6717460317460299E-2"/>
        </c:manualLayout>
      </c:layout>
      <c:overlay val="0"/>
      <c:spPr>
        <a:solidFill>
          <a:srgbClr val="FFFFFF"/>
        </a:solid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Figure B</a:t>
            </a:r>
            <a:r>
              <a:rPr lang="cs-CZ" sz="800" b="1"/>
              <a:t>9</a:t>
            </a:r>
            <a:r>
              <a:rPr lang="en-US" sz="800" b="1"/>
              <a:t> </a:t>
            </a:r>
            <a:r>
              <a:rPr lang="cs-CZ" sz="800" b="1"/>
              <a:t>Czech</a:t>
            </a:r>
            <a:r>
              <a:rPr lang="cs-CZ" sz="800" b="1" baseline="0"/>
              <a:t> households with a computer </a:t>
            </a:r>
          </a:p>
          <a:p>
            <a:pPr>
              <a:defRPr sz="800" b="1"/>
            </a:pPr>
            <a:r>
              <a:rPr lang="cs-CZ" sz="800" b="1" baseline="0"/>
              <a:t>by type </a:t>
            </a:r>
            <a:r>
              <a:rPr lang="en-US" sz="800" b="1"/>
              <a:t>of computer used </a:t>
            </a:r>
            <a:r>
              <a:rPr lang="cs-CZ" sz="800" b="1"/>
              <a:t>at home (%)*</a:t>
            </a:r>
            <a:endParaRPr lang="en-US" sz="800" b="1"/>
          </a:p>
        </c:rich>
      </c:tx>
      <c:overlay val="1"/>
    </c:title>
    <c:autoTitleDeleted val="0"/>
    <c:plotArea>
      <c:layout>
        <c:manualLayout>
          <c:layoutTarget val="inner"/>
          <c:xMode val="edge"/>
          <c:yMode val="edge"/>
          <c:x val="0.126361819867022"/>
          <c:y val="0.16950051090941901"/>
          <c:w val="0.84571648056188198"/>
          <c:h val="0.55214436619718299"/>
        </c:manualLayout>
      </c:layout>
      <c:barChart>
        <c:barDir val="bar"/>
        <c:grouping val="percentStacked"/>
        <c:varyColors val="0"/>
        <c:ser>
          <c:idx val="4"/>
          <c:order val="0"/>
          <c:tx>
            <c:strRef>
              <c:f>B_ENG!$A$148</c:f>
              <c:strCache>
                <c:ptCount val="1"/>
                <c:pt idx="0">
                  <c:v> Portable only</c:v>
                </c:pt>
              </c:strCache>
            </c:strRef>
          </c:tx>
          <c:spPr>
            <a:solidFill>
              <a:srgbClr val="009BB4"/>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63A-4103-A312-4332B08F8ACE}"/>
                </c:ext>
              </c:extLst>
            </c:dLbl>
            <c:dLbl>
              <c:idx val="2"/>
              <c:layout>
                <c:manualLayout>
                  <c:x val="4.58640387655856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3A-4103-A312-4332B08F8ACE}"/>
                </c:ext>
              </c:extLst>
            </c:dLbl>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B_ENG!$B$147:$G$147</c:f>
              <c:strCache>
                <c:ptCount val="6"/>
                <c:pt idx="0">
                  <c:v>2006</c:v>
                </c:pt>
                <c:pt idx="1">
                  <c:v>2009</c:v>
                </c:pt>
                <c:pt idx="2">
                  <c:v>2011</c:v>
                </c:pt>
                <c:pt idx="3">
                  <c:v>2013</c:v>
                </c:pt>
                <c:pt idx="4">
                  <c:v>2015</c:v>
                </c:pt>
                <c:pt idx="5">
                  <c:v>2017</c:v>
                </c:pt>
              </c:strCache>
            </c:strRef>
          </c:cat>
          <c:val>
            <c:numRef>
              <c:f>B_ENG!$B$148:$G$148</c:f>
              <c:numCache>
                <c:formatCode>0%</c:formatCode>
                <c:ptCount val="6"/>
                <c:pt idx="0">
                  <c:v>3.4760711322273798E-2</c:v>
                </c:pt>
                <c:pt idx="1">
                  <c:v>0.15234889459409801</c:v>
                </c:pt>
                <c:pt idx="2">
                  <c:v>0.21355530737241801</c:v>
                </c:pt>
                <c:pt idx="3">
                  <c:v>0.32066913267220398</c:v>
                </c:pt>
                <c:pt idx="4">
                  <c:v>0.42613166911750999</c:v>
                </c:pt>
                <c:pt idx="5">
                  <c:v>0.49979861809709802</c:v>
                </c:pt>
              </c:numCache>
            </c:numRef>
          </c:val>
          <c:extLst>
            <c:ext xmlns:c16="http://schemas.microsoft.com/office/drawing/2014/chart" uri="{C3380CC4-5D6E-409C-BE32-E72D297353CC}">
              <c16:uniqueId val="{00000002-463A-4103-A312-4332B08F8ACE}"/>
            </c:ext>
          </c:extLst>
        </c:ser>
        <c:ser>
          <c:idx val="0"/>
          <c:order val="1"/>
          <c:tx>
            <c:strRef>
              <c:f>B_ENG!$A$149</c:f>
              <c:strCache>
                <c:ptCount val="1"/>
                <c:pt idx="0">
                  <c:v> Both desktop and portable</c:v>
                </c:pt>
              </c:strCache>
            </c:strRef>
          </c:tx>
          <c:spPr>
            <a:solidFill>
              <a:srgbClr val="00C5E9"/>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B_ENG!$B$147:$G$147</c:f>
              <c:strCache>
                <c:ptCount val="6"/>
                <c:pt idx="0">
                  <c:v>2006</c:v>
                </c:pt>
                <c:pt idx="1">
                  <c:v>2009</c:v>
                </c:pt>
                <c:pt idx="2">
                  <c:v>2011</c:v>
                </c:pt>
                <c:pt idx="3">
                  <c:v>2013</c:v>
                </c:pt>
                <c:pt idx="4">
                  <c:v>2015</c:v>
                </c:pt>
                <c:pt idx="5">
                  <c:v>2017</c:v>
                </c:pt>
              </c:strCache>
            </c:strRef>
          </c:cat>
          <c:val>
            <c:numRef>
              <c:f>B_ENG!$B$149:$G$149</c:f>
              <c:numCache>
                <c:formatCode>0%</c:formatCode>
                <c:ptCount val="6"/>
                <c:pt idx="0">
                  <c:v>0.144767747424043</c:v>
                </c:pt>
                <c:pt idx="1">
                  <c:v>0.21025796022450999</c:v>
                </c:pt>
                <c:pt idx="2">
                  <c:v>0.289481071245348</c:v>
                </c:pt>
                <c:pt idx="3">
                  <c:v>0.31114985321529498</c:v>
                </c:pt>
                <c:pt idx="4">
                  <c:v>0.32324383200867801</c:v>
                </c:pt>
                <c:pt idx="5">
                  <c:v>0.31291772739240198</c:v>
                </c:pt>
              </c:numCache>
            </c:numRef>
          </c:val>
          <c:extLst>
            <c:ext xmlns:c16="http://schemas.microsoft.com/office/drawing/2014/chart" uri="{C3380CC4-5D6E-409C-BE32-E72D297353CC}">
              <c16:uniqueId val="{00000003-463A-4103-A312-4332B08F8ACE}"/>
            </c:ext>
          </c:extLst>
        </c:ser>
        <c:ser>
          <c:idx val="2"/>
          <c:order val="2"/>
          <c:tx>
            <c:strRef>
              <c:f>B_ENG!$A$150</c:f>
              <c:strCache>
                <c:ptCount val="1"/>
                <c:pt idx="0">
                  <c:v> Desktop only</c:v>
                </c:pt>
              </c:strCache>
            </c:strRef>
          </c:tx>
          <c:spPr>
            <a:solidFill>
              <a:srgbClr val="47E5FF"/>
            </a:solidFill>
          </c:spPr>
          <c:invertIfNegative val="0"/>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B_ENG!$B$147:$G$147</c:f>
              <c:strCache>
                <c:ptCount val="6"/>
                <c:pt idx="0">
                  <c:v>2006</c:v>
                </c:pt>
                <c:pt idx="1">
                  <c:v>2009</c:v>
                </c:pt>
                <c:pt idx="2">
                  <c:v>2011</c:v>
                </c:pt>
                <c:pt idx="3">
                  <c:v>2013</c:v>
                </c:pt>
                <c:pt idx="4">
                  <c:v>2015</c:v>
                </c:pt>
                <c:pt idx="5">
                  <c:v>2017</c:v>
                </c:pt>
              </c:strCache>
            </c:strRef>
          </c:cat>
          <c:val>
            <c:numRef>
              <c:f>B_ENG!$B$150:$G$150</c:f>
              <c:numCache>
                <c:formatCode>0%</c:formatCode>
                <c:ptCount val="6"/>
                <c:pt idx="0">
                  <c:v>0.81833547111602201</c:v>
                </c:pt>
                <c:pt idx="1">
                  <c:v>0.63739314518139101</c:v>
                </c:pt>
                <c:pt idx="2">
                  <c:v>0.49696362138223599</c:v>
                </c:pt>
                <c:pt idx="3">
                  <c:v>0.36818101411250898</c:v>
                </c:pt>
                <c:pt idx="4">
                  <c:v>0.25062417738147102</c:v>
                </c:pt>
                <c:pt idx="5">
                  <c:v>0.18728365451050299</c:v>
                </c:pt>
              </c:numCache>
            </c:numRef>
          </c:val>
          <c:extLst>
            <c:ext xmlns:c16="http://schemas.microsoft.com/office/drawing/2014/chart" uri="{C3380CC4-5D6E-409C-BE32-E72D297353CC}">
              <c16:uniqueId val="{00000004-463A-4103-A312-4332B08F8ACE}"/>
            </c:ext>
          </c:extLst>
        </c:ser>
        <c:dLbls>
          <c:showLegendKey val="0"/>
          <c:showVal val="1"/>
          <c:showCatName val="0"/>
          <c:showSerName val="0"/>
          <c:showPercent val="0"/>
          <c:showBubbleSize val="0"/>
        </c:dLbls>
        <c:gapWidth val="50"/>
        <c:overlap val="100"/>
        <c:axId val="169815040"/>
        <c:axId val="165310400"/>
      </c:barChart>
      <c:catAx>
        <c:axId val="16981504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65310400"/>
        <c:crosses val="autoZero"/>
        <c:auto val="1"/>
        <c:lblAlgn val="ctr"/>
        <c:lblOffset val="40"/>
        <c:tickLblSkip val="1"/>
        <c:tickMarkSkip val="1"/>
        <c:noMultiLvlLbl val="0"/>
      </c:catAx>
      <c:valAx>
        <c:axId val="165310400"/>
        <c:scaling>
          <c:orientation val="minMax"/>
          <c:max val="1"/>
        </c:scaling>
        <c:delete val="0"/>
        <c:axPos val="b"/>
        <c:numFmt formatCode="0%" sourceLinked="1"/>
        <c:majorTickMark val="none"/>
        <c:minorTickMark val="none"/>
        <c:tickLblPos val="none"/>
        <c:spPr>
          <a:ln w="9525">
            <a:noFill/>
          </a:ln>
        </c:spPr>
        <c:crossAx val="169815040"/>
        <c:crosses val="autoZero"/>
        <c:crossBetween val="between"/>
        <c:majorUnit val="0.25"/>
        <c:minorUnit val="0.05"/>
      </c:valAx>
      <c:spPr>
        <a:noFill/>
        <a:ln w="12700">
          <a:solidFill>
            <a:srgbClr val="969696"/>
          </a:solidFill>
          <a:prstDash val="solid"/>
        </a:ln>
      </c:spPr>
    </c:plotArea>
    <c:legend>
      <c:legendPos val="r"/>
      <c:layout>
        <c:manualLayout>
          <c:xMode val="edge"/>
          <c:yMode val="edge"/>
          <c:x val="4.0844881398252202E-2"/>
          <c:y val="0.74452269170579"/>
          <c:w val="0.92440051679586599"/>
          <c:h val="9.00582942097026E-2"/>
        </c:manualLayout>
      </c:layout>
      <c:overlay val="0"/>
      <c:spPr>
        <a:no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B1</a:t>
            </a:r>
            <a:r>
              <a:rPr lang="cs-CZ" sz="800"/>
              <a:t>0</a:t>
            </a:r>
            <a:r>
              <a:rPr lang="en-US" sz="800"/>
              <a:t> Households in EU</a:t>
            </a:r>
            <a:r>
              <a:rPr lang="cs-CZ" sz="800"/>
              <a:t> countries with access to </a:t>
            </a:r>
            <a:r>
              <a:rPr lang="en-US" sz="800"/>
              <a:t>a computer</a:t>
            </a:r>
            <a:r>
              <a:rPr lang="cs-CZ" sz="800"/>
              <a:t> at home (%)*</a:t>
            </a:r>
            <a:endParaRPr lang="en-US" sz="800"/>
          </a:p>
        </c:rich>
      </c:tx>
      <c:overlay val="0"/>
    </c:title>
    <c:autoTitleDeleted val="0"/>
    <c:plotArea>
      <c:layout>
        <c:manualLayout>
          <c:layoutTarget val="inner"/>
          <c:xMode val="edge"/>
          <c:yMode val="edge"/>
          <c:x val="6.5949831649831703E-2"/>
          <c:y val="0.10228368055555601"/>
          <c:w val="0.90411750841750804"/>
          <c:h val="0.57682129629629597"/>
        </c:manualLayout>
      </c:layout>
      <c:barChart>
        <c:barDir val="col"/>
        <c:grouping val="clustered"/>
        <c:varyColors val="0"/>
        <c:ser>
          <c:idx val="0"/>
          <c:order val="0"/>
          <c:tx>
            <c:strRef>
              <c:f>B_ENG!$B$169</c:f>
              <c:strCache>
                <c:ptCount val="1"/>
                <c:pt idx="0">
                  <c:v> 2017</c:v>
                </c:pt>
              </c:strCache>
            </c:strRef>
          </c:tx>
          <c:spPr>
            <a:solidFill>
              <a:srgbClr val="009BB4"/>
            </a:solidFill>
          </c:spPr>
          <c:invertIfNegative val="0"/>
          <c:dPt>
            <c:idx val="10"/>
            <c:invertIfNegative val="0"/>
            <c:bubble3D val="0"/>
            <c:spPr>
              <a:solidFill>
                <a:srgbClr val="009BB4"/>
              </a:solidFill>
              <a:ln>
                <a:solidFill>
                  <a:srgbClr val="FF0000"/>
                </a:solidFill>
              </a:ln>
            </c:spPr>
            <c:extLst>
              <c:ext xmlns:c16="http://schemas.microsoft.com/office/drawing/2014/chart" uri="{C3380CC4-5D6E-409C-BE32-E72D297353CC}">
                <c16:uniqueId val="{00000001-1F8A-48DB-AC0B-DF2CEC049320}"/>
              </c:ext>
            </c:extLst>
          </c:dPt>
          <c:dPt>
            <c:idx val="14"/>
            <c:invertIfNegative val="0"/>
            <c:bubble3D val="0"/>
            <c:spPr>
              <a:solidFill>
                <a:srgbClr val="009BB4"/>
              </a:solidFill>
              <a:ln>
                <a:solidFill>
                  <a:srgbClr val="FF0000"/>
                </a:solidFill>
              </a:ln>
            </c:spPr>
            <c:extLst>
              <c:ext xmlns:c16="http://schemas.microsoft.com/office/drawing/2014/chart" uri="{C3380CC4-5D6E-409C-BE32-E72D297353CC}">
                <c16:uniqueId val="{00000003-1F8A-48DB-AC0B-DF2CEC049320}"/>
              </c:ext>
            </c:extLst>
          </c:dPt>
          <c:dLbls>
            <c:dLbl>
              <c:idx val="0"/>
              <c:layout>
                <c:manualLayout>
                  <c:x val="0"/>
                  <c:y val="8.23734567901233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8A-48DB-AC0B-DF2CEC049320}"/>
                </c:ext>
              </c:extLst>
            </c:dLbl>
            <c:dLbl>
              <c:idx val="1"/>
              <c:layout>
                <c:manualLayout>
                  <c:x val="0"/>
                  <c:y val="9.4132716049382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8A-48DB-AC0B-DF2CEC049320}"/>
                </c:ext>
              </c:extLst>
            </c:dLbl>
            <c:dLbl>
              <c:idx val="3"/>
              <c:layout>
                <c:manualLayout>
                  <c:x val="-2.08744247205784E-3"/>
                  <c:y val="7.4533950617284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8A-48DB-AC0B-DF2CEC049320}"/>
                </c:ext>
              </c:extLst>
            </c:dLbl>
            <c:dLbl>
              <c:idx val="4"/>
              <c:layout>
                <c:manualLayout>
                  <c:x val="0"/>
                  <c:y val="8.23734567901233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8A-48DB-AC0B-DF2CEC049320}"/>
                </c:ext>
              </c:extLst>
            </c:dLbl>
            <c:dLbl>
              <c:idx val="5"/>
              <c:layout>
                <c:manualLayout>
                  <c:x val="0"/>
                  <c:y val="7.8666289468307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8A-48DB-AC0B-DF2CEC049320}"/>
                </c:ext>
              </c:extLst>
            </c:dLbl>
            <c:dLbl>
              <c:idx val="8"/>
              <c:layout>
                <c:manualLayout>
                  <c:x val="3.8269336563752403E-17"/>
                  <c:y val="9.4132716049382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8A-48DB-AC0B-DF2CEC049320}"/>
                </c:ext>
              </c:extLst>
            </c:dLbl>
            <c:dLbl>
              <c:idx val="18"/>
              <c:layout>
                <c:manualLayout>
                  <c:x val="0"/>
                  <c:y val="8.62932098765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8A-48DB-AC0B-DF2CEC049320}"/>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B_ENG!$A$170:$A$198</c:f>
              <c:strCache>
                <c:ptCount val="29"/>
                <c:pt idx="0">
                  <c:v>Netherlands</c:v>
                </c:pt>
                <c:pt idx="1">
                  <c:v>Luxembourg </c:v>
                </c:pt>
                <c:pt idx="2">
                  <c:v>Finland</c:v>
                </c:pt>
                <c:pt idx="3">
                  <c:v>Denmark</c:v>
                </c:pt>
                <c:pt idx="4">
                  <c:v>Germany</c:v>
                </c:pt>
                <c:pt idx="5">
                  <c:v>Sweden</c:v>
                </c:pt>
                <c:pt idx="6">
                  <c:v>United Kingdom</c:v>
                </c:pt>
                <c:pt idx="7">
                  <c:v>Estonia</c:v>
                </c:pt>
                <c:pt idx="8">
                  <c:v>Austria</c:v>
                </c:pt>
                <c:pt idx="9">
                  <c:v>Belgium</c:v>
                </c:pt>
                <c:pt idx="10">
                  <c:v>EU28</c:v>
                </c:pt>
                <c:pt idx="11">
                  <c:v>France</c:v>
                </c:pt>
                <c:pt idx="12">
                  <c:v>Ireland</c:v>
                </c:pt>
                <c:pt idx="13">
                  <c:v>Malta</c:v>
                </c:pt>
                <c:pt idx="14">
                  <c:v>Czech Republic</c:v>
                </c:pt>
                <c:pt idx="15">
                  <c:v>Slovakia</c:v>
                </c:pt>
                <c:pt idx="16">
                  <c:v>Poland</c:v>
                </c:pt>
                <c:pt idx="17">
                  <c:v>Hungary</c:v>
                </c:pt>
                <c:pt idx="18">
                  <c:v>Slovenia</c:v>
                </c:pt>
                <c:pt idx="19">
                  <c:v>Spain</c:v>
                </c:pt>
                <c:pt idx="20">
                  <c:v>Latvia</c:v>
                </c:pt>
                <c:pt idx="21">
                  <c:v>Cyprus</c:v>
                </c:pt>
                <c:pt idx="22">
                  <c:v>Croatia</c:v>
                </c:pt>
                <c:pt idx="23">
                  <c:v>Lithuania</c:v>
                </c:pt>
                <c:pt idx="24">
                  <c:v>Romania</c:v>
                </c:pt>
                <c:pt idx="25">
                  <c:v>Italy</c:v>
                </c:pt>
                <c:pt idx="26">
                  <c:v>Portugal</c:v>
                </c:pt>
                <c:pt idx="27">
                  <c:v>Greece</c:v>
                </c:pt>
                <c:pt idx="28">
                  <c:v>Bulgaria</c:v>
                </c:pt>
              </c:strCache>
            </c:strRef>
          </c:cat>
          <c:val>
            <c:numRef>
              <c:f>B_ENG!$B$170:$B$198</c:f>
              <c:numCache>
                <c:formatCode>0%</c:formatCode>
                <c:ptCount val="29"/>
                <c:pt idx="0">
                  <c:v>0.97610799999999998</c:v>
                </c:pt>
                <c:pt idx="1">
                  <c:v>0.95448299999999997</c:v>
                </c:pt>
                <c:pt idx="2">
                  <c:v>0.93497300000000005</c:v>
                </c:pt>
                <c:pt idx="3">
                  <c:v>0.931369</c:v>
                </c:pt>
                <c:pt idx="4">
                  <c:v>0.92865600000000004</c:v>
                </c:pt>
                <c:pt idx="5">
                  <c:v>0.92816399999999999</c:v>
                </c:pt>
                <c:pt idx="6">
                  <c:v>0.91668400000000005</c:v>
                </c:pt>
                <c:pt idx="7">
                  <c:v>0.86909000000000003</c:v>
                </c:pt>
                <c:pt idx="8">
                  <c:v>0.85373299999999996</c:v>
                </c:pt>
                <c:pt idx="9">
                  <c:v>0.85119100000000003</c:v>
                </c:pt>
                <c:pt idx="10">
                  <c:v>0.84211199999999997</c:v>
                </c:pt>
                <c:pt idx="11">
                  <c:v>0.84125000000000005</c:v>
                </c:pt>
                <c:pt idx="12">
                  <c:v>0.83757800000000004</c:v>
                </c:pt>
                <c:pt idx="13">
                  <c:v>0.83714</c:v>
                </c:pt>
                <c:pt idx="14">
                  <c:v>0.82181499999999996</c:v>
                </c:pt>
                <c:pt idx="15">
                  <c:v>0.81799100000000002</c:v>
                </c:pt>
                <c:pt idx="16">
                  <c:v>0.81776899999999997</c:v>
                </c:pt>
                <c:pt idx="17">
                  <c:v>0.79674800000000001</c:v>
                </c:pt>
                <c:pt idx="18">
                  <c:v>0.79503000000000001</c:v>
                </c:pt>
                <c:pt idx="19">
                  <c:v>0.78385000000000005</c:v>
                </c:pt>
                <c:pt idx="20">
                  <c:v>0.77389799999999997</c:v>
                </c:pt>
                <c:pt idx="21">
                  <c:v>0.75874699999999995</c:v>
                </c:pt>
                <c:pt idx="22">
                  <c:v>0.74069700000000005</c:v>
                </c:pt>
                <c:pt idx="23">
                  <c:v>0.73009199999999996</c:v>
                </c:pt>
                <c:pt idx="24">
                  <c:v>0.72999400000000003</c:v>
                </c:pt>
                <c:pt idx="25">
                  <c:v>0.72502</c:v>
                </c:pt>
                <c:pt idx="26">
                  <c:v>0.71491199999999999</c:v>
                </c:pt>
                <c:pt idx="27">
                  <c:v>0.70500499999999999</c:v>
                </c:pt>
                <c:pt idx="28">
                  <c:v>0.62959399999999999</c:v>
                </c:pt>
              </c:numCache>
            </c:numRef>
          </c:val>
          <c:extLst>
            <c:ext xmlns:c16="http://schemas.microsoft.com/office/drawing/2014/chart" uri="{C3380CC4-5D6E-409C-BE32-E72D297353CC}">
              <c16:uniqueId val="{0000000B-1F8A-48DB-AC0B-DF2CEC049320}"/>
            </c:ext>
          </c:extLst>
        </c:ser>
        <c:dLbls>
          <c:showLegendKey val="0"/>
          <c:showVal val="0"/>
          <c:showCatName val="0"/>
          <c:showSerName val="0"/>
          <c:showPercent val="0"/>
          <c:showBubbleSize val="0"/>
        </c:dLbls>
        <c:gapWidth val="50"/>
        <c:axId val="169921536"/>
        <c:axId val="165311552"/>
      </c:barChart>
      <c:barChart>
        <c:barDir val="col"/>
        <c:grouping val="clustered"/>
        <c:varyColors val="0"/>
        <c:ser>
          <c:idx val="1"/>
          <c:order val="1"/>
          <c:tx>
            <c:strRef>
              <c:f>B_ENG!$C$169</c:f>
              <c:strCache>
                <c:ptCount val="1"/>
                <c:pt idx="0">
                  <c:v> 2007</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B_ENG!$A$170:$A$198</c:f>
              <c:strCache>
                <c:ptCount val="29"/>
                <c:pt idx="0">
                  <c:v>Netherlands</c:v>
                </c:pt>
                <c:pt idx="1">
                  <c:v>Luxembourg </c:v>
                </c:pt>
                <c:pt idx="2">
                  <c:v>Finland</c:v>
                </c:pt>
                <c:pt idx="3">
                  <c:v>Denmark</c:v>
                </c:pt>
                <c:pt idx="4">
                  <c:v>Germany</c:v>
                </c:pt>
                <c:pt idx="5">
                  <c:v>Sweden</c:v>
                </c:pt>
                <c:pt idx="6">
                  <c:v>United Kingdom</c:v>
                </c:pt>
                <c:pt idx="7">
                  <c:v>Estonia</c:v>
                </c:pt>
                <c:pt idx="8">
                  <c:v>Austria</c:v>
                </c:pt>
                <c:pt idx="9">
                  <c:v>Belgium</c:v>
                </c:pt>
                <c:pt idx="10">
                  <c:v>EU28</c:v>
                </c:pt>
                <c:pt idx="11">
                  <c:v>France</c:v>
                </c:pt>
                <c:pt idx="12">
                  <c:v>Ireland</c:v>
                </c:pt>
                <c:pt idx="13">
                  <c:v>Malta</c:v>
                </c:pt>
                <c:pt idx="14">
                  <c:v>Czech Republic</c:v>
                </c:pt>
                <c:pt idx="15">
                  <c:v>Slovakia</c:v>
                </c:pt>
                <c:pt idx="16">
                  <c:v>Poland</c:v>
                </c:pt>
                <c:pt idx="17">
                  <c:v>Hungary</c:v>
                </c:pt>
                <c:pt idx="18">
                  <c:v>Slovenia</c:v>
                </c:pt>
                <c:pt idx="19">
                  <c:v>Spain</c:v>
                </c:pt>
                <c:pt idx="20">
                  <c:v>Latvia</c:v>
                </c:pt>
                <c:pt idx="21">
                  <c:v>Cyprus</c:v>
                </c:pt>
                <c:pt idx="22">
                  <c:v>Croatia</c:v>
                </c:pt>
                <c:pt idx="23">
                  <c:v>Lithuania</c:v>
                </c:pt>
                <c:pt idx="24">
                  <c:v>Romania</c:v>
                </c:pt>
                <c:pt idx="25">
                  <c:v>Italy</c:v>
                </c:pt>
                <c:pt idx="26">
                  <c:v>Portugal</c:v>
                </c:pt>
                <c:pt idx="27">
                  <c:v>Greece</c:v>
                </c:pt>
                <c:pt idx="28">
                  <c:v>Bulgaria</c:v>
                </c:pt>
              </c:strCache>
            </c:strRef>
          </c:cat>
          <c:val>
            <c:numRef>
              <c:f>B_ENG!$C$170:$C$198</c:f>
              <c:numCache>
                <c:formatCode>0%</c:formatCode>
                <c:ptCount val="29"/>
                <c:pt idx="0">
                  <c:v>0.86303600000000003</c:v>
                </c:pt>
                <c:pt idx="1">
                  <c:v>0.79966899999999996</c:v>
                </c:pt>
                <c:pt idx="2">
                  <c:v>0.73963100000000004</c:v>
                </c:pt>
                <c:pt idx="3">
                  <c:v>0.82960400000000001</c:v>
                </c:pt>
                <c:pt idx="4">
                  <c:v>0.786466</c:v>
                </c:pt>
                <c:pt idx="5">
                  <c:v>0.82871899999999998</c:v>
                </c:pt>
                <c:pt idx="6">
                  <c:v>0.75377799999999995</c:v>
                </c:pt>
                <c:pt idx="7">
                  <c:v>0.56473499999999999</c:v>
                </c:pt>
                <c:pt idx="8">
                  <c:v>0.70743199999999995</c:v>
                </c:pt>
                <c:pt idx="9">
                  <c:v>0.67196299999999998</c:v>
                </c:pt>
                <c:pt idx="10">
                  <c:v>0.64225600000000005</c:v>
                </c:pt>
                <c:pt idx="11">
                  <c:v>0.65549400000000002</c:v>
                </c:pt>
                <c:pt idx="12">
                  <c:v>0.65487099999999998</c:v>
                </c:pt>
                <c:pt idx="13">
                  <c:v>0.62636400000000003</c:v>
                </c:pt>
                <c:pt idx="14">
                  <c:v>0.43396800000000002</c:v>
                </c:pt>
                <c:pt idx="15">
                  <c:v>0.55429700000000004</c:v>
                </c:pt>
                <c:pt idx="16">
                  <c:v>0.53689299999999995</c:v>
                </c:pt>
                <c:pt idx="17">
                  <c:v>0.52565099999999998</c:v>
                </c:pt>
                <c:pt idx="18">
                  <c:v>0.65998400000000002</c:v>
                </c:pt>
                <c:pt idx="19">
                  <c:v>0.58949300000000004</c:v>
                </c:pt>
                <c:pt idx="20">
                  <c:v>0.492205</c:v>
                </c:pt>
                <c:pt idx="21">
                  <c:v>0.53053700000000004</c:v>
                </c:pt>
                <c:pt idx="22">
                  <c:v>0.49468800000000002</c:v>
                </c:pt>
                <c:pt idx="23">
                  <c:v>0.462723</c:v>
                </c:pt>
                <c:pt idx="24">
                  <c:v>0.33998499999999998</c:v>
                </c:pt>
                <c:pt idx="25">
                  <c:v>0.53379600000000005</c:v>
                </c:pt>
                <c:pt idx="26">
                  <c:v>0.48316500000000001</c:v>
                </c:pt>
                <c:pt idx="27">
                  <c:v>0.40167399999999998</c:v>
                </c:pt>
                <c:pt idx="28">
                  <c:v>0.23327400000000001</c:v>
                </c:pt>
              </c:numCache>
            </c:numRef>
          </c:val>
          <c:extLst>
            <c:ext xmlns:c16="http://schemas.microsoft.com/office/drawing/2014/chart" uri="{C3380CC4-5D6E-409C-BE32-E72D297353CC}">
              <c16:uniqueId val="{0000000C-1F8A-48DB-AC0B-DF2CEC049320}"/>
            </c:ext>
          </c:extLst>
        </c:ser>
        <c:dLbls>
          <c:showLegendKey val="0"/>
          <c:showVal val="0"/>
          <c:showCatName val="0"/>
          <c:showSerName val="0"/>
          <c:showPercent val="0"/>
          <c:showBubbleSize val="0"/>
        </c:dLbls>
        <c:gapWidth val="200"/>
        <c:axId val="170051072"/>
        <c:axId val="165312128"/>
      </c:barChart>
      <c:catAx>
        <c:axId val="169921536"/>
        <c:scaling>
          <c:orientation val="minMax"/>
        </c:scaling>
        <c:delete val="0"/>
        <c:axPos val="b"/>
        <c:numFmt formatCode="General" sourceLinked="0"/>
        <c:majorTickMark val="out"/>
        <c:minorTickMark val="none"/>
        <c:tickLblPos val="nextTo"/>
        <c:spPr>
          <a:ln w="3175">
            <a:solidFill>
              <a:schemeClr val="tx1"/>
            </a:solidFill>
          </a:ln>
        </c:spPr>
        <c:crossAx val="165311552"/>
        <c:crosses val="autoZero"/>
        <c:auto val="1"/>
        <c:lblAlgn val="ctr"/>
        <c:lblOffset val="100"/>
        <c:noMultiLvlLbl val="0"/>
      </c:catAx>
      <c:valAx>
        <c:axId val="165311552"/>
        <c:scaling>
          <c:orientation val="minMax"/>
          <c:max val="1"/>
          <c:min val="0"/>
        </c:scaling>
        <c:delete val="0"/>
        <c:axPos val="l"/>
        <c:numFmt formatCode="0%" sourceLinked="1"/>
        <c:majorTickMark val="none"/>
        <c:minorTickMark val="none"/>
        <c:tickLblPos val="nextTo"/>
        <c:txPr>
          <a:bodyPr/>
          <a:lstStyle/>
          <a:p>
            <a:pPr>
              <a:defRPr>
                <a:solidFill>
                  <a:schemeClr val="bg1"/>
                </a:solidFill>
              </a:defRPr>
            </a:pPr>
            <a:endParaRPr lang="cs-CZ"/>
          </a:p>
        </c:txPr>
        <c:crossAx val="169921536"/>
        <c:crosses val="autoZero"/>
        <c:crossBetween val="between"/>
        <c:majorUnit val="0.1"/>
        <c:minorUnit val="0.05"/>
      </c:valAx>
      <c:valAx>
        <c:axId val="165312128"/>
        <c:scaling>
          <c:orientation val="minMax"/>
        </c:scaling>
        <c:delete val="0"/>
        <c:axPos val="r"/>
        <c:numFmt formatCode="0%" sourceLinked="1"/>
        <c:majorTickMark val="none"/>
        <c:minorTickMark val="none"/>
        <c:tickLblPos val="none"/>
        <c:crossAx val="170051072"/>
        <c:crosses val="max"/>
        <c:crossBetween val="between"/>
      </c:valAx>
      <c:catAx>
        <c:axId val="170051072"/>
        <c:scaling>
          <c:orientation val="minMax"/>
        </c:scaling>
        <c:delete val="1"/>
        <c:axPos val="b"/>
        <c:numFmt formatCode="General" sourceLinked="0"/>
        <c:majorTickMark val="out"/>
        <c:minorTickMark val="none"/>
        <c:tickLblPos val="none"/>
        <c:crossAx val="16531212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9131410256410304"/>
          <c:y val="0.112931790123457"/>
          <c:w val="7.1111932938855996E-2"/>
          <c:h val="0.116382098765432"/>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B11 Households in the Czech Republic</a:t>
            </a:r>
          </a:p>
          <a:p>
            <a:pPr>
              <a:defRPr sz="800" b="1"/>
            </a:pPr>
            <a:r>
              <a:rPr lang="cs-CZ" sz="800" b="1"/>
              <a:t>with a portable computer</a:t>
            </a:r>
            <a:r>
              <a:rPr lang="cs-CZ" sz="800" b="1" baseline="0"/>
              <a:t> (laptop or tablet)</a:t>
            </a:r>
            <a:endParaRPr lang="en-US" sz="800" b="1"/>
          </a:p>
        </c:rich>
      </c:tx>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B_ENG!$A$204</c:f>
              <c:strCache>
                <c:ptCount val="1"/>
                <c:pt idx="0">
                  <c:v> Millions</c:v>
                </c:pt>
              </c:strCache>
            </c:strRef>
          </c:tx>
          <c:spPr>
            <a:solidFill>
              <a:srgbClr val="009BB4"/>
            </a:solidFill>
            <a:ln w="25400">
              <a:noFill/>
            </a:ln>
          </c:spPr>
          <c:invertIfNegative val="0"/>
          <c:dLbls>
            <c:dLbl>
              <c:idx val="0"/>
              <c:layout>
                <c:manualLayout>
                  <c:x val="0"/>
                  <c:y val="5.8272544283413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2B-4CE9-A2D4-0E54F8D33350}"/>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B_ENG!$B$203:$G$203</c:f>
              <c:numCache>
                <c:formatCode>0</c:formatCode>
                <c:ptCount val="6"/>
                <c:pt idx="0">
                  <c:v>2006</c:v>
                </c:pt>
                <c:pt idx="1">
                  <c:v>2009</c:v>
                </c:pt>
                <c:pt idx="2">
                  <c:v>2011</c:v>
                </c:pt>
                <c:pt idx="3">
                  <c:v>2013</c:v>
                </c:pt>
                <c:pt idx="4">
                  <c:v>2015</c:v>
                </c:pt>
                <c:pt idx="5">
                  <c:v>2017</c:v>
                </c:pt>
              </c:numCache>
            </c:numRef>
          </c:cat>
          <c:val>
            <c:numRef>
              <c:f>B_ENG!$B$204:$G$204</c:f>
              <c:numCache>
                <c:formatCode>0.0</c:formatCode>
                <c:ptCount val="6"/>
                <c:pt idx="0">
                  <c:v>0.28554856890477798</c:v>
                </c:pt>
                <c:pt idx="1">
                  <c:v>0.84656268508999999</c:v>
                </c:pt>
                <c:pt idx="2">
                  <c:v>1.3361921773353109</c:v>
                </c:pt>
                <c:pt idx="3">
                  <c:v>1.830136893275496</c:v>
                </c:pt>
                <c:pt idx="4">
                  <c:v>2.330928611619659</c:v>
                </c:pt>
                <c:pt idx="5">
                  <c:v>2.7166516816250188</c:v>
                </c:pt>
              </c:numCache>
            </c:numRef>
          </c:val>
          <c:extLst>
            <c:ext xmlns:c16="http://schemas.microsoft.com/office/drawing/2014/chart" uri="{C3380CC4-5D6E-409C-BE32-E72D297353CC}">
              <c16:uniqueId val="{00000001-782B-4CE9-A2D4-0E54F8D33350}"/>
            </c:ext>
          </c:extLst>
        </c:ser>
        <c:dLbls>
          <c:showLegendKey val="0"/>
          <c:showVal val="0"/>
          <c:showCatName val="0"/>
          <c:showSerName val="0"/>
          <c:showPercent val="0"/>
          <c:showBubbleSize val="0"/>
        </c:dLbls>
        <c:gapWidth val="50"/>
        <c:axId val="169922048"/>
        <c:axId val="168312832"/>
      </c:barChart>
      <c:lineChart>
        <c:grouping val="standard"/>
        <c:varyColors val="0"/>
        <c:ser>
          <c:idx val="0"/>
          <c:order val="1"/>
          <c:tx>
            <c:strRef>
              <c:f>B_ENG!$A$205</c:f>
              <c:strCache>
                <c:ptCount val="1"/>
                <c:pt idx="0">
                  <c:v> As % of all households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B-4CE9-A2D4-0E54F8D33350}"/>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B_ENG!$B$203:$G$203</c:f>
              <c:numCache>
                <c:formatCode>0</c:formatCode>
                <c:ptCount val="6"/>
                <c:pt idx="0">
                  <c:v>2006</c:v>
                </c:pt>
                <c:pt idx="1">
                  <c:v>2009</c:v>
                </c:pt>
                <c:pt idx="2">
                  <c:v>2011</c:v>
                </c:pt>
                <c:pt idx="3">
                  <c:v>2013</c:v>
                </c:pt>
                <c:pt idx="4">
                  <c:v>2015</c:v>
                </c:pt>
                <c:pt idx="5">
                  <c:v>2017</c:v>
                </c:pt>
              </c:numCache>
            </c:numRef>
          </c:cat>
          <c:val>
            <c:numRef>
              <c:f>B_ENG!$B$205:$G$205</c:f>
              <c:numCache>
                <c:formatCode>0.0%</c:formatCode>
                <c:ptCount val="6"/>
                <c:pt idx="0" formatCode="0%">
                  <c:v>6.7968664677844501E-2</c:v>
                </c:pt>
                <c:pt idx="1">
                  <c:v>0.19643449253859299</c:v>
                </c:pt>
                <c:pt idx="2">
                  <c:v>0.32571838033551298</c:v>
                </c:pt>
                <c:pt idx="3">
                  <c:v>0.43055704384627702</c:v>
                </c:pt>
                <c:pt idx="4">
                  <c:v>0.54747464866239404</c:v>
                </c:pt>
                <c:pt idx="5">
                  <c:v>0.62009595812857998</c:v>
                </c:pt>
              </c:numCache>
            </c:numRef>
          </c:val>
          <c:smooth val="0"/>
          <c:extLst>
            <c:ext xmlns:c16="http://schemas.microsoft.com/office/drawing/2014/chart" uri="{C3380CC4-5D6E-409C-BE32-E72D297353CC}">
              <c16:uniqueId val="{00000003-782B-4CE9-A2D4-0E54F8D33350}"/>
            </c:ext>
          </c:extLst>
        </c:ser>
        <c:ser>
          <c:idx val="1"/>
          <c:order val="2"/>
          <c:tx>
            <c:strRef>
              <c:f>B_ENG!$A$206</c:f>
              <c:strCache>
                <c:ptCount val="1"/>
                <c:pt idx="0">
                  <c:v> As % of households with a computer</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B_ENG!$B$203:$G$203</c:f>
              <c:numCache>
                <c:formatCode>0</c:formatCode>
                <c:ptCount val="6"/>
                <c:pt idx="0">
                  <c:v>2006</c:v>
                </c:pt>
                <c:pt idx="1">
                  <c:v>2009</c:v>
                </c:pt>
                <c:pt idx="2">
                  <c:v>2011</c:v>
                </c:pt>
                <c:pt idx="3">
                  <c:v>2013</c:v>
                </c:pt>
                <c:pt idx="4">
                  <c:v>2015</c:v>
                </c:pt>
                <c:pt idx="5">
                  <c:v>2017</c:v>
                </c:pt>
              </c:numCache>
            </c:numRef>
          </c:cat>
          <c:val>
            <c:numRef>
              <c:f>B_ENG!$B$206:$G$206</c:f>
              <c:numCache>
                <c:formatCode>0.0%</c:formatCode>
                <c:ptCount val="6"/>
                <c:pt idx="0" formatCode="0%">
                  <c:v>0.19044285935441199</c:v>
                </c:pt>
                <c:pt idx="1">
                  <c:v>0.36260685481860899</c:v>
                </c:pt>
                <c:pt idx="2">
                  <c:v>0.50303637861776396</c:v>
                </c:pt>
                <c:pt idx="3">
                  <c:v>0.63181898588749597</c:v>
                </c:pt>
                <c:pt idx="4">
                  <c:v>0.74937576840968201</c:v>
                </c:pt>
                <c:pt idx="5">
                  <c:v>0.812716345489499</c:v>
                </c:pt>
              </c:numCache>
            </c:numRef>
          </c:val>
          <c:smooth val="0"/>
          <c:extLst>
            <c:ext xmlns:c16="http://schemas.microsoft.com/office/drawing/2014/chart" uri="{C3380CC4-5D6E-409C-BE32-E72D297353CC}">
              <c16:uniqueId val="{00000004-782B-4CE9-A2D4-0E54F8D33350}"/>
            </c:ext>
          </c:extLst>
        </c:ser>
        <c:dLbls>
          <c:showLegendKey val="0"/>
          <c:showVal val="0"/>
          <c:showCatName val="0"/>
          <c:showSerName val="0"/>
          <c:showPercent val="0"/>
          <c:showBubbleSize val="0"/>
        </c:dLbls>
        <c:marker val="1"/>
        <c:smooth val="0"/>
        <c:axId val="170052608"/>
        <c:axId val="168313408"/>
      </c:lineChart>
      <c:catAx>
        <c:axId val="16992204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68312832"/>
        <c:crosses val="autoZero"/>
        <c:auto val="1"/>
        <c:lblAlgn val="ctr"/>
        <c:lblOffset val="140"/>
        <c:tickLblSkip val="1"/>
        <c:tickMarkSkip val="1"/>
        <c:noMultiLvlLbl val="0"/>
      </c:catAx>
      <c:valAx>
        <c:axId val="168312832"/>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69922048"/>
        <c:crosses val="autoZero"/>
        <c:crossBetween val="between"/>
        <c:majorUnit val="1"/>
        <c:minorUnit val="0.02"/>
      </c:valAx>
      <c:catAx>
        <c:axId val="170052608"/>
        <c:scaling>
          <c:orientation val="minMax"/>
        </c:scaling>
        <c:delete val="1"/>
        <c:axPos val="b"/>
        <c:numFmt formatCode="0" sourceLinked="1"/>
        <c:majorTickMark val="out"/>
        <c:minorTickMark val="none"/>
        <c:tickLblPos val="none"/>
        <c:crossAx val="168313408"/>
        <c:crosses val="autoZero"/>
        <c:auto val="1"/>
        <c:lblAlgn val="ctr"/>
        <c:lblOffset val="100"/>
        <c:noMultiLvlLbl val="0"/>
      </c:catAx>
      <c:valAx>
        <c:axId val="168313408"/>
        <c:scaling>
          <c:orientation val="minMax"/>
          <c:max val="1"/>
          <c:min val="0"/>
        </c:scaling>
        <c:delete val="0"/>
        <c:axPos val="r"/>
        <c:numFmt formatCode="0%" sourceLinked="1"/>
        <c:majorTickMark val="none"/>
        <c:minorTickMark val="none"/>
        <c:tickLblPos val="none"/>
        <c:spPr>
          <a:ln>
            <a:solidFill>
              <a:schemeClr val="bg1">
                <a:lumMod val="65000"/>
              </a:schemeClr>
            </a:solidFill>
          </a:ln>
        </c:spPr>
        <c:crossAx val="170052608"/>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898E-2"/>
          <c:y val="0.154717407407407"/>
          <c:w val="0.48404718875502001"/>
          <c:h val="0.22300069444444401"/>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B12 Czech households with a computer by type of computer used at home; 2017 (%)*</a:t>
            </a:r>
            <a:endParaRPr lang="en-US" sz="800" b="1"/>
          </a:p>
        </c:rich>
      </c:tx>
      <c:overlay val="1"/>
    </c:title>
    <c:autoTitleDeleted val="0"/>
    <c:plotArea>
      <c:layout>
        <c:manualLayout>
          <c:layoutTarget val="inner"/>
          <c:xMode val="edge"/>
          <c:yMode val="edge"/>
          <c:x val="0.21056879844961199"/>
          <c:y val="0.12958627450980401"/>
          <c:w val="0.76603940568475504"/>
          <c:h val="0.69773496732026097"/>
        </c:manualLayout>
      </c:layout>
      <c:barChart>
        <c:barDir val="bar"/>
        <c:grouping val="clustered"/>
        <c:varyColors val="0"/>
        <c:ser>
          <c:idx val="0"/>
          <c:order val="0"/>
          <c:tx>
            <c:strRef>
              <c:f>B_ENG!$B$209</c:f>
              <c:strCache>
                <c:ptCount val="1"/>
                <c:pt idx="0">
                  <c:v> HHs with members older than 65</c:v>
                </c:pt>
              </c:strCache>
            </c:strRef>
          </c:tx>
          <c:spPr>
            <a:solidFill>
              <a:srgbClr val="47E5FF"/>
            </a:solidFill>
          </c:spPr>
          <c:invertIfNegative val="0"/>
          <c:dLbls>
            <c:dLbl>
              <c:idx val="3"/>
              <c:layout>
                <c:manualLayout>
                  <c:x val="-8.95889468347094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C1-4DA9-A88C-7878FDDC7C9B}"/>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B_ENG!$A$210:$A$215</c:f>
              <c:strCache>
                <c:ptCount val="6"/>
                <c:pt idx="0">
                  <c:v>Portable 
only</c:v>
                </c:pt>
                <c:pt idx="1">
                  <c:v>Desktop 
only</c:v>
                </c:pt>
                <c:pt idx="3">
                  <c:v>Tablet</c:v>
                </c:pt>
                <c:pt idx="4">
                  <c:v>Laptop</c:v>
                </c:pt>
                <c:pt idx="5">
                  <c:v>Desktop</c:v>
                </c:pt>
              </c:strCache>
            </c:strRef>
          </c:cat>
          <c:val>
            <c:numRef>
              <c:f>B_ENG!$B$210:$B$215</c:f>
              <c:numCache>
                <c:formatCode>0%</c:formatCode>
                <c:ptCount val="6"/>
                <c:pt idx="0">
                  <c:v>0.44261973480133998</c:v>
                </c:pt>
                <c:pt idx="1">
                  <c:v>0.44061832944811202</c:v>
                </c:pt>
                <c:pt idx="3">
                  <c:v>0.102430060491935</c:v>
                </c:pt>
                <c:pt idx="4">
                  <c:v>0.49856364954663501</c:v>
                </c:pt>
                <c:pt idx="5">
                  <c:v>0.55737802651986601</c:v>
                </c:pt>
              </c:numCache>
            </c:numRef>
          </c:val>
          <c:extLst>
            <c:ext xmlns:c16="http://schemas.microsoft.com/office/drawing/2014/chart" uri="{C3380CC4-5D6E-409C-BE32-E72D297353CC}">
              <c16:uniqueId val="{00000001-8FC1-4DA9-A88C-7878FDDC7C9B}"/>
            </c:ext>
          </c:extLst>
        </c:ser>
        <c:ser>
          <c:idx val="1"/>
          <c:order val="1"/>
          <c:tx>
            <c:strRef>
              <c:f>B_ENG!$C$209</c:f>
              <c:strCache>
                <c:ptCount val="1"/>
                <c:pt idx="0">
                  <c:v> HHs with children</c:v>
                </c:pt>
              </c:strCache>
            </c:strRef>
          </c:tx>
          <c:spPr>
            <a:solidFill>
              <a:srgbClr val="00C5E9"/>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1-4DA9-A88C-7878FDDC7C9B}"/>
                </c:ext>
              </c:extLst>
            </c:dLbl>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B_ENG!$A$210:$A$215</c:f>
              <c:strCache>
                <c:ptCount val="6"/>
                <c:pt idx="0">
                  <c:v>Portable 
only</c:v>
                </c:pt>
                <c:pt idx="1">
                  <c:v>Desktop 
only</c:v>
                </c:pt>
                <c:pt idx="3">
                  <c:v>Tablet</c:v>
                </c:pt>
                <c:pt idx="4">
                  <c:v>Laptop</c:v>
                </c:pt>
                <c:pt idx="5">
                  <c:v>Desktop</c:v>
                </c:pt>
              </c:strCache>
            </c:strRef>
          </c:cat>
          <c:val>
            <c:numRef>
              <c:f>B_ENG!$C$210:$C$215</c:f>
              <c:numCache>
                <c:formatCode>0%</c:formatCode>
                <c:ptCount val="6"/>
                <c:pt idx="0">
                  <c:v>0.50751159203964502</c:v>
                </c:pt>
                <c:pt idx="1">
                  <c:v>0.118444403806895</c:v>
                </c:pt>
                <c:pt idx="3">
                  <c:v>0.48472198370701802</c:v>
                </c:pt>
                <c:pt idx="4">
                  <c:v>0.80860753445756195</c:v>
                </c:pt>
                <c:pt idx="5">
                  <c:v>0.49248840796035498</c:v>
                </c:pt>
              </c:numCache>
            </c:numRef>
          </c:val>
          <c:extLst>
            <c:ext xmlns:c16="http://schemas.microsoft.com/office/drawing/2014/chart" uri="{C3380CC4-5D6E-409C-BE32-E72D297353CC}">
              <c16:uniqueId val="{00000003-8FC1-4DA9-A88C-7878FDDC7C9B}"/>
            </c:ext>
          </c:extLst>
        </c:ser>
        <c:ser>
          <c:idx val="2"/>
          <c:order val="2"/>
          <c:tx>
            <c:strRef>
              <c:f>B_ENG!$D$209</c:f>
              <c:strCache>
                <c:ptCount val="1"/>
                <c:pt idx="0">
                  <c:v> HHs** with all members younger than 40</c:v>
                </c:pt>
              </c:strCache>
            </c:strRef>
          </c:tx>
          <c:spPr>
            <a:solidFill>
              <a:srgbClr val="009BB4"/>
            </a:solidFill>
          </c:spPr>
          <c:invertIfNegative val="0"/>
          <c:dLbls>
            <c:dLbl>
              <c:idx val="1"/>
              <c:layout>
                <c:manualLayout>
                  <c:x val="-7.423634996631210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1-4DA9-A88C-7878FDDC7C9B}"/>
                </c:ext>
              </c:extLst>
            </c:dLbl>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B_ENG!$A$210:$A$215</c:f>
              <c:strCache>
                <c:ptCount val="6"/>
                <c:pt idx="0">
                  <c:v>Portable 
only</c:v>
                </c:pt>
                <c:pt idx="1">
                  <c:v>Desktop 
only</c:v>
                </c:pt>
                <c:pt idx="3">
                  <c:v>Tablet</c:v>
                </c:pt>
                <c:pt idx="4">
                  <c:v>Laptop</c:v>
                </c:pt>
                <c:pt idx="5">
                  <c:v>Desktop</c:v>
                </c:pt>
              </c:strCache>
            </c:strRef>
          </c:cat>
          <c:val>
            <c:numRef>
              <c:f>B_ENG!$D$210:$D$215</c:f>
              <c:numCache>
                <c:formatCode>0%</c:formatCode>
                <c:ptCount val="6"/>
                <c:pt idx="0">
                  <c:v>0.71146008019012597</c:v>
                </c:pt>
                <c:pt idx="1">
                  <c:v>8.8041124783823699E-2</c:v>
                </c:pt>
                <c:pt idx="3">
                  <c:v>0.23676317213789499</c:v>
                </c:pt>
                <c:pt idx="4">
                  <c:v>0.873882000829867</c:v>
                </c:pt>
                <c:pt idx="5">
                  <c:v>0.28853991980987398</c:v>
                </c:pt>
              </c:numCache>
            </c:numRef>
          </c:val>
          <c:extLst>
            <c:ext xmlns:c16="http://schemas.microsoft.com/office/drawing/2014/chart" uri="{C3380CC4-5D6E-409C-BE32-E72D297353CC}">
              <c16:uniqueId val="{00000005-8FC1-4DA9-A88C-7878FDDC7C9B}"/>
            </c:ext>
          </c:extLst>
        </c:ser>
        <c:dLbls>
          <c:showLegendKey val="0"/>
          <c:showVal val="0"/>
          <c:showCatName val="0"/>
          <c:showSerName val="0"/>
          <c:showPercent val="0"/>
          <c:showBubbleSize val="0"/>
        </c:dLbls>
        <c:gapWidth val="50"/>
        <c:axId val="170049536"/>
        <c:axId val="168315136"/>
      </c:barChart>
      <c:catAx>
        <c:axId val="170049536"/>
        <c:scaling>
          <c:orientation val="minMax"/>
        </c:scaling>
        <c:delete val="0"/>
        <c:axPos val="l"/>
        <c:numFmt formatCode="General" sourceLinked="1"/>
        <c:majorTickMark val="out"/>
        <c:minorTickMark val="none"/>
        <c:tickLblPos val="nextTo"/>
        <c:spPr>
          <a:ln w="3175">
            <a:solidFill>
              <a:schemeClr val="tx1"/>
            </a:solidFill>
          </a:ln>
        </c:spPr>
        <c:crossAx val="168315136"/>
        <c:crosses val="autoZero"/>
        <c:auto val="1"/>
        <c:lblAlgn val="ctr"/>
        <c:lblOffset val="100"/>
        <c:noMultiLvlLbl val="0"/>
      </c:catAx>
      <c:valAx>
        <c:axId val="168315136"/>
        <c:scaling>
          <c:orientation val="minMax"/>
          <c:max val="1"/>
        </c:scaling>
        <c:delete val="0"/>
        <c:axPos val="b"/>
        <c:numFmt formatCode="0%" sourceLinked="1"/>
        <c:majorTickMark val="none"/>
        <c:minorTickMark val="none"/>
        <c:tickLblPos val="none"/>
        <c:crossAx val="170049536"/>
        <c:crosses val="autoZero"/>
        <c:crossBetween val="between"/>
        <c:majorUnit val="0.1"/>
        <c:minorUnit val="0.05"/>
      </c:valAx>
      <c:spPr>
        <a:ln w="12700">
          <a:solidFill>
            <a:schemeClr val="bg1">
              <a:lumMod val="65000"/>
            </a:schemeClr>
          </a:solidFill>
        </a:ln>
      </c:spPr>
    </c:plotArea>
    <c:legend>
      <c:legendPos val="r"/>
      <c:layout>
        <c:manualLayout>
          <c:xMode val="edge"/>
          <c:yMode val="edge"/>
          <c:x val="0.31515600775193803"/>
          <c:y val="0.479082679738562"/>
          <c:w val="0.642779715762274"/>
          <c:h val="0.16245653594771201"/>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B13 Households in the Czech Republic</a:t>
            </a:r>
          </a:p>
          <a:p>
            <a:pPr>
              <a:defRPr sz="800" b="1"/>
            </a:pPr>
            <a:r>
              <a:rPr lang="cs-CZ" sz="800" b="1"/>
              <a:t>with access to the internet at home</a:t>
            </a:r>
            <a:endParaRPr lang="en-US" sz="800" b="1"/>
          </a:p>
        </c:rich>
      </c:tx>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B_ENG!$A$238</c:f>
              <c:strCache>
                <c:ptCount val="1"/>
                <c:pt idx="0">
                  <c:v> 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B_ENG!$B$237:$I$237</c:f>
              <c:numCache>
                <c:formatCode>0</c:formatCode>
                <c:ptCount val="8"/>
                <c:pt idx="0">
                  <c:v>2003</c:v>
                </c:pt>
                <c:pt idx="1">
                  <c:v>2005</c:v>
                </c:pt>
                <c:pt idx="2">
                  <c:v>2007</c:v>
                </c:pt>
                <c:pt idx="3">
                  <c:v>2009</c:v>
                </c:pt>
                <c:pt idx="4">
                  <c:v>2011</c:v>
                </c:pt>
                <c:pt idx="5">
                  <c:v>2013</c:v>
                </c:pt>
                <c:pt idx="6">
                  <c:v>2015</c:v>
                </c:pt>
                <c:pt idx="7">
                  <c:v>2017</c:v>
                </c:pt>
              </c:numCache>
            </c:numRef>
          </c:cat>
          <c:val>
            <c:numRef>
              <c:f>B_ENG!$B$238:$I$238</c:f>
              <c:numCache>
                <c:formatCode>#,##0.0</c:formatCode>
                <c:ptCount val="8"/>
                <c:pt idx="0">
                  <c:v>0.60099999999999998</c:v>
                </c:pt>
                <c:pt idx="1">
                  <c:v>0.78339559880018705</c:v>
                </c:pt>
                <c:pt idx="2">
                  <c:v>1.354904054285772</c:v>
                </c:pt>
                <c:pt idx="3">
                  <c:v>2.1223472212929999</c:v>
                </c:pt>
                <c:pt idx="4" formatCode="0.0">
                  <c:v>2.530986</c:v>
                </c:pt>
                <c:pt idx="5">
                  <c:v>2.8459140000000001</c:v>
                </c:pt>
                <c:pt idx="6">
                  <c:v>3.1112950000000001</c:v>
                </c:pt>
                <c:pt idx="7" formatCode="0.0">
                  <c:v>3.3805519456893798</c:v>
                </c:pt>
              </c:numCache>
            </c:numRef>
          </c:val>
          <c:extLst>
            <c:ext xmlns:c16="http://schemas.microsoft.com/office/drawing/2014/chart" uri="{C3380CC4-5D6E-409C-BE32-E72D297353CC}">
              <c16:uniqueId val="{00000000-E0E0-4020-AC01-E2A6CD9390D1}"/>
            </c:ext>
          </c:extLst>
        </c:ser>
        <c:dLbls>
          <c:showLegendKey val="0"/>
          <c:showVal val="0"/>
          <c:showCatName val="0"/>
          <c:showSerName val="0"/>
          <c:showPercent val="0"/>
          <c:showBubbleSize val="0"/>
        </c:dLbls>
        <c:gapWidth val="50"/>
        <c:axId val="170296832"/>
        <c:axId val="168317440"/>
      </c:barChart>
      <c:lineChart>
        <c:grouping val="standard"/>
        <c:varyColors val="0"/>
        <c:ser>
          <c:idx val="0"/>
          <c:order val="1"/>
          <c:tx>
            <c:strRef>
              <c:f>B_ENG!$A$239</c:f>
              <c:strCache>
                <c:ptCount val="1"/>
                <c:pt idx="0">
                  <c:v> As % of all households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E0-4020-AC01-E2A6CD9390D1}"/>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B_ENG!$B$237:$I$237</c:f>
              <c:numCache>
                <c:formatCode>0</c:formatCode>
                <c:ptCount val="8"/>
                <c:pt idx="0">
                  <c:v>2003</c:v>
                </c:pt>
                <c:pt idx="1">
                  <c:v>2005</c:v>
                </c:pt>
                <c:pt idx="2">
                  <c:v>2007</c:v>
                </c:pt>
                <c:pt idx="3">
                  <c:v>2009</c:v>
                </c:pt>
                <c:pt idx="4">
                  <c:v>2011</c:v>
                </c:pt>
                <c:pt idx="5">
                  <c:v>2013</c:v>
                </c:pt>
                <c:pt idx="6">
                  <c:v>2015</c:v>
                </c:pt>
                <c:pt idx="7">
                  <c:v>2017</c:v>
                </c:pt>
              </c:numCache>
            </c:numRef>
          </c:cat>
          <c:val>
            <c:numRef>
              <c:f>B_ENG!$B$239:$I$239</c:f>
              <c:numCache>
                <c:formatCode>0.0%</c:formatCode>
                <c:ptCount val="8"/>
                <c:pt idx="0">
                  <c:v>0.14799999999999999</c:v>
                </c:pt>
                <c:pt idx="1">
                  <c:v>0.19078790862909301</c:v>
                </c:pt>
                <c:pt idx="2">
                  <c:v>0.31984155830700101</c:v>
                </c:pt>
                <c:pt idx="3">
                  <c:v>0.49246469256748499</c:v>
                </c:pt>
                <c:pt idx="4">
                  <c:v>0.61699999999999999</c:v>
                </c:pt>
                <c:pt idx="5">
                  <c:v>0.67</c:v>
                </c:pt>
                <c:pt idx="6">
                  <c:v>0.73099999999999998</c:v>
                </c:pt>
                <c:pt idx="7">
                  <c:v>0.77163613279703502</c:v>
                </c:pt>
              </c:numCache>
            </c:numRef>
          </c:val>
          <c:smooth val="0"/>
          <c:extLst>
            <c:ext xmlns:c16="http://schemas.microsoft.com/office/drawing/2014/chart" uri="{C3380CC4-5D6E-409C-BE32-E72D297353CC}">
              <c16:uniqueId val="{00000002-E0E0-4020-AC01-E2A6CD9390D1}"/>
            </c:ext>
          </c:extLst>
        </c:ser>
        <c:dLbls>
          <c:showLegendKey val="0"/>
          <c:showVal val="0"/>
          <c:showCatName val="0"/>
          <c:showSerName val="0"/>
          <c:showPercent val="0"/>
          <c:showBubbleSize val="0"/>
        </c:dLbls>
        <c:marker val="1"/>
        <c:smooth val="0"/>
        <c:axId val="170298368"/>
        <c:axId val="168318016"/>
      </c:lineChart>
      <c:catAx>
        <c:axId val="17029683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68317440"/>
        <c:crosses val="autoZero"/>
        <c:auto val="1"/>
        <c:lblAlgn val="ctr"/>
        <c:lblOffset val="140"/>
        <c:tickLblSkip val="1"/>
        <c:tickMarkSkip val="1"/>
        <c:noMultiLvlLbl val="0"/>
      </c:catAx>
      <c:valAx>
        <c:axId val="168317440"/>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70296832"/>
        <c:crosses val="autoZero"/>
        <c:crossBetween val="between"/>
        <c:majorUnit val="1"/>
        <c:minorUnit val="0.02"/>
      </c:valAx>
      <c:catAx>
        <c:axId val="170298368"/>
        <c:scaling>
          <c:orientation val="minMax"/>
        </c:scaling>
        <c:delete val="1"/>
        <c:axPos val="b"/>
        <c:numFmt formatCode="0" sourceLinked="1"/>
        <c:majorTickMark val="out"/>
        <c:minorTickMark val="none"/>
        <c:tickLblPos val="none"/>
        <c:crossAx val="168318016"/>
        <c:crosses val="autoZero"/>
        <c:auto val="1"/>
        <c:lblAlgn val="ctr"/>
        <c:lblOffset val="100"/>
        <c:noMultiLvlLbl val="0"/>
      </c:catAx>
      <c:valAx>
        <c:axId val="168318016"/>
        <c:scaling>
          <c:orientation val="minMax"/>
          <c:max val="1"/>
          <c:min val="0"/>
        </c:scaling>
        <c:delete val="0"/>
        <c:axPos val="r"/>
        <c:numFmt formatCode="0.0%" sourceLinked="1"/>
        <c:majorTickMark val="none"/>
        <c:minorTickMark val="none"/>
        <c:tickLblPos val="none"/>
        <c:spPr>
          <a:ln>
            <a:solidFill>
              <a:schemeClr val="bg1">
                <a:lumMod val="65000"/>
              </a:schemeClr>
            </a:solidFill>
          </a:ln>
        </c:spPr>
        <c:crossAx val="170298368"/>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4.3021680216802201E-2"/>
          <c:y val="0.154717407407408"/>
          <c:w val="0.50443495934959404"/>
          <c:h val="0.134218148148148"/>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642241379310297"/>
          <c:y val="0.13788694847940799"/>
          <c:w val="0.55829565772669199"/>
          <c:h val="0.64196493055555603"/>
        </c:manualLayout>
      </c:layout>
      <c:barChart>
        <c:barDir val="bar"/>
        <c:grouping val="clustered"/>
        <c:varyColors val="0"/>
        <c:ser>
          <c:idx val="0"/>
          <c:order val="0"/>
          <c:tx>
            <c:strRef>
              <c:f>B_ENG!$B$242</c:f>
              <c:strCache>
                <c:ptCount val="1"/>
                <c:pt idx="0">
                  <c:v> 2012</c:v>
                </c:pt>
              </c:strCache>
            </c:strRef>
          </c:tx>
          <c:spPr>
            <a:solidFill>
              <a:srgbClr val="47E5FF"/>
            </a:solidFill>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335-BEDA-26F6B2A96E06}"/>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335-BEDA-26F6B2A96E06}"/>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335-BEDA-26F6B2A96E06}"/>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B_ENG!$A$243:$A$250</c:f>
              <c:strCache>
                <c:ptCount val="8"/>
                <c:pt idx="0">
                  <c:v> HHs with the highest income</c:v>
                </c:pt>
                <c:pt idx="1">
                  <c:v> HHs with the lowest income</c:v>
                </c:pt>
                <c:pt idx="3">
                  <c:v> Households with children</c:v>
                </c:pt>
                <c:pt idx="4">
                  <c:v> HHs** where all persons 
 are younger than 40 years</c:v>
                </c:pt>
                <c:pt idx="5">
                  <c:v> HHs with all members 
 older than 65</c:v>
                </c:pt>
                <c:pt idx="7">
                  <c:v> All households 
(HHs)</c:v>
                </c:pt>
              </c:strCache>
            </c:strRef>
          </c:cat>
          <c:val>
            <c:numRef>
              <c:f>B_ENG!$B$243:$B$250</c:f>
              <c:numCache>
                <c:formatCode>0%</c:formatCode>
                <c:ptCount val="8"/>
                <c:pt idx="0">
                  <c:v>6.0999999999999902E-2</c:v>
                </c:pt>
                <c:pt idx="1">
                  <c:v>0.76400000000000001</c:v>
                </c:pt>
                <c:pt idx="3">
                  <c:v>0.104</c:v>
                </c:pt>
                <c:pt idx="4">
                  <c:v>0.14799999999999999</c:v>
                </c:pt>
                <c:pt idx="5">
                  <c:v>0.88800000000000001</c:v>
                </c:pt>
                <c:pt idx="7">
                  <c:v>0.34599999999999997</c:v>
                </c:pt>
              </c:numCache>
            </c:numRef>
          </c:val>
          <c:extLst>
            <c:ext xmlns:c16="http://schemas.microsoft.com/office/drawing/2014/chart" uri="{C3380CC4-5D6E-409C-BE32-E72D297353CC}">
              <c16:uniqueId val="{00000003-7AA8-4335-BEDA-26F6B2A96E06}"/>
            </c:ext>
          </c:extLst>
        </c:ser>
        <c:ser>
          <c:idx val="1"/>
          <c:order val="1"/>
          <c:tx>
            <c:strRef>
              <c:f>B_ENG!$C$242</c:f>
              <c:strCache>
                <c:ptCount val="1"/>
                <c:pt idx="0">
                  <c:v> 2017</c:v>
                </c:pt>
              </c:strCache>
            </c:strRef>
          </c:tx>
          <c:spPr>
            <a:solidFill>
              <a:srgbClr val="009BB4"/>
            </a:solidFill>
          </c:spPr>
          <c:invertIfNegative val="0"/>
          <c:dLbls>
            <c:dLbl>
              <c:idx val="1"/>
              <c:layout>
                <c:manualLayout>
                  <c:x val="-9.5025578099680194E-2"/>
                  <c:y val="0"/>
                </c:manualLayout>
              </c:layout>
              <c:spPr/>
              <c:txPr>
                <a:bodyPr/>
                <a:lstStyle/>
                <a:p>
                  <a:pPr>
                    <a:defRPr b="1">
                      <a:solidFill>
                        <a:schemeClr val="bg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335-BEDA-26F6B2A96E06}"/>
                </c:ext>
              </c:extLst>
            </c:dLbl>
            <c:dLbl>
              <c:idx val="5"/>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5-7AA8-4335-BEDA-26F6B2A96E06}"/>
                </c:ext>
              </c:extLst>
            </c:dLbl>
            <c:dLbl>
              <c:idx val="7"/>
              <c:spPr/>
              <c:txPr>
                <a:bodyPr/>
                <a:lstStyle/>
                <a:p>
                  <a:pPr>
                    <a:defRPr b="1">
                      <a:solidFill>
                        <a:schemeClr val="bg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6-7AA8-4335-BEDA-26F6B2A96E06}"/>
                </c:ext>
              </c:extLst>
            </c:dLbl>
            <c:spPr>
              <a:noFill/>
              <a:ln>
                <a:noFill/>
              </a:ln>
              <a:effectLst/>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B_ENG!$A$243:$A$250</c:f>
              <c:strCache>
                <c:ptCount val="8"/>
                <c:pt idx="0">
                  <c:v> HHs with the highest income</c:v>
                </c:pt>
                <c:pt idx="1">
                  <c:v> HHs with the lowest income</c:v>
                </c:pt>
                <c:pt idx="3">
                  <c:v> Households with children</c:v>
                </c:pt>
                <c:pt idx="4">
                  <c:v> HHs** where all persons 
 are younger than 40 years</c:v>
                </c:pt>
                <c:pt idx="5">
                  <c:v> HHs with all members 
 older than 65</c:v>
                </c:pt>
                <c:pt idx="7">
                  <c:v> All households 
(HHs)</c:v>
                </c:pt>
              </c:strCache>
            </c:strRef>
          </c:cat>
          <c:val>
            <c:numRef>
              <c:f>B_ENG!$C$243:$C$250</c:f>
              <c:numCache>
                <c:formatCode>0%</c:formatCode>
                <c:ptCount val="8"/>
                <c:pt idx="0">
                  <c:v>7.2775537038044999E-3</c:v>
                </c:pt>
                <c:pt idx="1">
                  <c:v>0.57367290356675105</c:v>
                </c:pt>
                <c:pt idx="3">
                  <c:v>4.1397696492881303E-2</c:v>
                </c:pt>
                <c:pt idx="4">
                  <c:v>3.2414183806782099E-2</c:v>
                </c:pt>
                <c:pt idx="5">
                  <c:v>0.68908472763856798</c:v>
                </c:pt>
                <c:pt idx="7">
                  <c:v>0.22816646158136999</c:v>
                </c:pt>
              </c:numCache>
            </c:numRef>
          </c:val>
          <c:extLst>
            <c:ext xmlns:c16="http://schemas.microsoft.com/office/drawing/2014/chart" uri="{C3380CC4-5D6E-409C-BE32-E72D297353CC}">
              <c16:uniqueId val="{00000007-7AA8-4335-BEDA-26F6B2A96E06}"/>
            </c:ext>
          </c:extLst>
        </c:ser>
        <c:dLbls>
          <c:showLegendKey val="0"/>
          <c:showVal val="0"/>
          <c:showCatName val="0"/>
          <c:showSerName val="0"/>
          <c:showPercent val="0"/>
          <c:showBubbleSize val="0"/>
        </c:dLbls>
        <c:gapWidth val="50"/>
        <c:axId val="170298880"/>
        <c:axId val="168319168"/>
      </c:barChart>
      <c:catAx>
        <c:axId val="170298880"/>
        <c:scaling>
          <c:orientation val="minMax"/>
        </c:scaling>
        <c:delete val="0"/>
        <c:axPos val="l"/>
        <c:numFmt formatCode="General" sourceLinked="1"/>
        <c:majorTickMark val="out"/>
        <c:minorTickMark val="none"/>
        <c:tickLblPos val="nextTo"/>
        <c:spPr>
          <a:ln w="3175">
            <a:solidFill>
              <a:schemeClr val="tx1"/>
            </a:solidFill>
          </a:ln>
        </c:spPr>
        <c:crossAx val="168319168"/>
        <c:crosses val="autoZero"/>
        <c:auto val="1"/>
        <c:lblAlgn val="ctr"/>
        <c:lblOffset val="100"/>
        <c:noMultiLvlLbl val="0"/>
      </c:catAx>
      <c:valAx>
        <c:axId val="168319168"/>
        <c:scaling>
          <c:orientation val="minMax"/>
          <c:max val="1"/>
        </c:scaling>
        <c:delete val="0"/>
        <c:axPos val="b"/>
        <c:numFmt formatCode="0%" sourceLinked="1"/>
        <c:majorTickMark val="none"/>
        <c:minorTickMark val="none"/>
        <c:tickLblPos val="none"/>
        <c:crossAx val="170298880"/>
        <c:crosses val="autoZero"/>
        <c:crossBetween val="between"/>
        <c:majorUnit val="0.1"/>
        <c:minorUnit val="0.05"/>
      </c:valAx>
      <c:spPr>
        <a:ln w="12700">
          <a:solidFill>
            <a:schemeClr val="bg1">
              <a:lumMod val="65000"/>
            </a:schemeClr>
          </a:solidFill>
        </a:ln>
      </c:spPr>
    </c:plotArea>
    <c:legend>
      <c:legendPos val="r"/>
      <c:layout>
        <c:manualLayout>
          <c:xMode val="edge"/>
          <c:yMode val="edge"/>
          <c:x val="0.77479980842912"/>
          <c:y val="0.161048546506356"/>
          <c:w val="0.18194827586206899"/>
          <c:h val="0.116318402777778"/>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3364166666666699"/>
          <c:w val="0.90411750841750804"/>
          <c:h val="0.52586450617283897"/>
        </c:manualLayout>
      </c:layout>
      <c:barChart>
        <c:barDir val="col"/>
        <c:grouping val="clustered"/>
        <c:varyColors val="0"/>
        <c:ser>
          <c:idx val="0"/>
          <c:order val="0"/>
          <c:tx>
            <c:strRef>
              <c:f>B_ENG!$B$271</c:f>
              <c:strCache>
                <c:ptCount val="1"/>
                <c:pt idx="0">
                  <c:v> 2017</c:v>
                </c:pt>
              </c:strCache>
            </c:strRef>
          </c:tx>
          <c:spPr>
            <a:solidFill>
              <a:srgbClr val="009BB4"/>
            </a:solidFill>
          </c:spPr>
          <c:invertIfNegative val="0"/>
          <c:dPt>
            <c:idx val="9"/>
            <c:invertIfNegative val="0"/>
            <c:bubble3D val="0"/>
            <c:spPr>
              <a:solidFill>
                <a:srgbClr val="47E5FF"/>
              </a:solidFill>
              <a:ln>
                <a:solidFill>
                  <a:srgbClr val="FF0000"/>
                </a:solidFill>
              </a:ln>
            </c:spPr>
            <c:extLst>
              <c:ext xmlns:c16="http://schemas.microsoft.com/office/drawing/2014/chart" uri="{C3380CC4-5D6E-409C-BE32-E72D297353CC}">
                <c16:uniqueId val="{00000001-EDAC-4D9D-A426-28889CD24E07}"/>
              </c:ext>
            </c:extLst>
          </c:dPt>
          <c:dPt>
            <c:idx val="16"/>
            <c:invertIfNegative val="0"/>
            <c:bubble3D val="0"/>
            <c:spPr>
              <a:solidFill>
                <a:srgbClr val="47E5FF"/>
              </a:solidFill>
              <a:ln>
                <a:solidFill>
                  <a:srgbClr val="FF0000"/>
                </a:solidFill>
              </a:ln>
            </c:spPr>
            <c:extLst>
              <c:ext xmlns:c16="http://schemas.microsoft.com/office/drawing/2014/chart" uri="{C3380CC4-5D6E-409C-BE32-E72D297353CC}">
                <c16:uniqueId val="{00000003-EDAC-4D9D-A426-28889CD24E07}"/>
              </c:ext>
            </c:extLst>
          </c:dPt>
          <c:dLbls>
            <c:dLbl>
              <c:idx val="9"/>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EDAC-4D9D-A426-28889CD24E07}"/>
                </c:ext>
              </c:extLst>
            </c:dLbl>
            <c:dLbl>
              <c:idx val="16"/>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3-EDAC-4D9D-A426-28889CD24E07}"/>
                </c:ext>
              </c:extLst>
            </c:dLbl>
            <c:dLbl>
              <c:idx val="22"/>
              <c:layout>
                <c:manualLayout>
                  <c:x val="0"/>
                  <c:y val="1.1759259259259301E-2"/>
                </c:manualLayout>
              </c:layout>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AC-4D9D-A426-28889CD24E07}"/>
                </c:ext>
              </c:extLst>
            </c:dLbl>
            <c:dLbl>
              <c:idx val="23"/>
              <c:layout>
                <c:manualLayout>
                  <c:x val="-1.5307734625501001E-16"/>
                  <c:y val="-2.3518518518518602E-2"/>
                </c:manualLayout>
              </c:layout>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AC-4D9D-A426-28889CD24E07}"/>
                </c:ext>
              </c:extLst>
            </c:dLbl>
            <c:dLbl>
              <c:idx val="24"/>
              <c:layout>
                <c:manualLayout>
                  <c:x val="2.0874424720578599E-3"/>
                  <c:y val="1.5679012345678998E-2"/>
                </c:manualLayout>
              </c:layout>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AC-4D9D-A426-28889CD24E07}"/>
                </c:ext>
              </c:extLst>
            </c:dLbl>
            <c:dLbl>
              <c:idx val="25"/>
              <c:layout>
                <c:manualLayout>
                  <c:x val="-1.5307734625501001E-16"/>
                  <c:y val="-7.0555555555555496E-2"/>
                </c:manualLayout>
              </c:layout>
              <c:spPr/>
              <c:txPr>
                <a:bodyPr rot="-5400000" vert="horz"/>
                <a:lstStyle/>
                <a:p>
                  <a:pPr>
                    <a:defRPr sz="800" b="1">
                      <a:solidFill>
                        <a:sysClr val="windowText" lastClr="00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AC-4D9D-A426-28889CD24E07}"/>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B_ENG!$A$272:$A$297</c:f>
              <c:strCache>
                <c:ptCount val="26"/>
                <c:pt idx="0">
                  <c:v>Bulgaria</c:v>
                </c:pt>
                <c:pt idx="1">
                  <c:v>Romania</c:v>
                </c:pt>
                <c:pt idx="2">
                  <c:v>Hungary</c:v>
                </c:pt>
                <c:pt idx="3">
                  <c:v>Latvia</c:v>
                </c:pt>
                <c:pt idx="4">
                  <c:v>Lithuania</c:v>
                </c:pt>
                <c:pt idx="5">
                  <c:v>Portugal</c:v>
                </c:pt>
                <c:pt idx="6">
                  <c:v>Slovenia</c:v>
                </c:pt>
                <c:pt idx="7">
                  <c:v>Poland</c:v>
                </c:pt>
                <c:pt idx="8">
                  <c:v>Greece</c:v>
                </c:pt>
                <c:pt idx="9">
                  <c:v>Czech Republic</c:v>
                </c:pt>
                <c:pt idx="10">
                  <c:v>Cyprus</c:v>
                </c:pt>
                <c:pt idx="11">
                  <c:v>Italy</c:v>
                </c:pt>
                <c:pt idx="12">
                  <c:v>Spain</c:v>
                </c:pt>
                <c:pt idx="13">
                  <c:v>Croatia</c:v>
                </c:pt>
                <c:pt idx="14">
                  <c:v>Slovakia</c:v>
                </c:pt>
                <c:pt idx="15">
                  <c:v>Belgium</c:v>
                </c:pt>
                <c:pt idx="16">
                  <c:v>EU28</c:v>
                </c:pt>
                <c:pt idx="17">
                  <c:v>Estonia</c:v>
                </c:pt>
                <c:pt idx="18">
                  <c:v>France</c:v>
                </c:pt>
                <c:pt idx="19">
                  <c:v>Austria</c:v>
                </c:pt>
                <c:pt idx="20">
                  <c:v>Germany</c:v>
                </c:pt>
                <c:pt idx="21">
                  <c:v>Finland</c:v>
                </c:pt>
                <c:pt idx="22">
                  <c:v>Sweden</c:v>
                </c:pt>
                <c:pt idx="23">
                  <c:v>Denmark</c:v>
                </c:pt>
                <c:pt idx="24">
                  <c:v>Luxembourg </c:v>
                </c:pt>
                <c:pt idx="25">
                  <c:v>Netherlands</c:v>
                </c:pt>
              </c:strCache>
            </c:strRef>
          </c:cat>
          <c:val>
            <c:numRef>
              <c:f>B_ENG!$B$272:$B$297</c:f>
              <c:numCache>
                <c:formatCode>0%</c:formatCode>
                <c:ptCount val="26"/>
                <c:pt idx="0">
                  <c:v>0.73157700000000003</c:v>
                </c:pt>
                <c:pt idx="1">
                  <c:v>0.54443600000000003</c:v>
                </c:pt>
                <c:pt idx="2">
                  <c:v>0.54433299999999996</c:v>
                </c:pt>
                <c:pt idx="3">
                  <c:v>0.54077399999999998</c:v>
                </c:pt>
                <c:pt idx="4">
                  <c:v>0.53537199999999996</c:v>
                </c:pt>
                <c:pt idx="5">
                  <c:v>0.52470499999999998</c:v>
                </c:pt>
                <c:pt idx="6">
                  <c:v>0.48167599999999999</c:v>
                </c:pt>
                <c:pt idx="7">
                  <c:v>0.46270499999999998</c:v>
                </c:pt>
                <c:pt idx="8">
                  <c:v>0.45954499999999998</c:v>
                </c:pt>
                <c:pt idx="9">
                  <c:v>0.44774399999999998</c:v>
                </c:pt>
                <c:pt idx="10">
                  <c:v>0.432508</c:v>
                </c:pt>
                <c:pt idx="12">
                  <c:v>0.36359999999999998</c:v>
                </c:pt>
                <c:pt idx="13">
                  <c:v>0.34308300000000003</c:v>
                </c:pt>
                <c:pt idx="14">
                  <c:v>0.33927299999999999</c:v>
                </c:pt>
                <c:pt idx="15">
                  <c:v>0.32489400000000002</c:v>
                </c:pt>
                <c:pt idx="16">
                  <c:v>0.29457299999999997</c:v>
                </c:pt>
                <c:pt idx="17">
                  <c:v>0.29307899999999998</c:v>
                </c:pt>
                <c:pt idx="18">
                  <c:v>0.289885</c:v>
                </c:pt>
                <c:pt idx="19">
                  <c:v>0.179114</c:v>
                </c:pt>
                <c:pt idx="20">
                  <c:v>0.16694899999999999</c:v>
                </c:pt>
                <c:pt idx="21">
                  <c:v>0.131049</c:v>
                </c:pt>
                <c:pt idx="22">
                  <c:v>9.4842999999999997E-2</c:v>
                </c:pt>
                <c:pt idx="23">
                  <c:v>8.0595E-2</c:v>
                </c:pt>
                <c:pt idx="24">
                  <c:v>5.8673999999999997E-2</c:v>
                </c:pt>
                <c:pt idx="25">
                  <c:v>3.1744000000000001E-2</c:v>
                </c:pt>
              </c:numCache>
            </c:numRef>
          </c:val>
          <c:extLst>
            <c:ext xmlns:c16="http://schemas.microsoft.com/office/drawing/2014/chart" uri="{C3380CC4-5D6E-409C-BE32-E72D297353CC}">
              <c16:uniqueId val="{00000008-EDAC-4D9D-A426-28889CD24E07}"/>
            </c:ext>
          </c:extLst>
        </c:ser>
        <c:dLbls>
          <c:showLegendKey val="0"/>
          <c:showVal val="0"/>
          <c:showCatName val="0"/>
          <c:showSerName val="0"/>
          <c:showPercent val="0"/>
          <c:showBubbleSize val="0"/>
        </c:dLbls>
        <c:gapWidth val="50"/>
        <c:axId val="170665472"/>
        <c:axId val="169762816"/>
      </c:barChart>
      <c:scatterChart>
        <c:scatterStyle val="lineMarker"/>
        <c:varyColors val="0"/>
        <c:ser>
          <c:idx val="1"/>
          <c:order val="1"/>
          <c:tx>
            <c:strRef>
              <c:f>B_ENG!$C$271</c:f>
              <c:strCache>
                <c:ptCount val="1"/>
                <c:pt idx="0">
                  <c:v> 2012</c:v>
                </c:pt>
              </c:strCache>
            </c:strRef>
          </c:tx>
          <c:spPr>
            <a:ln w="28575">
              <a:noFill/>
            </a:ln>
          </c:spPr>
          <c:marker>
            <c:symbol val="triangle"/>
            <c:size val="6"/>
            <c:spPr>
              <a:solidFill>
                <a:schemeClr val="tx1"/>
              </a:solidFill>
              <a:ln w="15875">
                <a:solidFill>
                  <a:schemeClr val="tx1"/>
                </a:solidFill>
              </a:ln>
            </c:spPr>
          </c:marker>
          <c:xVal>
            <c:strRef>
              <c:f>B_ENG!$A$272:$A$297</c:f>
              <c:strCache>
                <c:ptCount val="26"/>
                <c:pt idx="0">
                  <c:v>Bulgaria</c:v>
                </c:pt>
                <c:pt idx="1">
                  <c:v>Romania</c:v>
                </c:pt>
                <c:pt idx="2">
                  <c:v>Hungary</c:v>
                </c:pt>
                <c:pt idx="3">
                  <c:v>Latvia</c:v>
                </c:pt>
                <c:pt idx="4">
                  <c:v>Lithuania</c:v>
                </c:pt>
                <c:pt idx="5">
                  <c:v>Portugal</c:v>
                </c:pt>
                <c:pt idx="6">
                  <c:v>Slovenia</c:v>
                </c:pt>
                <c:pt idx="7">
                  <c:v>Poland</c:v>
                </c:pt>
                <c:pt idx="8">
                  <c:v>Greece</c:v>
                </c:pt>
                <c:pt idx="9">
                  <c:v>Czech Republic</c:v>
                </c:pt>
                <c:pt idx="10">
                  <c:v>Cyprus</c:v>
                </c:pt>
                <c:pt idx="11">
                  <c:v>Italy</c:v>
                </c:pt>
                <c:pt idx="12">
                  <c:v>Spain</c:v>
                </c:pt>
                <c:pt idx="13">
                  <c:v>Croatia</c:v>
                </c:pt>
                <c:pt idx="14">
                  <c:v>Slovakia</c:v>
                </c:pt>
                <c:pt idx="15">
                  <c:v>Belgium</c:v>
                </c:pt>
                <c:pt idx="16">
                  <c:v>EU28</c:v>
                </c:pt>
                <c:pt idx="17">
                  <c:v>Estonia</c:v>
                </c:pt>
                <c:pt idx="18">
                  <c:v>France</c:v>
                </c:pt>
                <c:pt idx="19">
                  <c:v>Austria</c:v>
                </c:pt>
                <c:pt idx="20">
                  <c:v>Germany</c:v>
                </c:pt>
                <c:pt idx="21">
                  <c:v>Finland</c:v>
                </c:pt>
                <c:pt idx="22">
                  <c:v>Sweden</c:v>
                </c:pt>
                <c:pt idx="23">
                  <c:v>Denmark</c:v>
                </c:pt>
                <c:pt idx="24">
                  <c:v>Luxembourg </c:v>
                </c:pt>
                <c:pt idx="25">
                  <c:v>Netherlands</c:v>
                </c:pt>
              </c:strCache>
            </c:strRef>
          </c:xVal>
          <c:yVal>
            <c:numRef>
              <c:f>B_ENG!$C$272:$C$297</c:f>
              <c:numCache>
                <c:formatCode>0%</c:formatCode>
                <c:ptCount val="26"/>
                <c:pt idx="0">
                  <c:v>0.82346600000000003</c:v>
                </c:pt>
                <c:pt idx="1">
                  <c:v>0.809701</c:v>
                </c:pt>
                <c:pt idx="2">
                  <c:v>0.69682299999999997</c:v>
                </c:pt>
                <c:pt idx="3">
                  <c:v>0.621089</c:v>
                </c:pt>
                <c:pt idx="4">
                  <c:v>0.76537699999999997</c:v>
                </c:pt>
                <c:pt idx="5">
                  <c:v>0.72313099999999997</c:v>
                </c:pt>
                <c:pt idx="6">
                  <c:v>0.63156400000000001</c:v>
                </c:pt>
                <c:pt idx="7">
                  <c:v>0.61707500000000004</c:v>
                </c:pt>
                <c:pt idx="8">
                  <c:v>0.71340899999999996</c:v>
                </c:pt>
                <c:pt idx="9">
                  <c:v>0.76354900000000003</c:v>
                </c:pt>
                <c:pt idx="10">
                  <c:v>0.64702899999999997</c:v>
                </c:pt>
                <c:pt idx="11">
                  <c:v>0.61606300000000003</c:v>
                </c:pt>
                <c:pt idx="12">
                  <c:v>0.60031199999999996</c:v>
                </c:pt>
                <c:pt idx="13">
                  <c:v>0.55366499999999996</c:v>
                </c:pt>
                <c:pt idx="14">
                  <c:v>0.552898</c:v>
                </c:pt>
                <c:pt idx="15">
                  <c:v>0.48208800000000002</c:v>
                </c:pt>
                <c:pt idx="16">
                  <c:v>0.48263200000000001</c:v>
                </c:pt>
                <c:pt idx="17">
                  <c:v>0.55875300000000006</c:v>
                </c:pt>
                <c:pt idx="18">
                  <c:v>0.363062</c:v>
                </c:pt>
                <c:pt idx="19">
                  <c:v>0.38230399999999998</c:v>
                </c:pt>
                <c:pt idx="20">
                  <c:v>0.30425999999999997</c:v>
                </c:pt>
                <c:pt idx="21">
                  <c:v>0.29307100000000003</c:v>
                </c:pt>
                <c:pt idx="22">
                  <c:v>0.243619</c:v>
                </c:pt>
                <c:pt idx="23">
                  <c:v>9.6526000000000001E-2</c:v>
                </c:pt>
                <c:pt idx="24">
                  <c:v>0.175619</c:v>
                </c:pt>
                <c:pt idx="25">
                  <c:v>0.129991</c:v>
                </c:pt>
              </c:numCache>
            </c:numRef>
          </c:yVal>
          <c:smooth val="0"/>
          <c:extLst>
            <c:ext xmlns:c16="http://schemas.microsoft.com/office/drawing/2014/chart" uri="{C3380CC4-5D6E-409C-BE32-E72D297353CC}">
              <c16:uniqueId val="{00000009-EDAC-4D9D-A426-28889CD24E07}"/>
            </c:ext>
          </c:extLst>
        </c:ser>
        <c:dLbls>
          <c:showLegendKey val="0"/>
          <c:showVal val="0"/>
          <c:showCatName val="0"/>
          <c:showSerName val="0"/>
          <c:showPercent val="0"/>
          <c:showBubbleSize val="0"/>
        </c:dLbls>
        <c:axId val="169763968"/>
        <c:axId val="169763392"/>
      </c:scatterChart>
      <c:catAx>
        <c:axId val="170665472"/>
        <c:scaling>
          <c:orientation val="minMax"/>
        </c:scaling>
        <c:delete val="0"/>
        <c:axPos val="b"/>
        <c:numFmt formatCode="General" sourceLinked="0"/>
        <c:majorTickMark val="out"/>
        <c:minorTickMark val="none"/>
        <c:tickLblPos val="nextTo"/>
        <c:spPr>
          <a:ln w="3175">
            <a:solidFill>
              <a:schemeClr val="tx1"/>
            </a:solidFill>
          </a:ln>
        </c:spPr>
        <c:crossAx val="169762816"/>
        <c:crosses val="autoZero"/>
        <c:auto val="1"/>
        <c:lblAlgn val="ctr"/>
        <c:lblOffset val="100"/>
        <c:noMultiLvlLbl val="0"/>
      </c:catAx>
      <c:valAx>
        <c:axId val="169762816"/>
        <c:scaling>
          <c:orientation val="minMax"/>
          <c:max val="1"/>
          <c:min val="0"/>
        </c:scaling>
        <c:delete val="0"/>
        <c:axPos val="l"/>
        <c:majorGridlines>
          <c:spPr>
            <a:ln w="12700">
              <a:solidFill>
                <a:srgbClr val="A6A6A6"/>
              </a:solidFill>
            </a:ln>
          </c:spPr>
        </c:majorGridlines>
        <c:numFmt formatCode="0%" sourceLinked="1"/>
        <c:majorTickMark val="out"/>
        <c:minorTickMark val="none"/>
        <c:tickLblPos val="nextTo"/>
        <c:crossAx val="170665472"/>
        <c:crosses val="autoZero"/>
        <c:crossBetween val="between"/>
        <c:majorUnit val="0.1"/>
        <c:minorUnit val="0.05"/>
      </c:valAx>
      <c:valAx>
        <c:axId val="169763392"/>
        <c:scaling>
          <c:orientation val="minMax"/>
          <c:max val="1"/>
        </c:scaling>
        <c:delete val="0"/>
        <c:axPos val="r"/>
        <c:numFmt formatCode="0%" sourceLinked="1"/>
        <c:majorTickMark val="none"/>
        <c:minorTickMark val="none"/>
        <c:tickLblPos val="none"/>
        <c:crossAx val="169763968"/>
        <c:crosses val="max"/>
        <c:crossBetween val="midCat"/>
        <c:majorUnit val="0.1"/>
      </c:valAx>
      <c:valAx>
        <c:axId val="169763968"/>
        <c:scaling>
          <c:orientation val="minMax"/>
        </c:scaling>
        <c:delete val="1"/>
        <c:axPos val="b"/>
        <c:majorTickMark val="out"/>
        <c:minorTickMark val="none"/>
        <c:tickLblPos val="none"/>
        <c:crossAx val="169763392"/>
        <c:crosses val="autoZero"/>
        <c:crossBetween val="midCat"/>
      </c:valAx>
      <c:spPr>
        <a:ln>
          <a:solidFill>
            <a:schemeClr val="tx1">
              <a:tint val="75000"/>
              <a:shade val="95000"/>
              <a:satMod val="105000"/>
            </a:schemeClr>
          </a:solidFill>
        </a:ln>
      </c:spPr>
    </c:plotArea>
    <c:legend>
      <c:legendPos val="r"/>
      <c:layout>
        <c:manualLayout>
          <c:xMode val="edge"/>
          <c:yMode val="edge"/>
          <c:x val="0.88713921761998704"/>
          <c:y val="0.15996882716049399"/>
          <c:w val="7.1111932938855996E-2"/>
          <c:h val="0.116382098765432"/>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6E-2"/>
          <c:y val="0.16431944444444399"/>
          <c:w val="0.96948369216085795"/>
          <c:h val="0.65362896825396799"/>
        </c:manualLayout>
      </c:layout>
      <c:barChart>
        <c:barDir val="col"/>
        <c:grouping val="clustered"/>
        <c:varyColors val="0"/>
        <c:ser>
          <c:idx val="2"/>
          <c:order val="0"/>
          <c:tx>
            <c:strRef>
              <c:f>B_ENG!$A$302</c:f>
              <c:strCache>
                <c:ptCount val="1"/>
                <c:pt idx="0">
                  <c:v> 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B_ENG!$B$301:$H$301</c:f>
              <c:numCache>
                <c:formatCode>0</c:formatCode>
                <c:ptCount val="7"/>
                <c:pt idx="0">
                  <c:v>2005</c:v>
                </c:pt>
                <c:pt idx="1">
                  <c:v>2007</c:v>
                </c:pt>
                <c:pt idx="2">
                  <c:v>2009</c:v>
                </c:pt>
                <c:pt idx="3">
                  <c:v>2011</c:v>
                </c:pt>
                <c:pt idx="4">
                  <c:v>2013</c:v>
                </c:pt>
                <c:pt idx="5">
                  <c:v>2015</c:v>
                </c:pt>
                <c:pt idx="6">
                  <c:v>2017</c:v>
                </c:pt>
              </c:numCache>
            </c:numRef>
          </c:cat>
          <c:val>
            <c:numRef>
              <c:f>B_ENG!$B$302:$H$302</c:f>
              <c:numCache>
                <c:formatCode>#,##0.0</c:formatCode>
                <c:ptCount val="7"/>
                <c:pt idx="0">
                  <c:v>3.3227115671584802</c:v>
                </c:pt>
                <c:pt idx="1">
                  <c:v>2.881268572741206</c:v>
                </c:pt>
                <c:pt idx="2">
                  <c:v>2.187296197462675</c:v>
                </c:pt>
                <c:pt idx="3" formatCode="0.0">
                  <c:v>1.571098278768233</c:v>
                </c:pt>
                <c:pt idx="4">
                  <c:v>1.401718835820895</c:v>
                </c:pt>
                <c:pt idx="5">
                  <c:v>1.1449225102599181</c:v>
                </c:pt>
                <c:pt idx="6" formatCode="0.0">
                  <c:v>1.0004662596602301</c:v>
                </c:pt>
              </c:numCache>
            </c:numRef>
          </c:val>
          <c:extLst>
            <c:ext xmlns:c16="http://schemas.microsoft.com/office/drawing/2014/chart" uri="{C3380CC4-5D6E-409C-BE32-E72D297353CC}">
              <c16:uniqueId val="{00000000-54DC-4AF6-A2CB-DC5B423F59AB}"/>
            </c:ext>
          </c:extLst>
        </c:ser>
        <c:dLbls>
          <c:showLegendKey val="0"/>
          <c:showVal val="0"/>
          <c:showCatName val="0"/>
          <c:showSerName val="0"/>
          <c:showPercent val="0"/>
          <c:showBubbleSize val="0"/>
        </c:dLbls>
        <c:gapWidth val="50"/>
        <c:axId val="170665984"/>
        <c:axId val="169765696"/>
      </c:barChart>
      <c:lineChart>
        <c:grouping val="standard"/>
        <c:varyColors val="0"/>
        <c:ser>
          <c:idx val="0"/>
          <c:order val="1"/>
          <c:tx>
            <c:strRef>
              <c:f>B_ENG!$A$303</c:f>
              <c:strCache>
                <c:ptCount val="1"/>
                <c:pt idx="0">
                  <c:v> As % of all households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DC-4AF6-A2CB-DC5B423F59AB}"/>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B_ENG!$B$301:$H$301</c:f>
              <c:numCache>
                <c:formatCode>0</c:formatCode>
                <c:ptCount val="7"/>
                <c:pt idx="0">
                  <c:v>2005</c:v>
                </c:pt>
                <c:pt idx="1">
                  <c:v>2007</c:v>
                </c:pt>
                <c:pt idx="2">
                  <c:v>2009</c:v>
                </c:pt>
                <c:pt idx="3">
                  <c:v>2011</c:v>
                </c:pt>
                <c:pt idx="4">
                  <c:v>2013</c:v>
                </c:pt>
                <c:pt idx="5">
                  <c:v>2015</c:v>
                </c:pt>
                <c:pt idx="6">
                  <c:v>2017</c:v>
                </c:pt>
              </c:numCache>
            </c:numRef>
          </c:cat>
          <c:val>
            <c:numRef>
              <c:f>B_ENG!$B$303:$H$303</c:f>
              <c:numCache>
                <c:formatCode>0.0%</c:formatCode>
                <c:ptCount val="7"/>
                <c:pt idx="0">
                  <c:v>0.80921209137090699</c:v>
                </c:pt>
                <c:pt idx="1">
                  <c:v>0.68015844169299899</c:v>
                </c:pt>
                <c:pt idx="2">
                  <c:v>0.50753530743251496</c:v>
                </c:pt>
                <c:pt idx="3">
                  <c:v>0.38300000000000001</c:v>
                </c:pt>
                <c:pt idx="4">
                  <c:v>0.33</c:v>
                </c:pt>
                <c:pt idx="5">
                  <c:v>0.26900000000000002</c:v>
                </c:pt>
                <c:pt idx="6">
                  <c:v>0.228363867202965</c:v>
                </c:pt>
              </c:numCache>
            </c:numRef>
          </c:val>
          <c:smooth val="0"/>
          <c:extLst>
            <c:ext xmlns:c16="http://schemas.microsoft.com/office/drawing/2014/chart" uri="{C3380CC4-5D6E-409C-BE32-E72D297353CC}">
              <c16:uniqueId val="{00000002-54DC-4AF6-A2CB-DC5B423F59AB}"/>
            </c:ext>
          </c:extLst>
        </c:ser>
        <c:dLbls>
          <c:showLegendKey val="0"/>
          <c:showVal val="0"/>
          <c:showCatName val="0"/>
          <c:showSerName val="0"/>
          <c:showPercent val="0"/>
          <c:showBubbleSize val="0"/>
        </c:dLbls>
        <c:marker val="1"/>
        <c:smooth val="0"/>
        <c:axId val="170812416"/>
        <c:axId val="169766272"/>
      </c:lineChart>
      <c:catAx>
        <c:axId val="17066598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69765696"/>
        <c:crosses val="autoZero"/>
        <c:auto val="1"/>
        <c:lblAlgn val="ctr"/>
        <c:lblOffset val="140"/>
        <c:tickLblSkip val="1"/>
        <c:tickMarkSkip val="1"/>
        <c:noMultiLvlLbl val="0"/>
      </c:catAx>
      <c:valAx>
        <c:axId val="169765696"/>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70665984"/>
        <c:crosses val="autoZero"/>
        <c:crossBetween val="between"/>
        <c:majorUnit val="1"/>
        <c:minorUnit val="0.02"/>
      </c:valAx>
      <c:catAx>
        <c:axId val="170812416"/>
        <c:scaling>
          <c:orientation val="minMax"/>
        </c:scaling>
        <c:delete val="1"/>
        <c:axPos val="b"/>
        <c:numFmt formatCode="0" sourceLinked="1"/>
        <c:majorTickMark val="out"/>
        <c:minorTickMark val="none"/>
        <c:tickLblPos val="none"/>
        <c:crossAx val="169766272"/>
        <c:crosses val="autoZero"/>
        <c:auto val="1"/>
        <c:lblAlgn val="ctr"/>
        <c:lblOffset val="100"/>
        <c:noMultiLvlLbl val="0"/>
      </c:catAx>
      <c:valAx>
        <c:axId val="169766272"/>
        <c:scaling>
          <c:orientation val="minMax"/>
          <c:max val="1"/>
          <c:min val="0"/>
        </c:scaling>
        <c:delete val="0"/>
        <c:axPos val="r"/>
        <c:numFmt formatCode="0.0%" sourceLinked="1"/>
        <c:majorTickMark val="none"/>
        <c:minorTickMark val="none"/>
        <c:tickLblPos val="none"/>
        <c:spPr>
          <a:ln>
            <a:solidFill>
              <a:schemeClr val="bg1">
                <a:lumMod val="65000"/>
              </a:schemeClr>
            </a:solidFill>
          </a:ln>
        </c:spPr>
        <c:crossAx val="170812416"/>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0.43882113821138202"/>
          <c:y val="0.22901230158730199"/>
          <c:w val="0.50443495934959404"/>
          <c:h val="0.134218148148148"/>
        </c:manualLayout>
      </c:layout>
      <c:overlay val="0"/>
      <c:spPr>
        <a:ln>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99457215836602"/>
          <c:y val="0.168125"/>
          <c:w val="0.65561366538952803"/>
          <c:h val="0.59653253968254005"/>
        </c:manualLayout>
      </c:layout>
      <c:barChart>
        <c:barDir val="bar"/>
        <c:grouping val="clustered"/>
        <c:varyColors val="0"/>
        <c:ser>
          <c:idx val="0"/>
          <c:order val="0"/>
          <c:tx>
            <c:strRef>
              <c:f>B_ENG!$B$306</c:f>
              <c:strCache>
                <c:ptCount val="1"/>
                <c:pt idx="0">
                  <c:v> 2011</c:v>
                </c:pt>
              </c:strCache>
            </c:strRef>
          </c:tx>
          <c:spPr>
            <a:solidFill>
              <a:srgbClr val="47E5FF"/>
            </a:solidFill>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9E-4B1A-AE2A-65DE2A091138}"/>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9E-4B1A-AE2A-65DE2A091138}"/>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B_ENG!$A$307:$A$311</c:f>
              <c:strCache>
                <c:ptCount val="5"/>
                <c:pt idx="0">
                  <c:v>Concerns about privacy</c:v>
                </c:pt>
                <c:pt idx="1">
                  <c:v>Have access elsewhere</c:v>
                </c:pt>
                <c:pt idx="2">
                  <c:v>Costs too high</c:v>
                </c:pt>
                <c:pt idx="3">
                  <c:v>Lack of skills</c:v>
                </c:pt>
                <c:pt idx="4">
                  <c:v>Do not need internet</c:v>
                </c:pt>
              </c:strCache>
            </c:strRef>
          </c:cat>
          <c:val>
            <c:numRef>
              <c:f>B_ENG!$B$307:$B$311</c:f>
              <c:numCache>
                <c:formatCode>0%</c:formatCode>
                <c:ptCount val="5"/>
                <c:pt idx="0">
                  <c:v>3.8706974552482502E-2</c:v>
                </c:pt>
                <c:pt idx="1">
                  <c:v>9.8247368054102294E-2</c:v>
                </c:pt>
                <c:pt idx="2">
                  <c:v>0.298205910135524</c:v>
                </c:pt>
                <c:pt idx="3">
                  <c:v>0.30695188837866999</c:v>
                </c:pt>
                <c:pt idx="4">
                  <c:v>0.69412289165896601</c:v>
                </c:pt>
              </c:numCache>
            </c:numRef>
          </c:val>
          <c:extLst>
            <c:ext xmlns:c16="http://schemas.microsoft.com/office/drawing/2014/chart" uri="{C3380CC4-5D6E-409C-BE32-E72D297353CC}">
              <c16:uniqueId val="{00000002-149E-4B1A-AE2A-65DE2A091138}"/>
            </c:ext>
          </c:extLst>
        </c:ser>
        <c:ser>
          <c:idx val="1"/>
          <c:order val="1"/>
          <c:tx>
            <c:strRef>
              <c:f>B_ENG!$C$306</c:f>
              <c:strCache>
                <c:ptCount val="1"/>
                <c:pt idx="0">
                  <c:v> 2017</c:v>
                </c:pt>
              </c:strCache>
            </c:strRef>
          </c:tx>
          <c:spPr>
            <a:solidFill>
              <a:srgbClr val="009BB4"/>
            </a:solidFill>
          </c:spPr>
          <c:invertIfNegative val="0"/>
          <c:dLbls>
            <c:dLbl>
              <c:idx val="0"/>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9E-4B1A-AE2A-65DE2A091138}"/>
                </c:ext>
              </c:extLst>
            </c:dLbl>
            <c:dLbl>
              <c:idx val="1"/>
              <c:spPr/>
              <c:txPr>
                <a:bodyPr/>
                <a:lstStyle/>
                <a:p>
                  <a:pPr>
                    <a:defRPr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9E-4B1A-AE2A-65DE2A091138}"/>
                </c:ext>
              </c:extLst>
            </c:dLbl>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B_ENG!$A$307:$A$311</c:f>
              <c:strCache>
                <c:ptCount val="5"/>
                <c:pt idx="0">
                  <c:v>Concerns about privacy</c:v>
                </c:pt>
                <c:pt idx="1">
                  <c:v>Have access elsewhere</c:v>
                </c:pt>
                <c:pt idx="2">
                  <c:v>Costs too high</c:v>
                </c:pt>
                <c:pt idx="3">
                  <c:v>Lack of skills</c:v>
                </c:pt>
                <c:pt idx="4">
                  <c:v>Do not need internet</c:v>
                </c:pt>
              </c:strCache>
            </c:strRef>
          </c:cat>
          <c:val>
            <c:numRef>
              <c:f>B_ENG!$C$307:$C$311</c:f>
              <c:numCache>
                <c:formatCode>0%</c:formatCode>
                <c:ptCount val="5"/>
                <c:pt idx="0">
                  <c:v>4.7E-2</c:v>
                </c:pt>
                <c:pt idx="1">
                  <c:v>6.9000000000000006E-2</c:v>
                </c:pt>
                <c:pt idx="2">
                  <c:v>0.19906665998432299</c:v>
                </c:pt>
                <c:pt idx="3">
                  <c:v>0.375819995584384</c:v>
                </c:pt>
                <c:pt idx="4">
                  <c:v>0.80015294531786096</c:v>
                </c:pt>
              </c:numCache>
            </c:numRef>
          </c:val>
          <c:extLst>
            <c:ext xmlns:c16="http://schemas.microsoft.com/office/drawing/2014/chart" uri="{C3380CC4-5D6E-409C-BE32-E72D297353CC}">
              <c16:uniqueId val="{00000005-149E-4B1A-AE2A-65DE2A091138}"/>
            </c:ext>
          </c:extLst>
        </c:ser>
        <c:dLbls>
          <c:showLegendKey val="0"/>
          <c:showVal val="0"/>
          <c:showCatName val="0"/>
          <c:showSerName val="0"/>
          <c:showPercent val="0"/>
          <c:showBubbleSize val="0"/>
        </c:dLbls>
        <c:gapWidth val="50"/>
        <c:axId val="170811392"/>
        <c:axId val="169768000"/>
      </c:barChart>
      <c:catAx>
        <c:axId val="170811392"/>
        <c:scaling>
          <c:orientation val="minMax"/>
        </c:scaling>
        <c:delete val="0"/>
        <c:axPos val="l"/>
        <c:numFmt formatCode="General" sourceLinked="1"/>
        <c:majorTickMark val="out"/>
        <c:minorTickMark val="none"/>
        <c:tickLblPos val="nextTo"/>
        <c:spPr>
          <a:ln w="3175">
            <a:solidFill>
              <a:schemeClr val="tx1"/>
            </a:solidFill>
          </a:ln>
        </c:spPr>
        <c:crossAx val="169768000"/>
        <c:crosses val="autoZero"/>
        <c:auto val="1"/>
        <c:lblAlgn val="ctr"/>
        <c:lblOffset val="100"/>
        <c:noMultiLvlLbl val="0"/>
      </c:catAx>
      <c:valAx>
        <c:axId val="169768000"/>
        <c:scaling>
          <c:orientation val="minMax"/>
          <c:max val="1"/>
        </c:scaling>
        <c:delete val="0"/>
        <c:axPos val="b"/>
        <c:numFmt formatCode="0%" sourceLinked="1"/>
        <c:majorTickMark val="none"/>
        <c:minorTickMark val="none"/>
        <c:tickLblPos val="none"/>
        <c:crossAx val="170811392"/>
        <c:crosses val="autoZero"/>
        <c:crossBetween val="between"/>
        <c:majorUnit val="0.1"/>
        <c:minorUnit val="0.05"/>
      </c:valAx>
      <c:spPr>
        <a:ln w="12700">
          <a:solidFill>
            <a:schemeClr val="bg1">
              <a:lumMod val="65000"/>
            </a:schemeClr>
          </a:solidFill>
        </a:ln>
      </c:spPr>
    </c:plotArea>
    <c:legend>
      <c:legendPos val="r"/>
      <c:layout>
        <c:manualLayout>
          <c:xMode val="edge"/>
          <c:yMode val="edge"/>
          <c:x val="0.77479980842912"/>
          <c:y val="0.55718223527918398"/>
          <c:w val="0.18194827586206899"/>
          <c:h val="0.15159603213463199"/>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6507024265698"/>
          <c:y val="0.17604694059810899"/>
          <c:w val="0.68399803921568703"/>
          <c:h val="0.55970763888888897"/>
        </c:manualLayout>
      </c:layout>
      <c:barChart>
        <c:barDir val="bar"/>
        <c:grouping val="clustered"/>
        <c:varyColors val="0"/>
        <c:ser>
          <c:idx val="0"/>
          <c:order val="0"/>
          <c:tx>
            <c:strRef>
              <c:f>B_ENG!$B$336</c:f>
              <c:strCache>
                <c:ptCount val="1"/>
                <c:pt idx="0">
                  <c:v> Cable modem</c:v>
                </c:pt>
              </c:strCache>
            </c:strRef>
          </c:tx>
          <c:spPr>
            <a:solidFill>
              <a:srgbClr val="47E5FF"/>
            </a:solidFill>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E-4B29-A453-B27306B7F842}"/>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E-4B29-A453-B27306B7F842}"/>
                </c:ext>
              </c:extLst>
            </c:dLbl>
            <c:spPr>
              <a:noFill/>
              <a:ln>
                <a:noFill/>
              </a:ln>
              <a:effectLst/>
            </c:spPr>
            <c:txPr>
              <a:bodyPr/>
              <a:lstStyle/>
              <a:p>
                <a:pPr>
                  <a:defRPr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B_ENG!$A$337:$A$342</c:f>
              <c:strCache>
                <c:ptCount val="6"/>
                <c:pt idx="0">
                  <c:v>Untill 1 999</c:v>
                </c:pt>
                <c:pt idx="1">
                  <c:v>2 000–9 999</c:v>
                </c:pt>
                <c:pt idx="2">
                  <c:v>10 000–49 999</c:v>
                </c:pt>
                <c:pt idx="3">
                  <c:v>50 000 and more</c:v>
                </c:pt>
                <c:pt idx="5">
                  <c:v>Households 
total</c:v>
                </c:pt>
              </c:strCache>
            </c:strRef>
          </c:cat>
          <c:val>
            <c:numRef>
              <c:f>B_ENG!$B$337:$B$342</c:f>
              <c:numCache>
                <c:formatCode>0%</c:formatCode>
                <c:ptCount val="6"/>
                <c:pt idx="0">
                  <c:v>6.6000000000000003E-2</c:v>
                </c:pt>
                <c:pt idx="1">
                  <c:v>0.13900000000000001</c:v>
                </c:pt>
                <c:pt idx="2">
                  <c:v>0.23400000000000001</c:v>
                </c:pt>
                <c:pt idx="3">
                  <c:v>0.45</c:v>
                </c:pt>
                <c:pt idx="5">
                  <c:v>0.24099999999999999</c:v>
                </c:pt>
              </c:numCache>
            </c:numRef>
          </c:val>
          <c:extLst>
            <c:ext xmlns:c16="http://schemas.microsoft.com/office/drawing/2014/chart" uri="{C3380CC4-5D6E-409C-BE32-E72D297353CC}">
              <c16:uniqueId val="{00000002-271E-4B29-A453-B27306B7F842}"/>
            </c:ext>
          </c:extLst>
        </c:ser>
        <c:ser>
          <c:idx val="1"/>
          <c:order val="1"/>
          <c:tx>
            <c:strRef>
              <c:f>B_ENG!$C$336</c:f>
              <c:strCache>
                <c:ptCount val="1"/>
                <c:pt idx="0">
                  <c:v> Wireless connection (Wi-Fi) </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E-4B29-A453-B27306B7F842}"/>
                </c:ext>
              </c:extLst>
            </c:dLbl>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B_ENG!$A$337:$A$342</c:f>
              <c:strCache>
                <c:ptCount val="6"/>
                <c:pt idx="0">
                  <c:v>Untill 1 999</c:v>
                </c:pt>
                <c:pt idx="1">
                  <c:v>2 000–9 999</c:v>
                </c:pt>
                <c:pt idx="2">
                  <c:v>10 000–49 999</c:v>
                </c:pt>
                <c:pt idx="3">
                  <c:v>50 000 and more</c:v>
                </c:pt>
                <c:pt idx="5">
                  <c:v>Households 
total</c:v>
                </c:pt>
              </c:strCache>
            </c:strRef>
          </c:cat>
          <c:val>
            <c:numRef>
              <c:f>B_ENG!$C$337:$C$342</c:f>
              <c:numCache>
                <c:formatCode>0%</c:formatCode>
                <c:ptCount val="6"/>
                <c:pt idx="0">
                  <c:v>0.66700000000000004</c:v>
                </c:pt>
                <c:pt idx="1">
                  <c:v>0.58799999999999997</c:v>
                </c:pt>
                <c:pt idx="2">
                  <c:v>0.50700000000000001</c:v>
                </c:pt>
                <c:pt idx="3">
                  <c:v>0.34100000000000003</c:v>
                </c:pt>
                <c:pt idx="5">
                  <c:v>0.51100000000000001</c:v>
                </c:pt>
              </c:numCache>
            </c:numRef>
          </c:val>
          <c:extLst>
            <c:ext xmlns:c16="http://schemas.microsoft.com/office/drawing/2014/chart" uri="{C3380CC4-5D6E-409C-BE32-E72D297353CC}">
              <c16:uniqueId val="{00000004-271E-4B29-A453-B27306B7F842}"/>
            </c:ext>
          </c:extLst>
        </c:ser>
        <c:dLbls>
          <c:showLegendKey val="0"/>
          <c:showVal val="0"/>
          <c:showCatName val="0"/>
          <c:showSerName val="0"/>
          <c:showPercent val="0"/>
          <c:showBubbleSize val="0"/>
        </c:dLbls>
        <c:gapWidth val="50"/>
        <c:axId val="167814144"/>
        <c:axId val="169769728"/>
      </c:barChart>
      <c:catAx>
        <c:axId val="167814144"/>
        <c:scaling>
          <c:orientation val="minMax"/>
        </c:scaling>
        <c:delete val="0"/>
        <c:axPos val="l"/>
        <c:numFmt formatCode="General" sourceLinked="1"/>
        <c:majorTickMark val="out"/>
        <c:minorTickMark val="none"/>
        <c:tickLblPos val="nextTo"/>
        <c:spPr>
          <a:ln w="3175">
            <a:solidFill>
              <a:schemeClr val="tx1"/>
            </a:solidFill>
          </a:ln>
        </c:spPr>
        <c:crossAx val="169769728"/>
        <c:crosses val="autoZero"/>
        <c:auto val="1"/>
        <c:lblAlgn val="ctr"/>
        <c:lblOffset val="100"/>
        <c:noMultiLvlLbl val="0"/>
      </c:catAx>
      <c:valAx>
        <c:axId val="169769728"/>
        <c:scaling>
          <c:orientation val="minMax"/>
          <c:max val="1"/>
        </c:scaling>
        <c:delete val="0"/>
        <c:axPos val="b"/>
        <c:numFmt formatCode="0%" sourceLinked="1"/>
        <c:majorTickMark val="none"/>
        <c:minorTickMark val="none"/>
        <c:tickLblPos val="none"/>
        <c:crossAx val="167814144"/>
        <c:crosses val="autoZero"/>
        <c:crossBetween val="between"/>
        <c:majorUnit val="0.1"/>
        <c:minorUnit val="0.05"/>
      </c:valAx>
      <c:spPr>
        <a:ln w="12700">
          <a:solidFill>
            <a:schemeClr val="bg1">
              <a:lumMod val="65000"/>
            </a:schemeClr>
          </a:solidFill>
        </a:ln>
      </c:spPr>
    </c:plotArea>
    <c:legend>
      <c:legendPos val="r"/>
      <c:layout>
        <c:manualLayout>
          <c:xMode val="edge"/>
          <c:yMode val="edge"/>
          <c:x val="0.63337822997416005"/>
          <c:y val="0.22971284722222199"/>
          <c:w val="0.31217700258397901"/>
          <c:h val="0.20274444444444401"/>
        </c:manualLayout>
      </c:layout>
      <c:overlay val="0"/>
      <c:spPr>
        <a:solidFill>
          <a:schemeClr val="bg1"/>
        </a:solidFill>
        <a:ln>
          <a:solidFill>
            <a:schemeClr val="tx1">
              <a:tint val="75000"/>
              <a:shade val="95000"/>
              <a:satMod val="105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a:t>
            </a:r>
            <a:r>
              <a:rPr lang="en-US" sz="800" b="1" i="0" baseline="0">
                <a:effectLst/>
              </a:rPr>
              <a:t> </a:t>
            </a:r>
            <a:r>
              <a:rPr lang="cs-CZ" sz="800" b="1" i="0" baseline="0">
                <a:effectLst/>
              </a:rPr>
              <a:t>A4</a:t>
            </a:r>
            <a:r>
              <a:rPr lang="en-US" sz="800" b="1" i="0" baseline="0">
                <a:effectLst/>
              </a:rPr>
              <a:t> </a:t>
            </a:r>
            <a:r>
              <a:rPr lang="cs-CZ" sz="800" b="1" i="0" baseline="0">
                <a:effectLst/>
              </a:rPr>
              <a:t>Voice fixed subcsriptions using VoIP </a:t>
            </a:r>
            <a:r>
              <a:rPr lang="cs-CZ" sz="800" b="1" i="0" baseline="0">
                <a:solidFill>
                  <a:sysClr val="windowText" lastClr="000000"/>
                </a:solidFill>
                <a:effectLst/>
              </a:rPr>
              <a:t>stations </a:t>
            </a:r>
            <a:r>
              <a:rPr lang="cs-CZ" sz="800" b="1" i="0" baseline="0">
                <a:effectLst/>
              </a:rPr>
              <a:t>in the Czech Republic (thous.)</a:t>
            </a:r>
            <a:endParaRPr lang="cs-CZ" sz="800" b="1"/>
          </a:p>
        </c:rich>
      </c:tx>
      <c:layout>
        <c:manualLayout>
          <c:xMode val="edge"/>
          <c:yMode val="edge"/>
          <c:x val="0.12705291005291"/>
          <c:y val="2.0158730158730199E-2"/>
        </c:manualLayout>
      </c:layout>
      <c:overlay val="1"/>
    </c:title>
    <c:autoTitleDeleted val="0"/>
    <c:plotArea>
      <c:layout>
        <c:manualLayout>
          <c:layoutTarget val="inner"/>
          <c:xMode val="edge"/>
          <c:yMode val="edge"/>
          <c:x val="0.16552677376171401"/>
          <c:y val="0.16299484126984101"/>
          <c:w val="0.796754016064257"/>
          <c:h val="0.71809259259259295"/>
        </c:manualLayout>
      </c:layout>
      <c:barChart>
        <c:barDir val="bar"/>
        <c:grouping val="clustered"/>
        <c:varyColors val="0"/>
        <c:ser>
          <c:idx val="0"/>
          <c:order val="0"/>
          <c:tx>
            <c:strRef>
              <c:f>A_EN!$A$47</c:f>
              <c:strCache>
                <c:ptCount val="1"/>
                <c:pt idx="0">
                  <c:v> individuals (residential stations)</c:v>
                </c:pt>
              </c:strCache>
            </c:strRef>
          </c:tx>
          <c:spPr>
            <a:solidFill>
              <a:srgbClr val="47E5FF"/>
            </a:solidFill>
            <a:ln w="25400">
              <a:noFill/>
            </a:ln>
          </c:spPr>
          <c:invertIfNegative val="0"/>
          <c:dLbls>
            <c:numFmt formatCode="#,##0" sourceLinked="0"/>
            <c:spPr>
              <a:noFill/>
              <a:ln w="25400">
                <a:noFill/>
              </a:ln>
            </c:spPr>
            <c:txPr>
              <a:bodyPr/>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A_EN!$B$46:$F$46</c:f>
              <c:numCache>
                <c:formatCode>General</c:formatCode>
                <c:ptCount val="5"/>
                <c:pt idx="0">
                  <c:v>2008</c:v>
                </c:pt>
                <c:pt idx="1">
                  <c:v>2010</c:v>
                </c:pt>
                <c:pt idx="2">
                  <c:v>2012</c:v>
                </c:pt>
                <c:pt idx="3">
                  <c:v>2014</c:v>
                </c:pt>
                <c:pt idx="4">
                  <c:v>2016</c:v>
                </c:pt>
              </c:numCache>
            </c:numRef>
          </c:cat>
          <c:val>
            <c:numRef>
              <c:f>A_EN!$B$47:$F$47</c:f>
              <c:numCache>
                <c:formatCode>#,##0</c:formatCode>
                <c:ptCount val="5"/>
                <c:pt idx="0">
                  <c:v>224</c:v>
                </c:pt>
                <c:pt idx="1">
                  <c:v>300.26100000000002</c:v>
                </c:pt>
                <c:pt idx="2">
                  <c:v>269</c:v>
                </c:pt>
                <c:pt idx="3">
                  <c:v>343.83</c:v>
                </c:pt>
                <c:pt idx="4">
                  <c:v>298.66500000000002</c:v>
                </c:pt>
              </c:numCache>
            </c:numRef>
          </c:val>
          <c:extLst>
            <c:ext xmlns:c16="http://schemas.microsoft.com/office/drawing/2014/chart" uri="{C3380CC4-5D6E-409C-BE32-E72D297353CC}">
              <c16:uniqueId val="{00000000-BF81-4480-A598-0E303D24D795}"/>
            </c:ext>
          </c:extLst>
        </c:ser>
        <c:ser>
          <c:idx val="1"/>
          <c:order val="1"/>
          <c:tx>
            <c:strRef>
              <c:f>A_EN!$A$48</c:f>
              <c:strCache>
                <c:ptCount val="1"/>
                <c:pt idx="0">
                  <c:v> enterprises (business stations)</c:v>
                </c:pt>
              </c:strCache>
            </c:strRef>
          </c:tx>
          <c:spPr>
            <a:solidFill>
              <a:srgbClr val="009BB4"/>
            </a:solidFill>
            <a:ln w="25400">
              <a:noFill/>
            </a:ln>
          </c:spPr>
          <c:invertIfNegative val="0"/>
          <c:dLbls>
            <c:numFmt formatCode="#,##0" sourceLinked="0"/>
            <c:spPr>
              <a:noFill/>
              <a:ln w="25400">
                <a:noFill/>
              </a:ln>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A_EN!$B$46:$F$46</c:f>
              <c:numCache>
                <c:formatCode>General</c:formatCode>
                <c:ptCount val="5"/>
                <c:pt idx="0">
                  <c:v>2008</c:v>
                </c:pt>
                <c:pt idx="1">
                  <c:v>2010</c:v>
                </c:pt>
                <c:pt idx="2">
                  <c:v>2012</c:v>
                </c:pt>
                <c:pt idx="3">
                  <c:v>2014</c:v>
                </c:pt>
                <c:pt idx="4">
                  <c:v>2016</c:v>
                </c:pt>
              </c:numCache>
            </c:numRef>
          </c:cat>
          <c:val>
            <c:numRef>
              <c:f>A_EN!$B$48:$F$48</c:f>
              <c:numCache>
                <c:formatCode>#,##0</c:formatCode>
                <c:ptCount val="5"/>
                <c:pt idx="0">
                  <c:v>85</c:v>
                </c:pt>
                <c:pt idx="1">
                  <c:v>162.22800000000001</c:v>
                </c:pt>
                <c:pt idx="2">
                  <c:v>356</c:v>
                </c:pt>
                <c:pt idx="3">
                  <c:v>509.42500000000001</c:v>
                </c:pt>
                <c:pt idx="4">
                  <c:v>618.58000000000004</c:v>
                </c:pt>
              </c:numCache>
            </c:numRef>
          </c:val>
          <c:extLst>
            <c:ext xmlns:c16="http://schemas.microsoft.com/office/drawing/2014/chart" uri="{C3380CC4-5D6E-409C-BE32-E72D297353CC}">
              <c16:uniqueId val="{00000001-BF81-4480-A598-0E303D24D795}"/>
            </c:ext>
          </c:extLst>
        </c:ser>
        <c:dLbls>
          <c:showLegendKey val="0"/>
          <c:showVal val="1"/>
          <c:showCatName val="0"/>
          <c:showSerName val="0"/>
          <c:showPercent val="0"/>
          <c:showBubbleSize val="0"/>
        </c:dLbls>
        <c:gapWidth val="57"/>
        <c:axId val="151332864"/>
        <c:axId val="64257344"/>
      </c:barChart>
      <c:catAx>
        <c:axId val="1513328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64257344"/>
        <c:crosses val="autoZero"/>
        <c:auto val="1"/>
        <c:lblAlgn val="ctr"/>
        <c:lblOffset val="40"/>
        <c:tickLblSkip val="1"/>
        <c:tickMarkSkip val="1"/>
        <c:noMultiLvlLbl val="0"/>
      </c:catAx>
      <c:valAx>
        <c:axId val="64257344"/>
        <c:scaling>
          <c:orientation val="minMax"/>
          <c:max val="700"/>
        </c:scaling>
        <c:delete val="0"/>
        <c:axPos val="b"/>
        <c:numFmt formatCode="#,##0" sourceLinked="1"/>
        <c:majorTickMark val="none"/>
        <c:minorTickMark val="none"/>
        <c:tickLblPos val="none"/>
        <c:spPr>
          <a:ln w="9525">
            <a:noFill/>
          </a:ln>
        </c:spPr>
        <c:crossAx val="151332864"/>
        <c:crosses val="autoZero"/>
        <c:crossBetween val="between"/>
        <c:majorUnit val="100"/>
        <c:minorUnit val="0.01"/>
      </c:valAx>
      <c:spPr>
        <a:noFill/>
        <a:ln w="12700">
          <a:solidFill>
            <a:srgbClr val="969696"/>
          </a:solidFill>
          <a:prstDash val="solid"/>
        </a:ln>
      </c:spPr>
    </c:plotArea>
    <c:legend>
      <c:legendPos val="r"/>
      <c:layout>
        <c:manualLayout>
          <c:xMode val="edge"/>
          <c:yMode val="edge"/>
          <c:x val="0.68972958500669401"/>
          <c:y val="0.50002500000000005"/>
          <c:w val="0.24014781746031699"/>
          <c:h val="0.371380158730159"/>
        </c:manualLayout>
      </c:layout>
      <c:overlay val="0"/>
      <c:spPr>
        <a:solidFill>
          <a:srgbClr val="FFFFFF"/>
        </a:solidFill>
        <a:ln w="9525">
          <a:solidFill>
            <a:schemeClr val="bg1">
              <a:lumMod val="50000"/>
            </a:schemeClr>
          </a:solidFill>
        </a:ln>
      </c:spPr>
      <c:txPr>
        <a:bodyPr/>
        <a:lstStyle/>
        <a:p>
          <a:pPr>
            <a:defRPr b="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B19 Households in the Czech Republic</a:t>
            </a:r>
          </a:p>
          <a:p>
            <a:pPr>
              <a:defRPr sz="800" b="1"/>
            </a:pPr>
            <a:r>
              <a:rPr lang="cs-CZ" sz="800" b="1"/>
              <a:t>using a Wi-Fi router to within their home</a:t>
            </a:r>
            <a:endParaRPr lang="en-US" sz="800" b="1"/>
          </a:p>
        </c:rich>
      </c:tx>
      <c:layout>
        <c:manualLayout>
          <c:xMode val="edge"/>
          <c:yMode val="edge"/>
          <c:x val="0.13270223577235801"/>
          <c:y val="1.8814814814814802E-2"/>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B_ENG!$A$331</c:f>
              <c:strCache>
                <c:ptCount val="1"/>
                <c:pt idx="0">
                  <c:v>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B_ENG!$B$330:$H$330</c:f>
              <c:strCache>
                <c:ptCount val="7"/>
                <c:pt idx="0">
                  <c:v>2010</c:v>
                </c:pt>
                <c:pt idx="1">
                  <c:v>2012</c:v>
                </c:pt>
                <c:pt idx="2">
                  <c:v>2013</c:v>
                </c:pt>
                <c:pt idx="3">
                  <c:v>2014</c:v>
                </c:pt>
                <c:pt idx="4">
                  <c:v>2015</c:v>
                </c:pt>
                <c:pt idx="5">
                  <c:v>2016</c:v>
                </c:pt>
                <c:pt idx="6">
                  <c:v>2017</c:v>
                </c:pt>
              </c:strCache>
            </c:strRef>
          </c:cat>
          <c:val>
            <c:numRef>
              <c:f>B_ENG!$B$331:$H$331</c:f>
              <c:numCache>
                <c:formatCode>#,##0.0</c:formatCode>
                <c:ptCount val="7"/>
                <c:pt idx="0">
                  <c:v>0.66281999999999996</c:v>
                </c:pt>
                <c:pt idx="1">
                  <c:v>1.2111609999999999</c:v>
                </c:pt>
                <c:pt idx="2">
                  <c:v>1.477347</c:v>
                </c:pt>
                <c:pt idx="3">
                  <c:v>1.8020659999999999</c:v>
                </c:pt>
                <c:pt idx="4">
                  <c:v>2.0300410000000002</c:v>
                </c:pt>
                <c:pt idx="5">
                  <c:v>2.191044999999999</c:v>
                </c:pt>
                <c:pt idx="6">
                  <c:v>2.4789111676524902</c:v>
                </c:pt>
              </c:numCache>
            </c:numRef>
          </c:val>
          <c:extLst>
            <c:ext xmlns:c16="http://schemas.microsoft.com/office/drawing/2014/chart" uri="{C3380CC4-5D6E-409C-BE32-E72D297353CC}">
              <c16:uniqueId val="{00000000-EDF7-49A8-A945-CE655BDC335F}"/>
            </c:ext>
          </c:extLst>
        </c:ser>
        <c:dLbls>
          <c:showLegendKey val="0"/>
          <c:showVal val="0"/>
          <c:showCatName val="0"/>
          <c:showSerName val="0"/>
          <c:showPercent val="0"/>
          <c:showBubbleSize val="0"/>
        </c:dLbls>
        <c:gapWidth val="50"/>
        <c:axId val="167816704"/>
        <c:axId val="171058304"/>
      </c:barChart>
      <c:lineChart>
        <c:grouping val="standard"/>
        <c:varyColors val="0"/>
        <c:ser>
          <c:idx val="0"/>
          <c:order val="1"/>
          <c:tx>
            <c:strRef>
              <c:f>B_ENG!$A$332</c:f>
              <c:strCache>
                <c:ptCount val="1"/>
                <c:pt idx="0">
                  <c:v>% of all households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7-49A8-A945-CE655BDC335F}"/>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B_ENG!$B$330:$H$330</c:f>
              <c:strCache>
                <c:ptCount val="7"/>
                <c:pt idx="0">
                  <c:v>2010</c:v>
                </c:pt>
                <c:pt idx="1">
                  <c:v>2012</c:v>
                </c:pt>
                <c:pt idx="2">
                  <c:v>2013</c:v>
                </c:pt>
                <c:pt idx="3">
                  <c:v>2014</c:v>
                </c:pt>
                <c:pt idx="4">
                  <c:v>2015</c:v>
                </c:pt>
                <c:pt idx="5">
                  <c:v>2016</c:v>
                </c:pt>
                <c:pt idx="6">
                  <c:v>2017</c:v>
                </c:pt>
              </c:strCache>
            </c:strRef>
          </c:cat>
          <c:val>
            <c:numRef>
              <c:f>B_ENG!$B$332:$H$332</c:f>
              <c:numCache>
                <c:formatCode>0%</c:formatCode>
                <c:ptCount val="7"/>
                <c:pt idx="0">
                  <c:v>0.16200000000000001</c:v>
                </c:pt>
                <c:pt idx="1">
                  <c:v>0.29299999999999998</c:v>
                </c:pt>
                <c:pt idx="2">
                  <c:v>0.34799999999999998</c:v>
                </c:pt>
                <c:pt idx="3">
                  <c:v>0.42299999999999999</c:v>
                </c:pt>
                <c:pt idx="4">
                  <c:v>0.47699999999999998</c:v>
                </c:pt>
                <c:pt idx="5">
                  <c:v>0.50900000000000001</c:v>
                </c:pt>
                <c:pt idx="6">
                  <c:v>0.565829917032875</c:v>
                </c:pt>
              </c:numCache>
            </c:numRef>
          </c:val>
          <c:smooth val="0"/>
          <c:extLst>
            <c:ext xmlns:c16="http://schemas.microsoft.com/office/drawing/2014/chart" uri="{C3380CC4-5D6E-409C-BE32-E72D297353CC}">
              <c16:uniqueId val="{00000002-EDF7-49A8-A945-CE655BDC335F}"/>
            </c:ext>
          </c:extLst>
        </c:ser>
        <c:ser>
          <c:idx val="1"/>
          <c:order val="2"/>
          <c:tx>
            <c:strRef>
              <c:f>B_ENG!$A$333</c:f>
              <c:strCache>
                <c:ptCount val="1"/>
                <c:pt idx="0">
                  <c:v>% of households with the internet</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B_ENG!$B$330:$H$330</c:f>
              <c:strCache>
                <c:ptCount val="7"/>
                <c:pt idx="0">
                  <c:v>2010</c:v>
                </c:pt>
                <c:pt idx="1">
                  <c:v>2012</c:v>
                </c:pt>
                <c:pt idx="2">
                  <c:v>2013</c:v>
                </c:pt>
                <c:pt idx="3">
                  <c:v>2014</c:v>
                </c:pt>
                <c:pt idx="4">
                  <c:v>2015</c:v>
                </c:pt>
                <c:pt idx="5">
                  <c:v>2016</c:v>
                </c:pt>
                <c:pt idx="6">
                  <c:v>2017</c:v>
                </c:pt>
              </c:strCache>
            </c:strRef>
          </c:cat>
          <c:val>
            <c:numRef>
              <c:f>B_ENG!$B$333:$H$333</c:f>
              <c:numCache>
                <c:formatCode>0%</c:formatCode>
                <c:ptCount val="7"/>
                <c:pt idx="0">
                  <c:v>0.28749367848663598</c:v>
                </c:pt>
                <c:pt idx="1">
                  <c:v>0.44735190686566201</c:v>
                </c:pt>
                <c:pt idx="2">
                  <c:v>0.51911161054058597</c:v>
                </c:pt>
                <c:pt idx="3">
                  <c:v>0.586664834898312</c:v>
                </c:pt>
                <c:pt idx="4">
                  <c:v>0.65247461266128803</c:v>
                </c:pt>
                <c:pt idx="5">
                  <c:v>0.66915350335756196</c:v>
                </c:pt>
                <c:pt idx="6">
                  <c:v>0.73328592711418294</c:v>
                </c:pt>
              </c:numCache>
            </c:numRef>
          </c:val>
          <c:smooth val="0"/>
          <c:extLst>
            <c:ext xmlns:c16="http://schemas.microsoft.com/office/drawing/2014/chart" uri="{C3380CC4-5D6E-409C-BE32-E72D297353CC}">
              <c16:uniqueId val="{00000003-EDF7-49A8-A945-CE655BDC335F}"/>
            </c:ext>
          </c:extLst>
        </c:ser>
        <c:dLbls>
          <c:showLegendKey val="0"/>
          <c:showVal val="0"/>
          <c:showCatName val="0"/>
          <c:showSerName val="0"/>
          <c:showPercent val="0"/>
          <c:showBubbleSize val="0"/>
        </c:dLbls>
        <c:marker val="1"/>
        <c:smooth val="0"/>
        <c:axId val="167952384"/>
        <c:axId val="171058880"/>
      </c:lineChart>
      <c:catAx>
        <c:axId val="167816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71058304"/>
        <c:crosses val="autoZero"/>
        <c:auto val="1"/>
        <c:lblAlgn val="ctr"/>
        <c:lblOffset val="140"/>
        <c:tickLblSkip val="1"/>
        <c:tickMarkSkip val="1"/>
        <c:noMultiLvlLbl val="0"/>
      </c:catAx>
      <c:valAx>
        <c:axId val="171058304"/>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67816704"/>
        <c:crosses val="autoZero"/>
        <c:crossBetween val="between"/>
        <c:majorUnit val="1"/>
        <c:minorUnit val="0.02"/>
      </c:valAx>
      <c:catAx>
        <c:axId val="167952384"/>
        <c:scaling>
          <c:orientation val="minMax"/>
        </c:scaling>
        <c:delete val="1"/>
        <c:axPos val="b"/>
        <c:numFmt formatCode="General" sourceLinked="1"/>
        <c:majorTickMark val="out"/>
        <c:minorTickMark val="none"/>
        <c:tickLblPos val="none"/>
        <c:crossAx val="171058880"/>
        <c:crosses val="autoZero"/>
        <c:auto val="1"/>
        <c:lblAlgn val="ctr"/>
        <c:lblOffset val="100"/>
        <c:noMultiLvlLbl val="0"/>
      </c:catAx>
      <c:valAx>
        <c:axId val="171058880"/>
        <c:scaling>
          <c:orientation val="minMax"/>
          <c:max val="1"/>
          <c:min val="0"/>
        </c:scaling>
        <c:delete val="0"/>
        <c:axPos val="r"/>
        <c:numFmt formatCode="0%" sourceLinked="1"/>
        <c:majorTickMark val="none"/>
        <c:minorTickMark val="none"/>
        <c:tickLblPos val="none"/>
        <c:spPr>
          <a:ln>
            <a:solidFill>
              <a:schemeClr val="bg1">
                <a:lumMod val="65000"/>
              </a:schemeClr>
            </a:solidFill>
          </a:ln>
        </c:spPr>
        <c:crossAx val="167952384"/>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4.04595046854083E-2"/>
          <c:y val="0.15001370370370401"/>
          <c:w val="0.68844344042838002"/>
          <c:h val="0.14832925925925899"/>
        </c:manualLayout>
      </c:layout>
      <c:overlay val="0"/>
      <c:spPr>
        <a:ln>
          <a:solidFill>
            <a:schemeClr val="tx1">
              <a:tint val="75000"/>
              <a:shade val="95000"/>
              <a:satMod val="105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 Individuals in the Czech Republic</a:t>
            </a:r>
          </a:p>
          <a:p>
            <a:pPr>
              <a:defRPr sz="800" b="1"/>
            </a:pPr>
            <a:r>
              <a:rPr lang="cs-CZ" sz="800" b="1"/>
              <a:t>using tablet; 2017 (%)</a:t>
            </a:r>
            <a:endParaRPr lang="en-US" sz="800" b="1"/>
          </a:p>
        </c:rich>
      </c:tx>
      <c:overlay val="1"/>
    </c:title>
    <c:autoTitleDeleted val="0"/>
    <c:plotArea>
      <c:layout>
        <c:manualLayout>
          <c:layoutTarget val="inner"/>
          <c:xMode val="edge"/>
          <c:yMode val="edge"/>
          <c:x val="0.22846046084730201"/>
          <c:y val="0.13528742690058501"/>
          <c:w val="0.73134856609181498"/>
          <c:h val="0.75576666666666703"/>
        </c:manualLayout>
      </c:layout>
      <c:barChart>
        <c:barDir val="bar"/>
        <c:grouping val="clustered"/>
        <c:varyColors val="0"/>
        <c:ser>
          <c:idx val="0"/>
          <c:order val="0"/>
          <c:tx>
            <c:strRef>
              <c:f>C_ENG!$B$16</c:f>
              <c:strCache>
                <c:ptCount val="1"/>
                <c:pt idx="0">
                  <c:v> % of all computer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C_ENG!$A$17:$A$27</c:f>
              <c:strCache>
                <c:ptCount val="11"/>
                <c:pt idx="0">
                  <c:v>65+ </c:v>
                </c:pt>
                <c:pt idx="1">
                  <c:v>55–64 </c:v>
                </c:pt>
                <c:pt idx="2">
                  <c:v>45–54 </c:v>
                </c:pt>
                <c:pt idx="3">
                  <c:v>35–44 </c:v>
                </c:pt>
                <c:pt idx="4">
                  <c:v>25–34 </c:v>
                </c:pt>
                <c:pt idx="5">
                  <c:v>16–24 </c:v>
                </c:pt>
                <c:pt idx="7">
                  <c:v>Females</c:v>
                </c:pt>
                <c:pt idx="8">
                  <c:v>Males</c:v>
                </c:pt>
                <c:pt idx="10">
                  <c:v>Total</c:v>
                </c:pt>
              </c:strCache>
            </c:strRef>
          </c:cat>
          <c:val>
            <c:numRef>
              <c:f>C_ENG!$B$17:$B$27</c:f>
              <c:numCache>
                <c:formatCode>0%</c:formatCode>
                <c:ptCount val="11"/>
                <c:pt idx="0">
                  <c:v>9.833865E-2</c:v>
                </c:pt>
                <c:pt idx="1">
                  <c:v>0.15419277000000001</c:v>
                </c:pt>
                <c:pt idx="2">
                  <c:v>0.21609217999999999</c:v>
                </c:pt>
                <c:pt idx="3">
                  <c:v>0.30439820000000001</c:v>
                </c:pt>
                <c:pt idx="4">
                  <c:v>0.28004634</c:v>
                </c:pt>
                <c:pt idx="5">
                  <c:v>0.37900321999999997</c:v>
                </c:pt>
                <c:pt idx="7">
                  <c:v>0.26014958999999999</c:v>
                </c:pt>
                <c:pt idx="8">
                  <c:v>0.24339484</c:v>
                </c:pt>
                <c:pt idx="10">
                  <c:v>0.25144958000000001</c:v>
                </c:pt>
              </c:numCache>
            </c:numRef>
          </c:val>
          <c:extLst>
            <c:ext xmlns:c16="http://schemas.microsoft.com/office/drawing/2014/chart" uri="{C3380CC4-5D6E-409C-BE32-E72D297353CC}">
              <c16:uniqueId val="{00000000-9A3F-41B3-A7EA-E1906D8B3EB6}"/>
            </c:ext>
          </c:extLst>
        </c:ser>
        <c:ser>
          <c:idx val="1"/>
          <c:order val="1"/>
          <c:tx>
            <c:strRef>
              <c:f>C_ENG!$C$16</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3F-41B3-A7EA-E1906D8B3EB6}"/>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F-41B3-A7EA-E1906D8B3EB6}"/>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C_ENG!$A$17:$A$27</c:f>
              <c:strCache>
                <c:ptCount val="11"/>
                <c:pt idx="0">
                  <c:v>65+ </c:v>
                </c:pt>
                <c:pt idx="1">
                  <c:v>55–64 </c:v>
                </c:pt>
                <c:pt idx="2">
                  <c:v>45–54 </c:v>
                </c:pt>
                <c:pt idx="3">
                  <c:v>35–44 </c:v>
                </c:pt>
                <c:pt idx="4">
                  <c:v>25–34 </c:v>
                </c:pt>
                <c:pt idx="5">
                  <c:v>16–24 </c:v>
                </c:pt>
                <c:pt idx="7">
                  <c:v>Females</c:v>
                </c:pt>
                <c:pt idx="8">
                  <c:v>Males</c:v>
                </c:pt>
                <c:pt idx="10">
                  <c:v>Total</c:v>
                </c:pt>
              </c:strCache>
            </c:strRef>
          </c:cat>
          <c:val>
            <c:numRef>
              <c:f>C_ENG!$C$17:$C$27</c:f>
              <c:numCache>
                <c:formatCode>0%</c:formatCode>
                <c:ptCount val="11"/>
                <c:pt idx="0">
                  <c:v>3.2219777173253902E-2</c:v>
                </c:pt>
                <c:pt idx="1">
                  <c:v>0.112963912152393</c:v>
                </c:pt>
                <c:pt idx="2">
                  <c:v>0.191778621102591</c:v>
                </c:pt>
                <c:pt idx="3">
                  <c:v>0.28885086218244099</c:v>
                </c:pt>
                <c:pt idx="4">
                  <c:v>0.26590931268439999</c:v>
                </c:pt>
                <c:pt idx="5">
                  <c:v>0.37156093619250902</c:v>
                </c:pt>
                <c:pt idx="7">
                  <c:v>0.19298198943558501</c:v>
                </c:pt>
                <c:pt idx="8">
                  <c:v>0.19467383139715999</c:v>
                </c:pt>
                <c:pt idx="10">
                  <c:v>0.19369248992091201</c:v>
                </c:pt>
              </c:numCache>
            </c:numRef>
          </c:val>
          <c:extLst>
            <c:ext xmlns:c16="http://schemas.microsoft.com/office/drawing/2014/chart" uri="{C3380CC4-5D6E-409C-BE32-E72D297353CC}">
              <c16:uniqueId val="{00000003-9A3F-41B3-A7EA-E1906D8B3EB6}"/>
            </c:ext>
          </c:extLst>
        </c:ser>
        <c:dLbls>
          <c:showLegendKey val="0"/>
          <c:showVal val="0"/>
          <c:showCatName val="0"/>
          <c:showSerName val="0"/>
          <c:showPercent val="0"/>
          <c:showBubbleSize val="0"/>
        </c:dLbls>
        <c:gapWidth val="30"/>
        <c:axId val="167953920"/>
        <c:axId val="171062336"/>
      </c:barChart>
      <c:catAx>
        <c:axId val="167953920"/>
        <c:scaling>
          <c:orientation val="minMax"/>
        </c:scaling>
        <c:delete val="0"/>
        <c:axPos val="l"/>
        <c:numFmt formatCode="General" sourceLinked="1"/>
        <c:majorTickMark val="out"/>
        <c:minorTickMark val="none"/>
        <c:tickLblPos val="nextTo"/>
        <c:spPr>
          <a:ln w="3175">
            <a:solidFill>
              <a:schemeClr val="tx1"/>
            </a:solidFill>
          </a:ln>
        </c:spPr>
        <c:crossAx val="171062336"/>
        <c:crosses val="autoZero"/>
        <c:auto val="1"/>
        <c:lblAlgn val="ctr"/>
        <c:lblOffset val="100"/>
        <c:noMultiLvlLbl val="0"/>
      </c:catAx>
      <c:valAx>
        <c:axId val="171062336"/>
        <c:scaling>
          <c:orientation val="minMax"/>
          <c:max val="0.7"/>
        </c:scaling>
        <c:delete val="0"/>
        <c:axPos val="b"/>
        <c:numFmt formatCode="0%" sourceLinked="1"/>
        <c:majorTickMark val="none"/>
        <c:minorTickMark val="none"/>
        <c:tickLblPos val="none"/>
        <c:crossAx val="167953920"/>
        <c:crosses val="autoZero"/>
        <c:crossBetween val="between"/>
        <c:majorUnit val="0.1"/>
        <c:minorUnit val="0.05"/>
      </c:valAx>
      <c:spPr>
        <a:ln w="12700">
          <a:solidFill>
            <a:schemeClr val="bg1">
              <a:lumMod val="65000"/>
            </a:schemeClr>
          </a:solidFill>
        </a:ln>
      </c:spPr>
    </c:plotArea>
    <c:legend>
      <c:legendPos val="r"/>
      <c:layout>
        <c:manualLayout>
          <c:xMode val="edge"/>
          <c:yMode val="edge"/>
          <c:x val="0.52152067541993119"/>
          <c:y val="0.14940568362102369"/>
          <c:w val="0.41408300264550302"/>
          <c:h val="0.12909379363791226"/>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C1 Individuals in the Czech Republic</a:t>
            </a:r>
          </a:p>
          <a:p>
            <a:pPr>
              <a:defRPr sz="800" b="1"/>
            </a:pPr>
            <a:r>
              <a:rPr lang="cs-CZ" sz="800" b="1"/>
              <a:t>using portable</a:t>
            </a:r>
            <a:r>
              <a:rPr lang="cs-CZ" sz="800" b="1" baseline="0"/>
              <a:t> computer – </a:t>
            </a:r>
            <a:r>
              <a:rPr lang="cs-CZ" sz="800" b="1"/>
              <a:t>laptop or tablet (%)*</a:t>
            </a:r>
            <a:endParaRPr lang="en-US" sz="800" b="1"/>
          </a:p>
        </c:rich>
      </c:tx>
      <c:overlay val="1"/>
    </c:title>
    <c:autoTitleDeleted val="0"/>
    <c:plotArea>
      <c:layout>
        <c:manualLayout>
          <c:layoutTarget val="inner"/>
          <c:xMode val="edge"/>
          <c:yMode val="edge"/>
          <c:x val="0.26801421957672"/>
          <c:y val="0.120688596491228"/>
          <c:w val="0.69179497354497399"/>
          <c:h val="0.73435994152046802"/>
        </c:manualLayout>
      </c:layout>
      <c:barChart>
        <c:barDir val="bar"/>
        <c:grouping val="clustered"/>
        <c:varyColors val="0"/>
        <c:ser>
          <c:idx val="0"/>
          <c:order val="0"/>
          <c:tx>
            <c:strRef>
              <c:f>C_ENG!$B$2</c:f>
              <c:strCache>
                <c:ptCount val="1"/>
                <c:pt idx="0">
                  <c:v> 2007</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C_ENG!$A$3:$A$13</c:f>
              <c:strCache>
                <c:ptCount val="11"/>
                <c:pt idx="0">
                  <c:v>65+ </c:v>
                </c:pt>
                <c:pt idx="1">
                  <c:v>55–64 </c:v>
                </c:pt>
                <c:pt idx="2">
                  <c:v>45–54 </c:v>
                </c:pt>
                <c:pt idx="3">
                  <c:v>35–44 </c:v>
                </c:pt>
                <c:pt idx="4">
                  <c:v>25–34 </c:v>
                </c:pt>
                <c:pt idx="5">
                  <c:v>16–24 </c:v>
                </c:pt>
                <c:pt idx="7">
                  <c:v>Females</c:v>
                </c:pt>
                <c:pt idx="8">
                  <c:v>Males</c:v>
                </c:pt>
                <c:pt idx="10">
                  <c:v>Total</c:v>
                </c:pt>
              </c:strCache>
            </c:strRef>
          </c:cat>
          <c:val>
            <c:numRef>
              <c:f>C_ENG!$B$3:$B$13</c:f>
              <c:numCache>
                <c:formatCode>0%</c:formatCode>
                <c:ptCount val="11"/>
                <c:pt idx="0">
                  <c:v>5.7646250983938796E-3</c:v>
                </c:pt>
                <c:pt idx="1">
                  <c:v>3.9034372510918798E-2</c:v>
                </c:pt>
                <c:pt idx="2">
                  <c:v>8.3309347302797501E-2</c:v>
                </c:pt>
                <c:pt idx="3">
                  <c:v>9.7656775575189494E-2</c:v>
                </c:pt>
                <c:pt idx="4">
                  <c:v>0.124709364868146</c:v>
                </c:pt>
                <c:pt idx="5">
                  <c:v>0.13480085116253401</c:v>
                </c:pt>
                <c:pt idx="7">
                  <c:v>5.7519630000000002E-2</c:v>
                </c:pt>
                <c:pt idx="8">
                  <c:v>0.10500086</c:v>
                </c:pt>
                <c:pt idx="10">
                  <c:v>8.0510011668737697E-2</c:v>
                </c:pt>
              </c:numCache>
            </c:numRef>
          </c:val>
          <c:extLst>
            <c:ext xmlns:c16="http://schemas.microsoft.com/office/drawing/2014/chart" uri="{C3380CC4-5D6E-409C-BE32-E72D297353CC}">
              <c16:uniqueId val="{00000000-B158-4F0A-8FD7-D5904A1CC2FE}"/>
            </c:ext>
          </c:extLst>
        </c:ser>
        <c:ser>
          <c:idx val="1"/>
          <c:order val="1"/>
          <c:tx>
            <c:strRef>
              <c:f>C_ENG!$C$2</c:f>
              <c:strCache>
                <c:ptCount val="1"/>
                <c:pt idx="0">
                  <c:v> 2017</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58-4F0A-8FD7-D5904A1CC2FE}"/>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C_ENG!$A$3:$A$13</c:f>
              <c:strCache>
                <c:ptCount val="11"/>
                <c:pt idx="0">
                  <c:v>65+ </c:v>
                </c:pt>
                <c:pt idx="1">
                  <c:v>55–64 </c:v>
                </c:pt>
                <c:pt idx="2">
                  <c:v>45–54 </c:v>
                </c:pt>
                <c:pt idx="3">
                  <c:v>35–44 </c:v>
                </c:pt>
                <c:pt idx="4">
                  <c:v>25–34 </c:v>
                </c:pt>
                <c:pt idx="5">
                  <c:v>16–24 </c:v>
                </c:pt>
                <c:pt idx="7">
                  <c:v>Females</c:v>
                </c:pt>
                <c:pt idx="8">
                  <c:v>Males</c:v>
                </c:pt>
                <c:pt idx="10">
                  <c:v>Total</c:v>
                </c:pt>
              </c:strCache>
            </c:strRef>
          </c:cat>
          <c:val>
            <c:numRef>
              <c:f>C_ENG!$C$3:$C$13</c:f>
              <c:numCache>
                <c:formatCode>0%</c:formatCode>
                <c:ptCount val="11"/>
                <c:pt idx="0">
                  <c:v>0.18795795829464501</c:v>
                </c:pt>
                <c:pt idx="1">
                  <c:v>0.50184025807267396</c:v>
                </c:pt>
                <c:pt idx="2">
                  <c:v>0.69113739856156697</c:v>
                </c:pt>
                <c:pt idx="3">
                  <c:v>0.78532601541798497</c:v>
                </c:pt>
                <c:pt idx="4">
                  <c:v>0.85089998755085205</c:v>
                </c:pt>
                <c:pt idx="5">
                  <c:v>0.87568880254327097</c:v>
                </c:pt>
                <c:pt idx="7">
                  <c:v>0.58814796577664696</c:v>
                </c:pt>
                <c:pt idx="8">
                  <c:v>0.63906112472637699</c:v>
                </c:pt>
                <c:pt idx="10">
                  <c:v>0.61303079330934496</c:v>
                </c:pt>
              </c:numCache>
            </c:numRef>
          </c:val>
          <c:extLst>
            <c:ext xmlns:c16="http://schemas.microsoft.com/office/drawing/2014/chart" uri="{C3380CC4-5D6E-409C-BE32-E72D297353CC}">
              <c16:uniqueId val="{00000002-B158-4F0A-8FD7-D5904A1CC2FE}"/>
            </c:ext>
          </c:extLst>
        </c:ser>
        <c:dLbls>
          <c:showLegendKey val="0"/>
          <c:showVal val="0"/>
          <c:showCatName val="0"/>
          <c:showSerName val="0"/>
          <c:showPercent val="0"/>
          <c:showBubbleSize val="0"/>
        </c:dLbls>
        <c:gapWidth val="30"/>
        <c:axId val="167954432"/>
        <c:axId val="171060608"/>
      </c:barChart>
      <c:catAx>
        <c:axId val="167954432"/>
        <c:scaling>
          <c:orientation val="minMax"/>
        </c:scaling>
        <c:delete val="0"/>
        <c:axPos val="l"/>
        <c:numFmt formatCode="General" sourceLinked="1"/>
        <c:majorTickMark val="out"/>
        <c:minorTickMark val="none"/>
        <c:tickLblPos val="nextTo"/>
        <c:spPr>
          <a:ln w="3175">
            <a:solidFill>
              <a:schemeClr val="tx1"/>
            </a:solidFill>
          </a:ln>
        </c:spPr>
        <c:crossAx val="171060608"/>
        <c:crosses val="autoZero"/>
        <c:auto val="1"/>
        <c:lblAlgn val="ctr"/>
        <c:lblOffset val="100"/>
        <c:noMultiLvlLbl val="0"/>
      </c:catAx>
      <c:valAx>
        <c:axId val="171060608"/>
        <c:scaling>
          <c:orientation val="minMax"/>
          <c:max val="1"/>
        </c:scaling>
        <c:delete val="0"/>
        <c:axPos val="b"/>
        <c:numFmt formatCode="0%" sourceLinked="1"/>
        <c:majorTickMark val="none"/>
        <c:minorTickMark val="none"/>
        <c:tickLblPos val="none"/>
        <c:crossAx val="167954432"/>
        <c:crosses val="autoZero"/>
        <c:crossBetween val="between"/>
        <c:majorUnit val="0.1"/>
        <c:minorUnit val="0.05"/>
      </c:valAx>
      <c:spPr>
        <a:ln w="12700">
          <a:solidFill>
            <a:schemeClr val="bg1">
              <a:lumMod val="65000"/>
            </a:schemeClr>
          </a:solidFill>
        </a:ln>
      </c:spPr>
    </c:plotArea>
    <c:legend>
      <c:legendPos val="r"/>
      <c:layout>
        <c:manualLayout>
          <c:xMode val="edge"/>
          <c:yMode val="edge"/>
          <c:x val="0.75800099206349303"/>
          <c:y val="0.150857407407408"/>
          <c:w val="0.18194827586206899"/>
          <c:h val="0.107034502923977"/>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C3 Individuals </a:t>
            </a:r>
            <a:r>
              <a:rPr lang="cs-CZ" sz="800" b="1" i="0" u="none" strike="noStrike" baseline="0">
                <a:effectLst/>
              </a:rPr>
              <a:t>in the Czech Republic </a:t>
            </a:r>
            <a:r>
              <a:rPr lang="cs-CZ" sz="800" b="1"/>
              <a:t>aged 16+ using the internet – internet users</a:t>
            </a:r>
            <a:endParaRPr lang="en-US" sz="800" b="1"/>
          </a:p>
        </c:rich>
      </c:tx>
      <c:layout>
        <c:manualLayout>
          <c:xMode val="edge"/>
          <c:yMode val="edge"/>
          <c:x val="0.131321847533691"/>
          <c:y val="1.4399871325276501E-3"/>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C_ENG!$A$38</c:f>
              <c:strCache>
                <c:ptCount val="1"/>
                <c:pt idx="0">
                  <c:v> 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C_ENG!$B$37:$I$37</c:f>
              <c:numCache>
                <c:formatCode>0</c:formatCode>
                <c:ptCount val="8"/>
                <c:pt idx="0">
                  <c:v>2000</c:v>
                </c:pt>
                <c:pt idx="1">
                  <c:v>2005</c:v>
                </c:pt>
                <c:pt idx="2">
                  <c:v>2007</c:v>
                </c:pt>
                <c:pt idx="3">
                  <c:v>2009</c:v>
                </c:pt>
                <c:pt idx="4">
                  <c:v>2011</c:v>
                </c:pt>
                <c:pt idx="5">
                  <c:v>2013</c:v>
                </c:pt>
                <c:pt idx="6">
                  <c:v>2015</c:v>
                </c:pt>
                <c:pt idx="7">
                  <c:v>2017</c:v>
                </c:pt>
              </c:numCache>
            </c:numRef>
          </c:cat>
          <c:val>
            <c:numRef>
              <c:f>C_ENG!$B$38:$I$38</c:f>
              <c:numCache>
                <c:formatCode>#,##0.0</c:formatCode>
                <c:ptCount val="8"/>
                <c:pt idx="0">
                  <c:v>0.84261771765280002</c:v>
                </c:pt>
                <c:pt idx="1">
                  <c:v>2.7907141565380078</c:v>
                </c:pt>
                <c:pt idx="2">
                  <c:v>3.9211985078519969</c:v>
                </c:pt>
                <c:pt idx="3">
                  <c:v>4.9704184749370022</c:v>
                </c:pt>
                <c:pt idx="4">
                  <c:v>5.7798090000000002</c:v>
                </c:pt>
                <c:pt idx="5" formatCode="0.0">
                  <c:v>6.0475185798788278</c:v>
                </c:pt>
                <c:pt idx="6">
                  <c:v>6.638458</c:v>
                </c:pt>
                <c:pt idx="7">
                  <c:v>6.8916283517093397</c:v>
                </c:pt>
              </c:numCache>
            </c:numRef>
          </c:val>
          <c:extLst>
            <c:ext xmlns:c16="http://schemas.microsoft.com/office/drawing/2014/chart" uri="{C3380CC4-5D6E-409C-BE32-E72D297353CC}">
              <c16:uniqueId val="{00000000-8916-456A-BEFA-AD28780DA4FB}"/>
            </c:ext>
          </c:extLst>
        </c:ser>
        <c:dLbls>
          <c:showLegendKey val="0"/>
          <c:showVal val="0"/>
          <c:showCatName val="0"/>
          <c:showSerName val="0"/>
          <c:showPercent val="0"/>
          <c:showBubbleSize val="0"/>
        </c:dLbls>
        <c:gapWidth val="50"/>
        <c:axId val="173694976"/>
        <c:axId val="171064064"/>
      </c:barChart>
      <c:lineChart>
        <c:grouping val="standard"/>
        <c:varyColors val="0"/>
        <c:ser>
          <c:idx val="0"/>
          <c:order val="1"/>
          <c:tx>
            <c:strRef>
              <c:f>C_ENG!$A$39</c:f>
              <c:strCache>
                <c:ptCount val="1"/>
                <c:pt idx="0">
                  <c:v> % of all individuals aged 16+</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16-456A-BEFA-AD28780DA4FB}"/>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C_ENG!$B$37:$I$37</c:f>
              <c:numCache>
                <c:formatCode>0</c:formatCode>
                <c:ptCount val="8"/>
                <c:pt idx="0">
                  <c:v>2000</c:v>
                </c:pt>
                <c:pt idx="1">
                  <c:v>2005</c:v>
                </c:pt>
                <c:pt idx="2">
                  <c:v>2007</c:v>
                </c:pt>
                <c:pt idx="3">
                  <c:v>2009</c:v>
                </c:pt>
                <c:pt idx="4">
                  <c:v>2011</c:v>
                </c:pt>
                <c:pt idx="5">
                  <c:v>2013</c:v>
                </c:pt>
                <c:pt idx="6">
                  <c:v>2015</c:v>
                </c:pt>
                <c:pt idx="7">
                  <c:v>2017</c:v>
                </c:pt>
              </c:numCache>
            </c:numRef>
          </c:cat>
          <c:val>
            <c:numRef>
              <c:f>C_ENG!$B$39:$I$39</c:f>
              <c:numCache>
                <c:formatCode>0.0%</c:formatCode>
                <c:ptCount val="8"/>
                <c:pt idx="0">
                  <c:v>9.7805278883439303E-2</c:v>
                </c:pt>
                <c:pt idx="1">
                  <c:v>0.32105700380839802</c:v>
                </c:pt>
                <c:pt idx="2">
                  <c:v>0.45019412878016302</c:v>
                </c:pt>
                <c:pt idx="3">
                  <c:v>0.55940788279018705</c:v>
                </c:pt>
                <c:pt idx="4">
                  <c:v>0.65453824594487098</c:v>
                </c:pt>
                <c:pt idx="5">
                  <c:v>0.687849747908716</c:v>
                </c:pt>
                <c:pt idx="6">
                  <c:v>0.75668835925877898</c:v>
                </c:pt>
                <c:pt idx="7">
                  <c:v>0.78719165488081599</c:v>
                </c:pt>
              </c:numCache>
            </c:numRef>
          </c:val>
          <c:smooth val="0"/>
          <c:extLst>
            <c:ext xmlns:c16="http://schemas.microsoft.com/office/drawing/2014/chart" uri="{C3380CC4-5D6E-409C-BE32-E72D297353CC}">
              <c16:uniqueId val="{00000002-8916-456A-BEFA-AD28780DA4FB}"/>
            </c:ext>
          </c:extLst>
        </c:ser>
        <c:dLbls>
          <c:showLegendKey val="0"/>
          <c:showVal val="0"/>
          <c:showCatName val="0"/>
          <c:showSerName val="0"/>
          <c:showPercent val="0"/>
          <c:showBubbleSize val="0"/>
        </c:dLbls>
        <c:marker val="1"/>
        <c:smooth val="0"/>
        <c:axId val="173696512"/>
        <c:axId val="171064640"/>
      </c:lineChart>
      <c:catAx>
        <c:axId val="173694976"/>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1064064"/>
        <c:crosses val="autoZero"/>
        <c:auto val="1"/>
        <c:lblAlgn val="ctr"/>
        <c:lblOffset val="140"/>
        <c:tickLblSkip val="1"/>
        <c:tickMarkSkip val="1"/>
        <c:noMultiLvlLbl val="0"/>
      </c:catAx>
      <c:valAx>
        <c:axId val="171064064"/>
        <c:scaling>
          <c:orientation val="minMax"/>
          <c:max val="9"/>
          <c:min val="0"/>
        </c:scaling>
        <c:delete val="0"/>
        <c:axPos val="l"/>
        <c:majorGridlines>
          <c:spPr>
            <a:ln w="12700">
              <a:noFill/>
              <a:prstDash val="dash"/>
            </a:ln>
          </c:spPr>
        </c:majorGridlines>
        <c:numFmt formatCode="#,##0.0" sourceLinked="1"/>
        <c:majorTickMark val="none"/>
        <c:minorTickMark val="none"/>
        <c:tickLblPos val="none"/>
        <c:spPr>
          <a:ln w="9525">
            <a:noFill/>
          </a:ln>
        </c:spPr>
        <c:crossAx val="173694976"/>
        <c:crosses val="autoZero"/>
        <c:crossBetween val="between"/>
        <c:majorUnit val="1"/>
        <c:minorUnit val="0.02"/>
      </c:valAx>
      <c:catAx>
        <c:axId val="173696512"/>
        <c:scaling>
          <c:orientation val="minMax"/>
        </c:scaling>
        <c:delete val="1"/>
        <c:axPos val="b"/>
        <c:numFmt formatCode="0" sourceLinked="1"/>
        <c:majorTickMark val="out"/>
        <c:minorTickMark val="none"/>
        <c:tickLblPos val="none"/>
        <c:crossAx val="171064640"/>
        <c:crosses val="autoZero"/>
        <c:auto val="1"/>
        <c:lblAlgn val="ctr"/>
        <c:lblOffset val="100"/>
        <c:noMultiLvlLbl val="0"/>
      </c:catAx>
      <c:valAx>
        <c:axId val="171064640"/>
        <c:scaling>
          <c:orientation val="minMax"/>
          <c:max val="0.9"/>
          <c:min val="0"/>
        </c:scaling>
        <c:delete val="0"/>
        <c:axPos val="r"/>
        <c:numFmt formatCode="0.0%" sourceLinked="1"/>
        <c:majorTickMark val="none"/>
        <c:minorTickMark val="none"/>
        <c:tickLblPos val="none"/>
        <c:spPr>
          <a:ln>
            <a:solidFill>
              <a:schemeClr val="bg1">
                <a:lumMod val="65000"/>
              </a:schemeClr>
            </a:solidFill>
          </a:ln>
        </c:spPr>
        <c:crossAx val="173696512"/>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2.6420261437908502E-2"/>
          <c:y val="0.143577192982456"/>
          <c:w val="0.59989248366013104"/>
          <c:h val="9.7083625730994105E-2"/>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81580687830701"/>
          <c:y val="0.11672027777777801"/>
          <c:w val="0.71699338624338604"/>
          <c:h val="0.70811083333333402"/>
        </c:manualLayout>
      </c:layout>
      <c:barChart>
        <c:barDir val="bar"/>
        <c:grouping val="clustered"/>
        <c:varyColors val="0"/>
        <c:ser>
          <c:idx val="0"/>
          <c:order val="0"/>
          <c:tx>
            <c:strRef>
              <c:f>C_ENG!$B$42</c:f>
              <c:strCache>
                <c:ptCount val="1"/>
                <c:pt idx="0">
                  <c:v> 2007</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C_ENG!$A$43:$A$53</c:f>
              <c:strCache>
                <c:ptCount val="11"/>
                <c:pt idx="0">
                  <c:v>65+ </c:v>
                </c:pt>
                <c:pt idx="1">
                  <c:v>55–64 </c:v>
                </c:pt>
                <c:pt idx="2">
                  <c:v>45–54 </c:v>
                </c:pt>
                <c:pt idx="3">
                  <c:v>35–44 </c:v>
                </c:pt>
                <c:pt idx="4">
                  <c:v>25–34 </c:v>
                </c:pt>
                <c:pt idx="5">
                  <c:v>16–24 </c:v>
                </c:pt>
                <c:pt idx="7">
                  <c:v>Females</c:v>
                </c:pt>
                <c:pt idx="8">
                  <c:v>Males</c:v>
                </c:pt>
                <c:pt idx="10">
                  <c:v>Total</c:v>
                </c:pt>
              </c:strCache>
            </c:strRef>
          </c:cat>
          <c:val>
            <c:numRef>
              <c:f>C_ENG!$B$43:$B$53</c:f>
              <c:numCache>
                <c:formatCode>0%</c:formatCode>
                <c:ptCount val="11"/>
                <c:pt idx="0">
                  <c:v>4.3967906801240603E-2</c:v>
                </c:pt>
                <c:pt idx="1">
                  <c:v>0.249528920966478</c:v>
                </c:pt>
                <c:pt idx="2">
                  <c:v>0.46899151815639101</c:v>
                </c:pt>
                <c:pt idx="3">
                  <c:v>0.59720598656484303</c:v>
                </c:pt>
                <c:pt idx="4">
                  <c:v>0.56412525432518201</c:v>
                </c:pt>
                <c:pt idx="5">
                  <c:v>0.82048872933223504</c:v>
                </c:pt>
                <c:pt idx="7">
                  <c:v>0.41481298661405502</c:v>
                </c:pt>
                <c:pt idx="8">
                  <c:v>0.48788425996581603</c:v>
                </c:pt>
                <c:pt idx="10">
                  <c:v>0.45019412878016302</c:v>
                </c:pt>
              </c:numCache>
            </c:numRef>
          </c:val>
          <c:extLst>
            <c:ext xmlns:c16="http://schemas.microsoft.com/office/drawing/2014/chart" uri="{C3380CC4-5D6E-409C-BE32-E72D297353CC}">
              <c16:uniqueId val="{00000000-BF50-425D-B3A4-970FAAB48033}"/>
            </c:ext>
          </c:extLst>
        </c:ser>
        <c:ser>
          <c:idx val="1"/>
          <c:order val="1"/>
          <c:tx>
            <c:strRef>
              <c:f>C_ENG!$C$42</c:f>
              <c:strCache>
                <c:ptCount val="1"/>
                <c:pt idx="0">
                  <c:v> 2017</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0-425D-B3A4-970FAAB48033}"/>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C_ENG!$A$43:$A$53</c:f>
              <c:strCache>
                <c:ptCount val="11"/>
                <c:pt idx="0">
                  <c:v>65+ </c:v>
                </c:pt>
                <c:pt idx="1">
                  <c:v>55–64 </c:v>
                </c:pt>
                <c:pt idx="2">
                  <c:v>45–54 </c:v>
                </c:pt>
                <c:pt idx="3">
                  <c:v>35–44 </c:v>
                </c:pt>
                <c:pt idx="4">
                  <c:v>25–34 </c:v>
                </c:pt>
                <c:pt idx="5">
                  <c:v>16–24 </c:v>
                </c:pt>
                <c:pt idx="7">
                  <c:v>Females</c:v>
                </c:pt>
                <c:pt idx="8">
                  <c:v>Males</c:v>
                </c:pt>
                <c:pt idx="10">
                  <c:v>Total</c:v>
                </c:pt>
              </c:strCache>
            </c:strRef>
          </c:cat>
          <c:val>
            <c:numRef>
              <c:f>C_ENG!$C$43:$C$53</c:f>
              <c:numCache>
                <c:formatCode>0%</c:formatCode>
                <c:ptCount val="11"/>
                <c:pt idx="0">
                  <c:v>0.33642061661068501</c:v>
                </c:pt>
                <c:pt idx="1">
                  <c:v>0.75334294733324403</c:v>
                </c:pt>
                <c:pt idx="2">
                  <c:v>0.91607345485144598</c:v>
                </c:pt>
                <c:pt idx="3">
                  <c:v>0.96655258513065501</c:v>
                </c:pt>
                <c:pt idx="4">
                  <c:v>0.96894369058724605</c:v>
                </c:pt>
                <c:pt idx="5">
                  <c:v>0.99025539676034202</c:v>
                </c:pt>
                <c:pt idx="7">
                  <c:v>0.76029244372832205</c:v>
                </c:pt>
                <c:pt idx="8">
                  <c:v>0.81626444461178005</c:v>
                </c:pt>
                <c:pt idx="10">
                  <c:v>0.78719165488081599</c:v>
                </c:pt>
              </c:numCache>
            </c:numRef>
          </c:val>
          <c:extLst>
            <c:ext xmlns:c16="http://schemas.microsoft.com/office/drawing/2014/chart" uri="{C3380CC4-5D6E-409C-BE32-E72D297353CC}">
              <c16:uniqueId val="{00000002-BF50-425D-B3A4-970FAAB48033}"/>
            </c:ext>
          </c:extLst>
        </c:ser>
        <c:dLbls>
          <c:showLegendKey val="0"/>
          <c:showVal val="0"/>
          <c:showCatName val="0"/>
          <c:showSerName val="0"/>
          <c:showPercent val="0"/>
          <c:showBubbleSize val="0"/>
        </c:dLbls>
        <c:gapWidth val="30"/>
        <c:axId val="173756416"/>
        <c:axId val="170508864"/>
      </c:barChart>
      <c:catAx>
        <c:axId val="173756416"/>
        <c:scaling>
          <c:orientation val="minMax"/>
        </c:scaling>
        <c:delete val="0"/>
        <c:axPos val="l"/>
        <c:numFmt formatCode="General" sourceLinked="1"/>
        <c:majorTickMark val="out"/>
        <c:minorTickMark val="none"/>
        <c:tickLblPos val="nextTo"/>
        <c:spPr>
          <a:ln w="3175">
            <a:solidFill>
              <a:schemeClr val="tx1"/>
            </a:solidFill>
          </a:ln>
        </c:spPr>
        <c:crossAx val="170508864"/>
        <c:crosses val="autoZero"/>
        <c:auto val="1"/>
        <c:lblAlgn val="ctr"/>
        <c:lblOffset val="100"/>
        <c:noMultiLvlLbl val="0"/>
      </c:catAx>
      <c:valAx>
        <c:axId val="170508864"/>
        <c:scaling>
          <c:orientation val="minMax"/>
          <c:max val="1"/>
        </c:scaling>
        <c:delete val="0"/>
        <c:axPos val="b"/>
        <c:numFmt formatCode="0%" sourceLinked="1"/>
        <c:majorTickMark val="none"/>
        <c:minorTickMark val="none"/>
        <c:tickLblPos val="none"/>
        <c:crossAx val="173756416"/>
        <c:crosses val="autoZero"/>
        <c:crossBetween val="between"/>
        <c:majorUnit val="0.1"/>
        <c:minorUnit val="0.05"/>
      </c:valAx>
      <c:spPr>
        <a:ln w="12700">
          <a:solidFill>
            <a:schemeClr val="bg1">
              <a:lumMod val="65000"/>
            </a:schemeClr>
          </a:solidFill>
        </a:ln>
      </c:spPr>
    </c:plotArea>
    <c:legend>
      <c:legendPos val="r"/>
      <c:layout>
        <c:manualLayout>
          <c:xMode val="edge"/>
          <c:yMode val="edge"/>
          <c:x val="0.60261078042327998"/>
          <c:y val="0.17767690058479499"/>
          <c:w val="0.33313888888888898"/>
          <c:h val="6.14416666666667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a:t>
            </a:r>
            <a:r>
              <a:rPr lang="cs-CZ" sz="800"/>
              <a:t>5</a:t>
            </a:r>
            <a:r>
              <a:rPr lang="en-US" sz="800"/>
              <a:t> Individuals in EU countries </a:t>
            </a:r>
            <a:r>
              <a:rPr lang="cs-CZ" sz="800" b="1" i="0" u="none" strike="noStrike" baseline="0">
                <a:effectLst/>
              </a:rPr>
              <a:t>aged 16–74 </a:t>
            </a:r>
            <a:r>
              <a:rPr lang="en-US" sz="800"/>
              <a:t>using the internet </a:t>
            </a:r>
            <a:r>
              <a:rPr lang="cs-CZ" sz="800"/>
              <a:t>–</a:t>
            </a:r>
            <a:r>
              <a:rPr lang="en-US" sz="800"/>
              <a:t> internet users (%)</a:t>
            </a:r>
            <a:r>
              <a:rPr lang="cs-CZ" sz="800"/>
              <a:t>*</a:t>
            </a:r>
            <a:endParaRPr lang="en-US" sz="800"/>
          </a:p>
        </c:rich>
      </c:tx>
      <c:overlay val="1"/>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C_ENG!$B$75</c:f>
              <c:strCache>
                <c:ptCount val="1"/>
                <c:pt idx="0">
                  <c:v> 2017</c:v>
                </c:pt>
              </c:strCache>
            </c:strRef>
          </c:tx>
          <c:spPr>
            <a:solidFill>
              <a:srgbClr val="009BB4"/>
            </a:solidFill>
          </c:spPr>
          <c:invertIfNegative val="0"/>
          <c:dPt>
            <c:idx val="11"/>
            <c:invertIfNegative val="0"/>
            <c:bubble3D val="0"/>
            <c:spPr>
              <a:solidFill>
                <a:srgbClr val="009BB4"/>
              </a:solidFill>
              <a:ln>
                <a:solidFill>
                  <a:srgbClr val="FF0000"/>
                </a:solidFill>
              </a:ln>
            </c:spPr>
            <c:extLst>
              <c:ext xmlns:c16="http://schemas.microsoft.com/office/drawing/2014/chart" uri="{C3380CC4-5D6E-409C-BE32-E72D297353CC}">
                <c16:uniqueId val="{00000001-8696-494C-9097-F5AC047A451F}"/>
              </c:ext>
            </c:extLst>
          </c:dPt>
          <c:dPt>
            <c:idx val="13"/>
            <c:invertIfNegative val="0"/>
            <c:bubble3D val="0"/>
            <c:spPr>
              <a:solidFill>
                <a:srgbClr val="009BB4"/>
              </a:solidFill>
              <a:ln>
                <a:solidFill>
                  <a:srgbClr val="FF0000"/>
                </a:solidFill>
              </a:ln>
            </c:spPr>
            <c:extLst>
              <c:ext xmlns:c16="http://schemas.microsoft.com/office/drawing/2014/chart" uri="{C3380CC4-5D6E-409C-BE32-E72D297353CC}">
                <c16:uniqueId val="{00000003-8696-494C-9097-F5AC047A451F}"/>
              </c:ext>
            </c:extLst>
          </c:dPt>
          <c:dLbls>
            <c:dLbl>
              <c:idx val="3"/>
              <c:layout>
                <c:manualLayout>
                  <c:x val="-3.2168045873505802E-7"/>
                  <c:y val="7.845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96-494C-9097-F5AC047A451F}"/>
                </c:ext>
              </c:extLst>
            </c:dLbl>
            <c:dLbl>
              <c:idx val="5"/>
              <c:layout>
                <c:manualLayout>
                  <c:x val="0"/>
                  <c:y val="9.8052469135802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96-494C-9097-F5AC047A451F}"/>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C_ENG!$A$76:$A$104</c:f>
              <c:strCache>
                <c:ptCount val="29"/>
                <c:pt idx="0">
                  <c:v>Luxembourg </c:v>
                </c:pt>
                <c:pt idx="1">
                  <c:v>Denmark</c:v>
                </c:pt>
                <c:pt idx="2">
                  <c:v>Sweden</c:v>
                </c:pt>
                <c:pt idx="3">
                  <c:v>Netherlands</c:v>
                </c:pt>
                <c:pt idx="4">
                  <c:v>United Kingdom</c:v>
                </c:pt>
                <c:pt idx="5">
                  <c:v>Finland</c:v>
                </c:pt>
                <c:pt idx="6">
                  <c:v>Germany</c:v>
                </c:pt>
                <c:pt idx="7">
                  <c:v>Estonia</c:v>
                </c:pt>
                <c:pt idx="8">
                  <c:v>Austria</c:v>
                </c:pt>
                <c:pt idx="9">
                  <c:v>Belgium</c:v>
                </c:pt>
                <c:pt idx="10">
                  <c:v>France</c:v>
                </c:pt>
                <c:pt idx="11">
                  <c:v>Czech Republic</c:v>
                </c:pt>
                <c:pt idx="12">
                  <c:v>Spain</c:v>
                </c:pt>
                <c:pt idx="13">
                  <c:v>EU28</c:v>
                </c:pt>
                <c:pt idx="14">
                  <c:v>Slovakia</c:v>
                </c:pt>
                <c:pt idx="15">
                  <c:v>Latvia</c:v>
                </c:pt>
                <c:pt idx="16">
                  <c:v>Ireland</c:v>
                </c:pt>
                <c:pt idx="17">
                  <c:v>Cyprus</c:v>
                </c:pt>
                <c:pt idx="18">
                  <c:v>Malta</c:v>
                </c:pt>
                <c:pt idx="19">
                  <c:v>Slovenia</c:v>
                </c:pt>
                <c:pt idx="20">
                  <c:v>Lithuania</c:v>
                </c:pt>
                <c:pt idx="21">
                  <c:v>Hungary</c:v>
                </c:pt>
                <c:pt idx="22">
                  <c:v>Poland</c:v>
                </c:pt>
                <c:pt idx="23">
                  <c:v>Portugal</c:v>
                </c:pt>
                <c:pt idx="24">
                  <c:v>Italy</c:v>
                </c:pt>
                <c:pt idx="25">
                  <c:v>Greece</c:v>
                </c:pt>
                <c:pt idx="26">
                  <c:v>Croatia</c:v>
                </c:pt>
                <c:pt idx="27">
                  <c:v>Romania</c:v>
                </c:pt>
                <c:pt idx="28">
                  <c:v>Bulgaria</c:v>
                </c:pt>
              </c:strCache>
            </c:strRef>
          </c:cat>
          <c:val>
            <c:numRef>
              <c:f>C_ENG!$B$76:$B$104</c:f>
              <c:numCache>
                <c:formatCode>0%</c:formatCode>
                <c:ptCount val="29"/>
                <c:pt idx="0">
                  <c:v>0.97363</c:v>
                </c:pt>
                <c:pt idx="1">
                  <c:v>0.97099400000000002</c:v>
                </c:pt>
                <c:pt idx="2">
                  <c:v>0.96190299999999995</c:v>
                </c:pt>
                <c:pt idx="3">
                  <c:v>0.95329799999999998</c:v>
                </c:pt>
                <c:pt idx="4">
                  <c:v>0.94618000000000002</c:v>
                </c:pt>
                <c:pt idx="5">
                  <c:v>0.93679100000000004</c:v>
                </c:pt>
                <c:pt idx="6">
                  <c:v>0.90253399999999995</c:v>
                </c:pt>
                <c:pt idx="7">
                  <c:v>0.88104400000000005</c:v>
                </c:pt>
                <c:pt idx="8">
                  <c:v>0.87935600000000003</c:v>
                </c:pt>
                <c:pt idx="9">
                  <c:v>0.87679700000000005</c:v>
                </c:pt>
                <c:pt idx="10">
                  <c:v>0.86555599999999999</c:v>
                </c:pt>
                <c:pt idx="11">
                  <c:v>0.84637200000000001</c:v>
                </c:pt>
                <c:pt idx="12">
                  <c:v>0.84602200000000005</c:v>
                </c:pt>
                <c:pt idx="13">
                  <c:v>0.83610700000000004</c:v>
                </c:pt>
                <c:pt idx="14">
                  <c:v>0.81625700000000001</c:v>
                </c:pt>
                <c:pt idx="15">
                  <c:v>0.81315800000000005</c:v>
                </c:pt>
                <c:pt idx="16">
                  <c:v>0.81239499999999998</c:v>
                </c:pt>
                <c:pt idx="17">
                  <c:v>0.80743100000000001</c:v>
                </c:pt>
                <c:pt idx="18">
                  <c:v>0.800736</c:v>
                </c:pt>
                <c:pt idx="19">
                  <c:v>0.78885400000000006</c:v>
                </c:pt>
                <c:pt idx="20">
                  <c:v>0.77615299999999998</c:v>
                </c:pt>
                <c:pt idx="21">
                  <c:v>0.76750499999999999</c:v>
                </c:pt>
                <c:pt idx="22">
                  <c:v>0.75985400000000003</c:v>
                </c:pt>
                <c:pt idx="23">
                  <c:v>0.73791200000000001</c:v>
                </c:pt>
                <c:pt idx="24">
                  <c:v>0.70970200000000006</c:v>
                </c:pt>
                <c:pt idx="25">
                  <c:v>0.69893000000000005</c:v>
                </c:pt>
                <c:pt idx="26">
                  <c:v>0.67096199999999995</c:v>
                </c:pt>
                <c:pt idx="27">
                  <c:v>0.63749500000000003</c:v>
                </c:pt>
                <c:pt idx="28">
                  <c:v>0.63410100000000003</c:v>
                </c:pt>
              </c:numCache>
            </c:numRef>
          </c:val>
          <c:extLst>
            <c:ext xmlns:c16="http://schemas.microsoft.com/office/drawing/2014/chart" uri="{C3380CC4-5D6E-409C-BE32-E72D297353CC}">
              <c16:uniqueId val="{00000006-8696-494C-9097-F5AC047A451F}"/>
            </c:ext>
          </c:extLst>
        </c:ser>
        <c:dLbls>
          <c:showLegendKey val="0"/>
          <c:showVal val="0"/>
          <c:showCatName val="0"/>
          <c:showSerName val="0"/>
          <c:showPercent val="0"/>
          <c:showBubbleSize val="0"/>
        </c:dLbls>
        <c:gapWidth val="50"/>
        <c:axId val="173756928"/>
        <c:axId val="170510592"/>
      </c:barChart>
      <c:barChart>
        <c:barDir val="col"/>
        <c:grouping val="clustered"/>
        <c:varyColors val="0"/>
        <c:ser>
          <c:idx val="1"/>
          <c:order val="1"/>
          <c:tx>
            <c:strRef>
              <c:f>C_ENG!$C$75</c:f>
              <c:strCache>
                <c:ptCount val="1"/>
                <c:pt idx="0">
                  <c:v> 2007</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C_ENG!$A$76:$A$104</c:f>
              <c:strCache>
                <c:ptCount val="29"/>
                <c:pt idx="0">
                  <c:v>Luxembourg </c:v>
                </c:pt>
                <c:pt idx="1">
                  <c:v>Denmark</c:v>
                </c:pt>
                <c:pt idx="2">
                  <c:v>Sweden</c:v>
                </c:pt>
                <c:pt idx="3">
                  <c:v>Netherlands</c:v>
                </c:pt>
                <c:pt idx="4">
                  <c:v>United Kingdom</c:v>
                </c:pt>
                <c:pt idx="5">
                  <c:v>Finland</c:v>
                </c:pt>
                <c:pt idx="6">
                  <c:v>Germany</c:v>
                </c:pt>
                <c:pt idx="7">
                  <c:v>Estonia</c:v>
                </c:pt>
                <c:pt idx="8">
                  <c:v>Austria</c:v>
                </c:pt>
                <c:pt idx="9">
                  <c:v>Belgium</c:v>
                </c:pt>
                <c:pt idx="10">
                  <c:v>France</c:v>
                </c:pt>
                <c:pt idx="11">
                  <c:v>Czech Republic</c:v>
                </c:pt>
                <c:pt idx="12">
                  <c:v>Spain</c:v>
                </c:pt>
                <c:pt idx="13">
                  <c:v>EU28</c:v>
                </c:pt>
                <c:pt idx="14">
                  <c:v>Slovakia</c:v>
                </c:pt>
                <c:pt idx="15">
                  <c:v>Latvia</c:v>
                </c:pt>
                <c:pt idx="16">
                  <c:v>Ireland</c:v>
                </c:pt>
                <c:pt idx="17">
                  <c:v>Cyprus</c:v>
                </c:pt>
                <c:pt idx="18">
                  <c:v>Malta</c:v>
                </c:pt>
                <c:pt idx="19">
                  <c:v>Slovenia</c:v>
                </c:pt>
                <c:pt idx="20">
                  <c:v>Lithuania</c:v>
                </c:pt>
                <c:pt idx="21">
                  <c:v>Hungary</c:v>
                </c:pt>
                <c:pt idx="22">
                  <c:v>Poland</c:v>
                </c:pt>
                <c:pt idx="23">
                  <c:v>Portugal</c:v>
                </c:pt>
                <c:pt idx="24">
                  <c:v>Italy</c:v>
                </c:pt>
                <c:pt idx="25">
                  <c:v>Greece</c:v>
                </c:pt>
                <c:pt idx="26">
                  <c:v>Croatia</c:v>
                </c:pt>
                <c:pt idx="27">
                  <c:v>Romania</c:v>
                </c:pt>
                <c:pt idx="28">
                  <c:v>Bulgaria</c:v>
                </c:pt>
              </c:strCache>
            </c:strRef>
          </c:cat>
          <c:val>
            <c:numRef>
              <c:f>C_ENG!$C$76:$C$104</c:f>
              <c:numCache>
                <c:formatCode>0%</c:formatCode>
                <c:ptCount val="29"/>
                <c:pt idx="0">
                  <c:v>0.78140100000000001</c:v>
                </c:pt>
                <c:pt idx="1">
                  <c:v>0.81369000000000002</c:v>
                </c:pt>
                <c:pt idx="2">
                  <c:v>0.80045100000000002</c:v>
                </c:pt>
                <c:pt idx="3">
                  <c:v>0.84380299999999997</c:v>
                </c:pt>
                <c:pt idx="4">
                  <c:v>0.71874199999999999</c:v>
                </c:pt>
                <c:pt idx="5">
                  <c:v>0.790825</c:v>
                </c:pt>
                <c:pt idx="6">
                  <c:v>0.72414999999999996</c:v>
                </c:pt>
                <c:pt idx="7">
                  <c:v>0.63249</c:v>
                </c:pt>
                <c:pt idx="8">
                  <c:v>0.66870700000000005</c:v>
                </c:pt>
                <c:pt idx="9">
                  <c:v>0.66760399999999998</c:v>
                </c:pt>
                <c:pt idx="10">
                  <c:v>0.61690699999999998</c:v>
                </c:pt>
                <c:pt idx="11">
                  <c:v>0.48636800000000002</c:v>
                </c:pt>
                <c:pt idx="12">
                  <c:v>0.51481500000000002</c:v>
                </c:pt>
                <c:pt idx="13">
                  <c:v>0.56946799999999997</c:v>
                </c:pt>
                <c:pt idx="14">
                  <c:v>0.56251200000000001</c:v>
                </c:pt>
                <c:pt idx="15">
                  <c:v>0.55485200000000001</c:v>
                </c:pt>
                <c:pt idx="16">
                  <c:v>0.57609399999999999</c:v>
                </c:pt>
                <c:pt idx="17">
                  <c:v>0.381191</c:v>
                </c:pt>
                <c:pt idx="18">
                  <c:v>0.45332499999999998</c:v>
                </c:pt>
                <c:pt idx="19">
                  <c:v>0.53298500000000004</c:v>
                </c:pt>
                <c:pt idx="20">
                  <c:v>0.48695899999999998</c:v>
                </c:pt>
                <c:pt idx="21">
                  <c:v>0.51098600000000005</c:v>
                </c:pt>
                <c:pt idx="22">
                  <c:v>0.44123299999999999</c:v>
                </c:pt>
                <c:pt idx="23">
                  <c:v>0.396231</c:v>
                </c:pt>
                <c:pt idx="24">
                  <c:v>0.38283699999999998</c:v>
                </c:pt>
                <c:pt idx="25">
                  <c:v>0.334036</c:v>
                </c:pt>
                <c:pt idx="26">
                  <c:v>0.38032899999999997</c:v>
                </c:pt>
                <c:pt idx="27">
                  <c:v>0.24404200000000001</c:v>
                </c:pt>
                <c:pt idx="28">
                  <c:v>0.30783199999999999</c:v>
                </c:pt>
              </c:numCache>
            </c:numRef>
          </c:val>
          <c:extLst>
            <c:ext xmlns:c16="http://schemas.microsoft.com/office/drawing/2014/chart" uri="{C3380CC4-5D6E-409C-BE32-E72D297353CC}">
              <c16:uniqueId val="{00000007-8696-494C-9097-F5AC047A451F}"/>
            </c:ext>
          </c:extLst>
        </c:ser>
        <c:dLbls>
          <c:showLegendKey val="0"/>
          <c:showVal val="0"/>
          <c:showCatName val="0"/>
          <c:showSerName val="0"/>
          <c:showPercent val="0"/>
          <c:showBubbleSize val="0"/>
        </c:dLbls>
        <c:gapWidth val="200"/>
        <c:axId val="174961152"/>
        <c:axId val="170511168"/>
      </c:barChart>
      <c:catAx>
        <c:axId val="173756928"/>
        <c:scaling>
          <c:orientation val="minMax"/>
        </c:scaling>
        <c:delete val="0"/>
        <c:axPos val="b"/>
        <c:numFmt formatCode="General" sourceLinked="0"/>
        <c:majorTickMark val="out"/>
        <c:minorTickMark val="none"/>
        <c:tickLblPos val="nextTo"/>
        <c:spPr>
          <a:ln w="3175">
            <a:solidFill>
              <a:schemeClr val="tx1"/>
            </a:solidFill>
          </a:ln>
        </c:spPr>
        <c:crossAx val="170510592"/>
        <c:crosses val="autoZero"/>
        <c:auto val="1"/>
        <c:lblAlgn val="ctr"/>
        <c:lblOffset val="100"/>
        <c:noMultiLvlLbl val="0"/>
      </c:catAx>
      <c:valAx>
        <c:axId val="170510592"/>
        <c:scaling>
          <c:orientation val="minMax"/>
          <c:max val="1"/>
          <c:min val="0"/>
        </c:scaling>
        <c:delete val="1"/>
        <c:axPos val="l"/>
        <c:numFmt formatCode="0%" sourceLinked="1"/>
        <c:majorTickMark val="out"/>
        <c:minorTickMark val="none"/>
        <c:tickLblPos val="nextTo"/>
        <c:crossAx val="173756928"/>
        <c:crosses val="autoZero"/>
        <c:crossBetween val="between"/>
        <c:majorUnit val="0.1"/>
        <c:minorUnit val="0.05"/>
      </c:valAx>
      <c:valAx>
        <c:axId val="170511168"/>
        <c:scaling>
          <c:orientation val="minMax"/>
          <c:max val="1"/>
        </c:scaling>
        <c:delete val="0"/>
        <c:axPos val="r"/>
        <c:numFmt formatCode="0%" sourceLinked="1"/>
        <c:majorTickMark val="none"/>
        <c:minorTickMark val="none"/>
        <c:tickLblPos val="none"/>
        <c:crossAx val="174961152"/>
        <c:crosses val="max"/>
        <c:crossBetween val="between"/>
      </c:valAx>
      <c:catAx>
        <c:axId val="174961152"/>
        <c:scaling>
          <c:orientation val="minMax"/>
        </c:scaling>
        <c:delete val="1"/>
        <c:axPos val="b"/>
        <c:numFmt formatCode="General" sourceLinked="0"/>
        <c:majorTickMark val="out"/>
        <c:minorTickMark val="none"/>
        <c:tickLblPos val="none"/>
        <c:crossAx val="1705111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8138917706096598"/>
          <c:y val="0.128610802469136"/>
          <c:w val="6.9586721030664295E-2"/>
          <c:h val="0.116382098765432"/>
        </c:manualLayout>
      </c:layout>
      <c:overlay val="0"/>
      <c:spPr>
        <a:solidFill>
          <a:schemeClr val="bg1"/>
        </a:solidFill>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C6 Individuals in the Czech Republic</a:t>
            </a:r>
            <a:r>
              <a:rPr lang="cs-CZ" sz="800" b="1" baseline="0"/>
              <a:t> </a:t>
            </a:r>
            <a:r>
              <a:rPr lang="cs-CZ" sz="800" b="1"/>
              <a:t>aged 16+ who have never used the internet</a:t>
            </a:r>
            <a:endParaRPr lang="en-US" sz="800" b="1"/>
          </a:p>
        </c:rich>
      </c:tx>
      <c:layout>
        <c:manualLayout>
          <c:xMode val="edge"/>
          <c:yMode val="edge"/>
          <c:x val="0.13602810846560801"/>
          <c:y val="1.861875E-2"/>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C_ENG!$A$109</c:f>
              <c:strCache>
                <c:ptCount val="1"/>
                <c:pt idx="0">
                  <c:v> 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C_ENG!$B$108:$H$108</c:f>
              <c:numCache>
                <c:formatCode>0</c:formatCode>
                <c:ptCount val="7"/>
                <c:pt idx="0">
                  <c:v>2005</c:v>
                </c:pt>
                <c:pt idx="1">
                  <c:v>2007</c:v>
                </c:pt>
                <c:pt idx="2">
                  <c:v>2009</c:v>
                </c:pt>
                <c:pt idx="3">
                  <c:v>2011</c:v>
                </c:pt>
                <c:pt idx="4">
                  <c:v>2013</c:v>
                </c:pt>
                <c:pt idx="5">
                  <c:v>2015</c:v>
                </c:pt>
                <c:pt idx="6">
                  <c:v>2017</c:v>
                </c:pt>
              </c:numCache>
            </c:numRef>
          </c:cat>
          <c:val>
            <c:numRef>
              <c:f>C_ENG!$B$109:$H$109</c:f>
              <c:numCache>
                <c:formatCode>#,##0.0</c:formatCode>
                <c:ptCount val="7"/>
                <c:pt idx="0">
                  <c:v>5.4199982441820804</c:v>
                </c:pt>
                <c:pt idx="1">
                  <c:v>4.3003544975749897</c:v>
                </c:pt>
                <c:pt idx="2">
                  <c:v>3.330805821500999</c:v>
                </c:pt>
                <c:pt idx="3">
                  <c:v>2.5664814521317969</c:v>
                </c:pt>
                <c:pt idx="4">
                  <c:v>2.0134216418149999</c:v>
                </c:pt>
                <c:pt idx="5" formatCode="0.0">
                  <c:v>1.6436317256108319</c:v>
                </c:pt>
                <c:pt idx="6">
                  <c:v>1.44543477117332</c:v>
                </c:pt>
              </c:numCache>
            </c:numRef>
          </c:val>
          <c:extLst>
            <c:ext xmlns:c16="http://schemas.microsoft.com/office/drawing/2014/chart" uri="{C3380CC4-5D6E-409C-BE32-E72D297353CC}">
              <c16:uniqueId val="{00000000-5696-4013-8414-7D67D16AED29}"/>
            </c:ext>
          </c:extLst>
        </c:ser>
        <c:dLbls>
          <c:showLegendKey val="0"/>
          <c:showVal val="0"/>
          <c:showCatName val="0"/>
          <c:showSerName val="0"/>
          <c:showPercent val="0"/>
          <c:showBubbleSize val="0"/>
        </c:dLbls>
        <c:gapWidth val="50"/>
        <c:axId val="174963200"/>
        <c:axId val="170514048"/>
      </c:barChart>
      <c:lineChart>
        <c:grouping val="standard"/>
        <c:varyColors val="0"/>
        <c:ser>
          <c:idx val="0"/>
          <c:order val="1"/>
          <c:tx>
            <c:strRef>
              <c:f>C_ENG!$A$110</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96-4013-8414-7D67D16AED29}"/>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C_ENG!$B$108:$H$108</c:f>
              <c:numCache>
                <c:formatCode>0</c:formatCode>
                <c:ptCount val="7"/>
                <c:pt idx="0">
                  <c:v>2005</c:v>
                </c:pt>
                <c:pt idx="1">
                  <c:v>2007</c:v>
                </c:pt>
                <c:pt idx="2">
                  <c:v>2009</c:v>
                </c:pt>
                <c:pt idx="3">
                  <c:v>2011</c:v>
                </c:pt>
                <c:pt idx="4">
                  <c:v>2013</c:v>
                </c:pt>
                <c:pt idx="5">
                  <c:v>2015</c:v>
                </c:pt>
                <c:pt idx="6">
                  <c:v>2017</c:v>
                </c:pt>
              </c:numCache>
            </c:numRef>
          </c:cat>
          <c:val>
            <c:numRef>
              <c:f>C_ENG!$B$110:$H$110</c:f>
              <c:numCache>
                <c:formatCode>0.0%</c:formatCode>
                <c:ptCount val="7"/>
                <c:pt idx="0">
                  <c:v>0.62354232619889205</c:v>
                </c:pt>
                <c:pt idx="1">
                  <c:v>0.49372515637881698</c:v>
                </c:pt>
                <c:pt idx="2">
                  <c:v>0.37487367351191397</c:v>
                </c:pt>
                <c:pt idx="3">
                  <c:v>0.290642868636041</c:v>
                </c:pt>
                <c:pt idx="4">
                  <c:v>0.22900823709149601</c:v>
                </c:pt>
                <c:pt idx="5">
                  <c:v>0.18735024159927699</c:v>
                </c:pt>
                <c:pt idx="6">
                  <c:v>0.16510382328727599</c:v>
                </c:pt>
              </c:numCache>
            </c:numRef>
          </c:val>
          <c:smooth val="0"/>
          <c:extLst>
            <c:ext xmlns:c16="http://schemas.microsoft.com/office/drawing/2014/chart" uri="{C3380CC4-5D6E-409C-BE32-E72D297353CC}">
              <c16:uniqueId val="{00000002-5696-4013-8414-7D67D16AED29}"/>
            </c:ext>
          </c:extLst>
        </c:ser>
        <c:dLbls>
          <c:showLegendKey val="0"/>
          <c:showVal val="0"/>
          <c:showCatName val="0"/>
          <c:showSerName val="0"/>
          <c:showPercent val="0"/>
          <c:showBubbleSize val="0"/>
        </c:dLbls>
        <c:marker val="1"/>
        <c:smooth val="0"/>
        <c:axId val="174962688"/>
        <c:axId val="170514624"/>
      </c:lineChart>
      <c:catAx>
        <c:axId val="174963200"/>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0514048"/>
        <c:crosses val="autoZero"/>
        <c:auto val="1"/>
        <c:lblAlgn val="ctr"/>
        <c:lblOffset val="140"/>
        <c:tickLblSkip val="1"/>
        <c:tickMarkSkip val="1"/>
        <c:noMultiLvlLbl val="0"/>
      </c:catAx>
      <c:valAx>
        <c:axId val="170514048"/>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174963200"/>
        <c:crosses val="autoZero"/>
        <c:crossBetween val="between"/>
        <c:majorUnit val="1"/>
        <c:minorUnit val="0.02"/>
      </c:valAx>
      <c:catAx>
        <c:axId val="174962688"/>
        <c:scaling>
          <c:orientation val="minMax"/>
        </c:scaling>
        <c:delete val="1"/>
        <c:axPos val="b"/>
        <c:numFmt formatCode="0" sourceLinked="1"/>
        <c:majorTickMark val="out"/>
        <c:minorTickMark val="none"/>
        <c:tickLblPos val="none"/>
        <c:crossAx val="170514624"/>
        <c:crosses val="autoZero"/>
        <c:auto val="1"/>
        <c:lblAlgn val="ctr"/>
        <c:lblOffset val="100"/>
        <c:noMultiLvlLbl val="0"/>
      </c:catAx>
      <c:valAx>
        <c:axId val="170514624"/>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174962688"/>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0.44975359477124199"/>
          <c:y val="0.15471728395061701"/>
          <c:w val="0.50443495934959404"/>
          <c:h val="0.134218148148148"/>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a:t>
            </a:r>
            <a:r>
              <a:rPr lang="cs-CZ" sz="800"/>
              <a:t>7</a:t>
            </a:r>
            <a:r>
              <a:rPr lang="en-US" sz="800"/>
              <a:t> Individuals </a:t>
            </a:r>
            <a:r>
              <a:rPr lang="cs-CZ" sz="800"/>
              <a:t>in</a:t>
            </a:r>
            <a:r>
              <a:rPr lang="cs-CZ" sz="800" baseline="0"/>
              <a:t> the Czech Republic </a:t>
            </a:r>
            <a:r>
              <a:rPr lang="en-US" sz="800"/>
              <a:t>aged 55 to 74 by usage of the internet</a:t>
            </a:r>
            <a:r>
              <a:rPr lang="cs-CZ" sz="800"/>
              <a:t> (%)</a:t>
            </a:r>
            <a:r>
              <a:rPr lang="en-US" sz="800"/>
              <a:t> </a:t>
            </a:r>
          </a:p>
        </c:rich>
      </c:tx>
      <c:overlay val="1"/>
    </c:title>
    <c:autoTitleDeleted val="0"/>
    <c:plotArea>
      <c:layout>
        <c:manualLayout>
          <c:layoutTarget val="inner"/>
          <c:xMode val="edge"/>
          <c:yMode val="edge"/>
          <c:x val="1.31955040803099E-2"/>
          <c:y val="0.15072976190476201"/>
          <c:w val="0.97150662756452799"/>
          <c:h val="0.49697301587301601"/>
        </c:manualLayout>
      </c:layout>
      <c:barChart>
        <c:barDir val="col"/>
        <c:grouping val="percentStacked"/>
        <c:varyColors val="0"/>
        <c:ser>
          <c:idx val="2"/>
          <c:order val="0"/>
          <c:tx>
            <c:strRef>
              <c:f>C_ENG!$A$114</c:f>
              <c:strCache>
                <c:ptCount val="1"/>
                <c:pt idx="0">
                  <c:v> Internet regular users (at least once a week)</c:v>
                </c:pt>
              </c:strCache>
            </c:strRef>
          </c:tx>
          <c:spPr>
            <a:solidFill>
              <a:srgbClr val="009BB4"/>
            </a:solidFill>
          </c:spPr>
          <c:invertIfNegative val="0"/>
          <c:dLbls>
            <c:spPr>
              <a:noFill/>
              <a:ln>
                <a:noFill/>
              </a:ln>
              <a:effectLst/>
            </c:spPr>
            <c:txPr>
              <a:bodyPr rot="0" vert="horz"/>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C_ENG!$B$113:$H$113</c:f>
              <c:numCache>
                <c:formatCode>General</c:formatCode>
                <c:ptCount val="7"/>
                <c:pt idx="0">
                  <c:v>2005</c:v>
                </c:pt>
                <c:pt idx="1">
                  <c:v>2007</c:v>
                </c:pt>
                <c:pt idx="2">
                  <c:v>2009</c:v>
                </c:pt>
                <c:pt idx="3">
                  <c:v>2011</c:v>
                </c:pt>
                <c:pt idx="4">
                  <c:v>2013</c:v>
                </c:pt>
                <c:pt idx="5">
                  <c:v>2015</c:v>
                </c:pt>
                <c:pt idx="6">
                  <c:v>2017</c:v>
                </c:pt>
              </c:numCache>
            </c:numRef>
          </c:cat>
          <c:val>
            <c:numRef>
              <c:f>C_ENG!$B$114:$H$114</c:f>
              <c:numCache>
                <c:formatCode>0%</c:formatCode>
                <c:ptCount val="7"/>
                <c:pt idx="0">
                  <c:v>5.2080000000000098E-2</c:v>
                </c:pt>
                <c:pt idx="1">
                  <c:v>0.15567400000000001</c:v>
                </c:pt>
                <c:pt idx="2">
                  <c:v>0.23078399999999999</c:v>
                </c:pt>
                <c:pt idx="3">
                  <c:v>0.306259</c:v>
                </c:pt>
                <c:pt idx="4">
                  <c:v>0.39108500000000002</c:v>
                </c:pt>
                <c:pt idx="5">
                  <c:v>0.48489700000000002</c:v>
                </c:pt>
                <c:pt idx="6">
                  <c:v>0.53968078255215901</c:v>
                </c:pt>
              </c:numCache>
            </c:numRef>
          </c:val>
          <c:extLst>
            <c:ext xmlns:c16="http://schemas.microsoft.com/office/drawing/2014/chart" uri="{C3380CC4-5D6E-409C-BE32-E72D297353CC}">
              <c16:uniqueId val="{00000000-142B-4A80-B934-B0069ED8049E}"/>
            </c:ext>
          </c:extLst>
        </c:ser>
        <c:ser>
          <c:idx val="1"/>
          <c:order val="1"/>
          <c:tx>
            <c:strRef>
              <c:f>C_ENG!$A$115</c:f>
              <c:strCache>
                <c:ptCount val="1"/>
                <c:pt idx="0">
                  <c:v> Occasional internet users (less than once a week)</c:v>
                </c:pt>
              </c:strCache>
            </c:strRef>
          </c:tx>
          <c:spPr>
            <a:solidFill>
              <a:srgbClr val="47E5FF"/>
            </a:solidFill>
          </c:spPr>
          <c:invertIfNegative val="0"/>
          <c:dLbls>
            <c:dLbl>
              <c:idx val="0"/>
              <c:layout>
                <c:manualLayout>
                  <c:x val="4.5945418821693798E-3"/>
                  <c:y val="-3.0507402663810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B-4A80-B934-B0069ED8049E}"/>
                </c:ext>
              </c:extLst>
            </c:dLbl>
            <c:spPr>
              <a:noFill/>
              <a:ln>
                <a:noFill/>
              </a:ln>
              <a:effectLst/>
            </c:spPr>
            <c:txPr>
              <a:bodyPr rot="0" vert="horz"/>
              <a:lstStyle/>
              <a:p>
                <a:pPr algn="ct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C_ENG!$B$113:$H$113</c:f>
              <c:numCache>
                <c:formatCode>General</c:formatCode>
                <c:ptCount val="7"/>
                <c:pt idx="0">
                  <c:v>2005</c:v>
                </c:pt>
                <c:pt idx="1">
                  <c:v>2007</c:v>
                </c:pt>
                <c:pt idx="2">
                  <c:v>2009</c:v>
                </c:pt>
                <c:pt idx="3">
                  <c:v>2011</c:v>
                </c:pt>
                <c:pt idx="4">
                  <c:v>2013</c:v>
                </c:pt>
                <c:pt idx="5">
                  <c:v>2015</c:v>
                </c:pt>
                <c:pt idx="6">
                  <c:v>2017</c:v>
                </c:pt>
              </c:numCache>
            </c:numRef>
          </c:cat>
          <c:val>
            <c:numRef>
              <c:f>C_ENG!$B$115:$H$115</c:f>
              <c:numCache>
                <c:formatCode>0%</c:formatCode>
                <c:ptCount val="7"/>
                <c:pt idx="0">
                  <c:v>6.1199999999999997E-2</c:v>
                </c:pt>
                <c:pt idx="1">
                  <c:v>6.5676000000000095E-2</c:v>
                </c:pt>
                <c:pt idx="2">
                  <c:v>0.103606</c:v>
                </c:pt>
                <c:pt idx="3">
                  <c:v>0.15998699999999999</c:v>
                </c:pt>
                <c:pt idx="4">
                  <c:v>0.177424</c:v>
                </c:pt>
                <c:pt idx="5">
                  <c:v>0.17747599999999999</c:v>
                </c:pt>
                <c:pt idx="6">
                  <c:v>6.7783880000000005E-2</c:v>
                </c:pt>
              </c:numCache>
            </c:numRef>
          </c:val>
          <c:extLst>
            <c:ext xmlns:c16="http://schemas.microsoft.com/office/drawing/2014/chart" uri="{C3380CC4-5D6E-409C-BE32-E72D297353CC}">
              <c16:uniqueId val="{00000002-142B-4A80-B934-B0069ED8049E}"/>
            </c:ext>
          </c:extLst>
        </c:ser>
        <c:ser>
          <c:idx val="0"/>
          <c:order val="2"/>
          <c:tx>
            <c:strRef>
              <c:f>C_ENG!$A$116</c:f>
              <c:strCache>
                <c:ptCount val="1"/>
                <c:pt idx="0">
                  <c:v> Individuals who have never used the internet </c:v>
                </c:pt>
              </c:strCache>
            </c:strRef>
          </c:tx>
          <c:spPr>
            <a:solidFill>
              <a:srgbClr val="ABF3FF"/>
            </a:solidFill>
          </c:spPr>
          <c:invertIfNegative val="0"/>
          <c:dLbls>
            <c:spPr>
              <a:noFill/>
              <a:ln>
                <a:noFill/>
              </a:ln>
              <a:effectLst/>
            </c:spPr>
            <c:txPr>
              <a:bodyPr rot="0" vert="horz"/>
              <a:lstStyle/>
              <a:p>
                <a:pPr>
                  <a:defRPr b="1"/>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C_ENG!$B$113:$H$113</c:f>
              <c:numCache>
                <c:formatCode>General</c:formatCode>
                <c:ptCount val="7"/>
                <c:pt idx="0">
                  <c:v>2005</c:v>
                </c:pt>
                <c:pt idx="1">
                  <c:v>2007</c:v>
                </c:pt>
                <c:pt idx="2">
                  <c:v>2009</c:v>
                </c:pt>
                <c:pt idx="3">
                  <c:v>2011</c:v>
                </c:pt>
                <c:pt idx="4">
                  <c:v>2013</c:v>
                </c:pt>
                <c:pt idx="5">
                  <c:v>2015</c:v>
                </c:pt>
                <c:pt idx="6">
                  <c:v>2017</c:v>
                </c:pt>
              </c:numCache>
            </c:numRef>
          </c:cat>
          <c:val>
            <c:numRef>
              <c:f>C_ENG!$B$116:$H$116</c:f>
              <c:numCache>
                <c:formatCode>0%</c:formatCode>
                <c:ptCount val="7"/>
                <c:pt idx="0">
                  <c:v>0.88671999999999995</c:v>
                </c:pt>
                <c:pt idx="1">
                  <c:v>0.77864999999999995</c:v>
                </c:pt>
                <c:pt idx="2">
                  <c:v>0.66561000000000003</c:v>
                </c:pt>
                <c:pt idx="3">
                  <c:v>0.53375399999999995</c:v>
                </c:pt>
                <c:pt idx="4">
                  <c:v>0.43149100000000001</c:v>
                </c:pt>
                <c:pt idx="5">
                  <c:v>0.33762700000000001</c:v>
                </c:pt>
                <c:pt idx="6">
                  <c:v>0.29231139</c:v>
                </c:pt>
              </c:numCache>
            </c:numRef>
          </c:val>
          <c:extLst>
            <c:ext xmlns:c16="http://schemas.microsoft.com/office/drawing/2014/chart" uri="{C3380CC4-5D6E-409C-BE32-E72D297353CC}">
              <c16:uniqueId val="{00000003-142B-4A80-B934-B0069ED8049E}"/>
            </c:ext>
          </c:extLst>
        </c:ser>
        <c:dLbls>
          <c:showLegendKey val="0"/>
          <c:showVal val="0"/>
          <c:showCatName val="0"/>
          <c:showSerName val="0"/>
          <c:showPercent val="0"/>
          <c:showBubbleSize val="0"/>
        </c:dLbls>
        <c:gapWidth val="69"/>
        <c:overlap val="100"/>
        <c:axId val="174963712"/>
        <c:axId val="172310528"/>
      </c:barChart>
      <c:catAx>
        <c:axId val="174963712"/>
        <c:scaling>
          <c:orientation val="minMax"/>
        </c:scaling>
        <c:delete val="0"/>
        <c:axPos val="b"/>
        <c:numFmt formatCode="General" sourceLinked="1"/>
        <c:majorTickMark val="out"/>
        <c:minorTickMark val="none"/>
        <c:tickLblPos val="nextTo"/>
        <c:spPr>
          <a:ln w="3175">
            <a:solidFill>
              <a:schemeClr val="tx1"/>
            </a:solidFill>
          </a:ln>
        </c:spPr>
        <c:crossAx val="172310528"/>
        <c:crosses val="autoZero"/>
        <c:auto val="1"/>
        <c:lblAlgn val="ctr"/>
        <c:lblOffset val="100"/>
        <c:noMultiLvlLbl val="0"/>
      </c:catAx>
      <c:valAx>
        <c:axId val="172310528"/>
        <c:scaling>
          <c:orientation val="minMax"/>
        </c:scaling>
        <c:delete val="0"/>
        <c:axPos val="l"/>
        <c:numFmt formatCode="0%" sourceLinked="1"/>
        <c:majorTickMark val="none"/>
        <c:minorTickMark val="none"/>
        <c:tickLblPos val="none"/>
        <c:crossAx val="174963712"/>
        <c:crosses val="autoZero"/>
        <c:crossBetween val="between"/>
      </c:valAx>
      <c:spPr>
        <a:ln>
          <a:solidFill>
            <a:srgbClr val="A6A6A6"/>
          </a:solidFill>
        </a:ln>
      </c:spPr>
    </c:plotArea>
    <c:legend>
      <c:legendPos val="t"/>
      <c:layout>
        <c:manualLayout>
          <c:xMode val="edge"/>
          <c:yMode val="edge"/>
          <c:x val="3.3981481481481501E-2"/>
          <c:y val="0.74814722222222296"/>
          <c:w val="0.92353455284552799"/>
          <c:h val="0.14601904761904799"/>
        </c:manualLayout>
      </c:layout>
      <c:overlay val="0"/>
      <c:spPr>
        <a:ln>
          <a:solidFill>
            <a:schemeClr val="tx1">
              <a:tint val="75000"/>
              <a:shade val="95000"/>
              <a:satMod val="105000"/>
            </a:schemeClr>
          </a:solidFill>
        </a:ln>
      </c:spPr>
    </c:legend>
    <c:plotVisOnly val="1"/>
    <c:dispBlanksAs val="gap"/>
    <c:showDLblsOverMax val="0"/>
  </c:chart>
  <c:spPr>
    <a:ln>
      <a:noFill/>
    </a:ln>
  </c:spPr>
  <c:txPr>
    <a:bodyPr/>
    <a:lstStyle/>
    <a:p>
      <a:pPr>
        <a:defRPr sz="800">
          <a:latin typeface="Arial" pitchFamily="34" charset="0"/>
          <a:cs typeface="Arial" pitchFamily="34" charset="0"/>
        </a:defRPr>
      </a:pPr>
      <a:endParaRPr lang="cs-CZ"/>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a:t>
            </a:r>
            <a:r>
              <a:rPr lang="cs-CZ" sz="800"/>
              <a:t>8</a:t>
            </a:r>
            <a:r>
              <a:rPr lang="en-US" sz="800"/>
              <a:t> Individuals in EU countries aged 16–74 who have never used the internet (%)*</a:t>
            </a:r>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C_ENG!$B$137</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extLst>
              <c:ext xmlns:c16="http://schemas.microsoft.com/office/drawing/2014/chart" uri="{C3380CC4-5D6E-409C-BE32-E72D297353CC}">
                <c16:uniqueId val="{00000001-C761-44F4-8489-952158616BA8}"/>
              </c:ext>
            </c:extLst>
          </c:dPt>
          <c:dPt>
            <c:idx val="11"/>
            <c:invertIfNegative val="0"/>
            <c:bubble3D val="0"/>
            <c:extLst>
              <c:ext xmlns:c16="http://schemas.microsoft.com/office/drawing/2014/chart" uri="{C3380CC4-5D6E-409C-BE32-E72D297353CC}">
                <c16:uniqueId val="{00000002-C761-44F4-8489-952158616BA8}"/>
              </c:ext>
            </c:extLst>
          </c:dPt>
          <c:dPt>
            <c:idx val="12"/>
            <c:invertIfNegative val="0"/>
            <c:bubble3D val="0"/>
            <c:extLst>
              <c:ext xmlns:c16="http://schemas.microsoft.com/office/drawing/2014/chart" uri="{C3380CC4-5D6E-409C-BE32-E72D297353CC}">
                <c16:uniqueId val="{00000003-C761-44F4-8489-952158616BA8}"/>
              </c:ext>
            </c:extLst>
          </c:dPt>
          <c:dPt>
            <c:idx val="13"/>
            <c:invertIfNegative val="0"/>
            <c:bubble3D val="0"/>
            <c:spPr>
              <a:solidFill>
                <a:srgbClr val="009BB4"/>
              </a:solidFill>
              <a:ln w="19050">
                <a:noFill/>
              </a:ln>
            </c:spPr>
            <c:extLst>
              <c:ext xmlns:c16="http://schemas.microsoft.com/office/drawing/2014/chart" uri="{C3380CC4-5D6E-409C-BE32-E72D297353CC}">
                <c16:uniqueId val="{00000005-C761-44F4-8489-952158616BA8}"/>
              </c:ext>
            </c:extLst>
          </c:dPt>
          <c:dPt>
            <c:idx val="16"/>
            <c:invertIfNegative val="0"/>
            <c:bubble3D val="0"/>
            <c:spPr>
              <a:solidFill>
                <a:srgbClr val="009BB4"/>
              </a:solidFill>
              <a:ln>
                <a:solidFill>
                  <a:srgbClr val="FF0000"/>
                </a:solidFill>
              </a:ln>
            </c:spPr>
            <c:extLst>
              <c:ext xmlns:c16="http://schemas.microsoft.com/office/drawing/2014/chart" uri="{C3380CC4-5D6E-409C-BE32-E72D297353CC}">
                <c16:uniqueId val="{00000007-C761-44F4-8489-952158616BA8}"/>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09-C761-44F4-8489-952158616BA8}"/>
              </c:ext>
            </c:extLst>
          </c:dPt>
          <c:dLbls>
            <c:spPr>
              <a:solidFill>
                <a:schemeClr val="accent5">
                  <a:lumMod val="75000"/>
                  <a:alpha val="58000"/>
                </a:schemeClr>
              </a:solidFill>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C_ENG!$A$138:$A$166</c:f>
              <c:strCache>
                <c:ptCount val="29"/>
                <c:pt idx="0">
                  <c:v>Bulgaria</c:v>
                </c:pt>
                <c:pt idx="1">
                  <c:v>Croatia</c:v>
                </c:pt>
                <c:pt idx="2">
                  <c:v>Greece</c:v>
                </c:pt>
                <c:pt idx="3">
                  <c:v>Romania</c:v>
                </c:pt>
                <c:pt idx="4">
                  <c:v>Portugal</c:v>
                </c:pt>
                <c:pt idx="5">
                  <c:v>Italy</c:v>
                </c:pt>
                <c:pt idx="6">
                  <c:v>Poland</c:v>
                </c:pt>
                <c:pt idx="7">
                  <c:v>Lithuania</c:v>
                </c:pt>
                <c:pt idx="8">
                  <c:v>Malta</c:v>
                </c:pt>
                <c:pt idx="9">
                  <c:v>Cyprus</c:v>
                </c:pt>
                <c:pt idx="10">
                  <c:v>Slovenia</c:v>
                </c:pt>
                <c:pt idx="11">
                  <c:v>Hungary</c:v>
                </c:pt>
                <c:pt idx="12">
                  <c:v>Ireland</c:v>
                </c:pt>
                <c:pt idx="13">
                  <c:v>Latvia</c:v>
                </c:pt>
                <c:pt idx="14">
                  <c:v>Slovakia</c:v>
                </c:pt>
                <c:pt idx="15">
                  <c:v>Spain</c:v>
                </c:pt>
                <c:pt idx="16">
                  <c:v>EU28</c:v>
                </c:pt>
                <c:pt idx="17">
                  <c:v>Czech Republic</c:v>
                </c:pt>
                <c:pt idx="18">
                  <c:v>France</c:v>
                </c:pt>
                <c:pt idx="19">
                  <c:v>Belgium</c:v>
                </c:pt>
                <c:pt idx="20">
                  <c:v>Austria</c:v>
                </c:pt>
                <c:pt idx="21">
                  <c:v>Estonia</c:v>
                </c:pt>
                <c:pt idx="22">
                  <c:v>Germany</c:v>
                </c:pt>
                <c:pt idx="23">
                  <c:v>Finland</c:v>
                </c:pt>
                <c:pt idx="24">
                  <c:v>United Kingdom</c:v>
                </c:pt>
                <c:pt idx="25">
                  <c:v>Netherlands</c:v>
                </c:pt>
                <c:pt idx="26">
                  <c:v>Sweden</c:v>
                </c:pt>
                <c:pt idx="27">
                  <c:v>Luxembourg</c:v>
                </c:pt>
                <c:pt idx="28">
                  <c:v>Denmark</c:v>
                </c:pt>
              </c:strCache>
            </c:strRef>
          </c:cat>
          <c:val>
            <c:numRef>
              <c:f>C_ENG!$B$138:$B$166</c:f>
              <c:numCache>
                <c:formatCode>0%</c:formatCode>
                <c:ptCount val="29"/>
                <c:pt idx="0">
                  <c:v>0.302869</c:v>
                </c:pt>
                <c:pt idx="1">
                  <c:v>0.28382800000000002</c:v>
                </c:pt>
                <c:pt idx="2">
                  <c:v>0.28331499999999998</c:v>
                </c:pt>
                <c:pt idx="3">
                  <c:v>0.26544800000000002</c:v>
                </c:pt>
                <c:pt idx="4">
                  <c:v>0.22340699999999999</c:v>
                </c:pt>
                <c:pt idx="5">
                  <c:v>0.223188</c:v>
                </c:pt>
                <c:pt idx="6">
                  <c:v>0.19620299999999999</c:v>
                </c:pt>
                <c:pt idx="7">
                  <c:v>0.19294</c:v>
                </c:pt>
                <c:pt idx="8">
                  <c:v>0.18510099999999999</c:v>
                </c:pt>
                <c:pt idx="9">
                  <c:v>0.177924</c:v>
                </c:pt>
                <c:pt idx="10">
                  <c:v>0.17618</c:v>
                </c:pt>
                <c:pt idx="11">
                  <c:v>0.170436</c:v>
                </c:pt>
                <c:pt idx="12">
                  <c:v>0.15854299999999999</c:v>
                </c:pt>
                <c:pt idx="13">
                  <c:v>0.15826899999999999</c:v>
                </c:pt>
                <c:pt idx="14">
                  <c:v>0.14039699999999999</c:v>
                </c:pt>
                <c:pt idx="15">
                  <c:v>0.14005500000000001</c:v>
                </c:pt>
                <c:pt idx="16">
                  <c:v>0.129411</c:v>
                </c:pt>
                <c:pt idx="17">
                  <c:v>0.111317</c:v>
                </c:pt>
                <c:pt idx="18">
                  <c:v>9.9696999999999994E-2</c:v>
                </c:pt>
                <c:pt idx="19">
                  <c:v>9.8399E-2</c:v>
                </c:pt>
                <c:pt idx="20">
                  <c:v>9.6312999999999996E-2</c:v>
                </c:pt>
                <c:pt idx="21">
                  <c:v>9.3261999999999998E-2</c:v>
                </c:pt>
                <c:pt idx="22">
                  <c:v>7.3690000000000005E-2</c:v>
                </c:pt>
                <c:pt idx="23">
                  <c:v>5.0634999999999999E-2</c:v>
                </c:pt>
                <c:pt idx="24">
                  <c:v>3.8980000000000001E-2</c:v>
                </c:pt>
                <c:pt idx="25">
                  <c:v>2.9555999999999999E-2</c:v>
                </c:pt>
                <c:pt idx="26">
                  <c:v>2.2523999999999999E-2</c:v>
                </c:pt>
                <c:pt idx="27">
                  <c:v>2.1722999999999999E-2</c:v>
                </c:pt>
                <c:pt idx="28">
                  <c:v>2.0310000000000002E-2</c:v>
                </c:pt>
              </c:numCache>
            </c:numRef>
          </c:val>
          <c:extLst>
            <c:ext xmlns:c16="http://schemas.microsoft.com/office/drawing/2014/chart" uri="{C3380CC4-5D6E-409C-BE32-E72D297353CC}">
              <c16:uniqueId val="{0000000A-C761-44F4-8489-952158616BA8}"/>
            </c:ext>
          </c:extLst>
        </c:ser>
        <c:dLbls>
          <c:showLegendKey val="0"/>
          <c:showVal val="0"/>
          <c:showCatName val="0"/>
          <c:showSerName val="0"/>
          <c:showPercent val="0"/>
          <c:showBubbleSize val="0"/>
        </c:dLbls>
        <c:gapWidth val="40"/>
        <c:axId val="172371968"/>
        <c:axId val="172311680"/>
      </c:barChart>
      <c:barChart>
        <c:barDir val="col"/>
        <c:grouping val="clustered"/>
        <c:varyColors val="0"/>
        <c:ser>
          <c:idx val="1"/>
          <c:order val="1"/>
          <c:tx>
            <c:strRef>
              <c:f>C_ENG!$C$137</c:f>
              <c:strCache>
                <c:ptCount val="1"/>
                <c:pt idx="0">
                  <c:v> 2007</c:v>
                </c:pt>
              </c:strCache>
            </c:strRef>
          </c:tx>
          <c:spPr>
            <a:solidFill>
              <a:srgbClr val="47E5FF"/>
            </a:solidFill>
          </c:spPr>
          <c:invertIfNegative val="0"/>
          <c:dLbls>
            <c:dLbl>
              <c:idx val="0"/>
              <c:layout>
                <c:manualLayout>
                  <c:x val="2.0426709128487201E-3"/>
                  <c:y val="9.0154320987654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61-44F4-8489-952158616BA8}"/>
                </c:ext>
              </c:extLst>
            </c:dLbl>
            <c:dLbl>
              <c:idx val="2"/>
              <c:layout>
                <c:manualLayout>
                  <c:x val="-1.8724267063449001E-17"/>
                  <c:y val="5.4876543209876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61-44F4-8489-952158616BA8}"/>
                </c:ext>
              </c:extLst>
            </c:dLbl>
            <c:dLbl>
              <c:idx val="3"/>
              <c:layout>
                <c:manualLayout>
                  <c:x val="0"/>
                  <c:y val="0.1175925925925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61-44F4-8489-952158616BA8}"/>
                </c:ext>
              </c:extLst>
            </c:dLbl>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C_ENG!$A$138:$A$166</c:f>
              <c:strCache>
                <c:ptCount val="29"/>
                <c:pt idx="0">
                  <c:v>Bulgaria</c:v>
                </c:pt>
                <c:pt idx="1">
                  <c:v>Croatia</c:v>
                </c:pt>
                <c:pt idx="2">
                  <c:v>Greece</c:v>
                </c:pt>
                <c:pt idx="3">
                  <c:v>Romania</c:v>
                </c:pt>
                <c:pt idx="4">
                  <c:v>Portugal</c:v>
                </c:pt>
                <c:pt idx="5">
                  <c:v>Italy</c:v>
                </c:pt>
                <c:pt idx="6">
                  <c:v>Poland</c:v>
                </c:pt>
                <c:pt idx="7">
                  <c:v>Lithuania</c:v>
                </c:pt>
                <c:pt idx="8">
                  <c:v>Malta</c:v>
                </c:pt>
                <c:pt idx="9">
                  <c:v>Cyprus</c:v>
                </c:pt>
                <c:pt idx="10">
                  <c:v>Slovenia</c:v>
                </c:pt>
                <c:pt idx="11">
                  <c:v>Hungary</c:v>
                </c:pt>
                <c:pt idx="12">
                  <c:v>Ireland</c:v>
                </c:pt>
                <c:pt idx="13">
                  <c:v>Latvia</c:v>
                </c:pt>
                <c:pt idx="14">
                  <c:v>Slovakia</c:v>
                </c:pt>
                <c:pt idx="15">
                  <c:v>Spain</c:v>
                </c:pt>
                <c:pt idx="16">
                  <c:v>EU28</c:v>
                </c:pt>
                <c:pt idx="17">
                  <c:v>Czech Republic</c:v>
                </c:pt>
                <c:pt idx="18">
                  <c:v>France</c:v>
                </c:pt>
                <c:pt idx="19">
                  <c:v>Belgium</c:v>
                </c:pt>
                <c:pt idx="20">
                  <c:v>Austria</c:v>
                </c:pt>
                <c:pt idx="21">
                  <c:v>Estonia</c:v>
                </c:pt>
                <c:pt idx="22">
                  <c:v>Germany</c:v>
                </c:pt>
                <c:pt idx="23">
                  <c:v>Finland</c:v>
                </c:pt>
                <c:pt idx="24">
                  <c:v>United Kingdom</c:v>
                </c:pt>
                <c:pt idx="25">
                  <c:v>Netherlands</c:v>
                </c:pt>
                <c:pt idx="26">
                  <c:v>Sweden</c:v>
                </c:pt>
                <c:pt idx="27">
                  <c:v>Luxembourg</c:v>
                </c:pt>
                <c:pt idx="28">
                  <c:v>Denmark</c:v>
                </c:pt>
              </c:strCache>
            </c:strRef>
          </c:cat>
          <c:val>
            <c:numRef>
              <c:f>C_ENG!$C$138:$C$166</c:f>
              <c:numCache>
                <c:formatCode>0%</c:formatCode>
                <c:ptCount val="29"/>
                <c:pt idx="0">
                  <c:v>0.64553000000000005</c:v>
                </c:pt>
                <c:pt idx="1">
                  <c:v>0.555786</c:v>
                </c:pt>
                <c:pt idx="2">
                  <c:v>0.61682800000000004</c:v>
                </c:pt>
                <c:pt idx="3">
                  <c:v>0.691855</c:v>
                </c:pt>
                <c:pt idx="4">
                  <c:v>0.55618199999999995</c:v>
                </c:pt>
                <c:pt idx="5">
                  <c:v>0.540188</c:v>
                </c:pt>
                <c:pt idx="6">
                  <c:v>0.47837800000000003</c:v>
                </c:pt>
                <c:pt idx="7">
                  <c:v>0.48675800000000002</c:v>
                </c:pt>
                <c:pt idx="8">
                  <c:v>0.51112800000000003</c:v>
                </c:pt>
                <c:pt idx="9">
                  <c:v>0.56422600000000001</c:v>
                </c:pt>
                <c:pt idx="10">
                  <c:v>0.394563</c:v>
                </c:pt>
                <c:pt idx="11">
                  <c:v>0.46038800000000002</c:v>
                </c:pt>
                <c:pt idx="12">
                  <c:v>0.34989900000000002</c:v>
                </c:pt>
                <c:pt idx="13">
                  <c:v>0.39075300000000002</c:v>
                </c:pt>
                <c:pt idx="14">
                  <c:v>0.35005399999999998</c:v>
                </c:pt>
                <c:pt idx="15">
                  <c:v>0.43190800000000001</c:v>
                </c:pt>
                <c:pt idx="16">
                  <c:v>0.374361</c:v>
                </c:pt>
                <c:pt idx="17">
                  <c:v>0.45507300000000001</c:v>
                </c:pt>
                <c:pt idx="18">
                  <c:v>0.33519599999999999</c:v>
                </c:pt>
                <c:pt idx="19">
                  <c:v>0.28534500000000002</c:v>
                </c:pt>
                <c:pt idx="20">
                  <c:v>0.28091500000000003</c:v>
                </c:pt>
                <c:pt idx="21">
                  <c:v>0.32233299999999998</c:v>
                </c:pt>
                <c:pt idx="22">
                  <c:v>0.23188300000000001</c:v>
                </c:pt>
                <c:pt idx="23">
                  <c:v>0.167126</c:v>
                </c:pt>
                <c:pt idx="24">
                  <c:v>0.22103</c:v>
                </c:pt>
                <c:pt idx="25">
                  <c:v>0.12565299999999999</c:v>
                </c:pt>
                <c:pt idx="26">
                  <c:v>0.14791199999999999</c:v>
                </c:pt>
                <c:pt idx="27">
                  <c:v>0.20055799999999999</c:v>
                </c:pt>
                <c:pt idx="28">
                  <c:v>0.122695</c:v>
                </c:pt>
              </c:numCache>
            </c:numRef>
          </c:val>
          <c:extLst>
            <c:ext xmlns:c16="http://schemas.microsoft.com/office/drawing/2014/chart" uri="{C3380CC4-5D6E-409C-BE32-E72D297353CC}">
              <c16:uniqueId val="{0000000E-C761-44F4-8489-952158616BA8}"/>
            </c:ext>
          </c:extLst>
        </c:ser>
        <c:dLbls>
          <c:showLegendKey val="0"/>
          <c:showVal val="0"/>
          <c:showCatName val="0"/>
          <c:showSerName val="0"/>
          <c:showPercent val="0"/>
          <c:showBubbleSize val="0"/>
        </c:dLbls>
        <c:gapWidth val="305"/>
        <c:axId val="172374528"/>
        <c:axId val="172312256"/>
      </c:barChart>
      <c:catAx>
        <c:axId val="172371968"/>
        <c:scaling>
          <c:orientation val="minMax"/>
        </c:scaling>
        <c:delete val="0"/>
        <c:axPos val="b"/>
        <c:numFmt formatCode="General" sourceLinked="0"/>
        <c:majorTickMark val="out"/>
        <c:minorTickMark val="none"/>
        <c:tickLblPos val="nextTo"/>
        <c:spPr>
          <a:ln w="3175">
            <a:solidFill>
              <a:schemeClr val="tx1"/>
            </a:solidFill>
          </a:ln>
        </c:spPr>
        <c:crossAx val="172311680"/>
        <c:crosses val="autoZero"/>
        <c:auto val="1"/>
        <c:lblAlgn val="ctr"/>
        <c:lblOffset val="100"/>
        <c:noMultiLvlLbl val="0"/>
      </c:catAx>
      <c:valAx>
        <c:axId val="172311680"/>
        <c:scaling>
          <c:orientation val="minMax"/>
          <c:max val="0.70000000000000095"/>
          <c:min val="0"/>
        </c:scaling>
        <c:delete val="0"/>
        <c:axPos val="l"/>
        <c:numFmt formatCode="0%" sourceLinked="1"/>
        <c:majorTickMark val="none"/>
        <c:minorTickMark val="none"/>
        <c:tickLblPos val="nextTo"/>
        <c:txPr>
          <a:bodyPr/>
          <a:lstStyle/>
          <a:p>
            <a:pPr>
              <a:defRPr>
                <a:solidFill>
                  <a:schemeClr val="bg1"/>
                </a:solidFill>
              </a:defRPr>
            </a:pPr>
            <a:endParaRPr lang="cs-CZ"/>
          </a:p>
        </c:txPr>
        <c:crossAx val="172371968"/>
        <c:crosses val="autoZero"/>
        <c:crossBetween val="between"/>
        <c:majorUnit val="0.1"/>
        <c:minorUnit val="0.05"/>
      </c:valAx>
      <c:valAx>
        <c:axId val="172312256"/>
        <c:scaling>
          <c:orientation val="minMax"/>
          <c:max val="0.70000000000000095"/>
          <c:min val="0"/>
        </c:scaling>
        <c:delete val="0"/>
        <c:axPos val="r"/>
        <c:numFmt formatCode="0%" sourceLinked="1"/>
        <c:majorTickMark val="none"/>
        <c:minorTickMark val="none"/>
        <c:tickLblPos val="none"/>
        <c:crossAx val="172374528"/>
        <c:crosses val="max"/>
        <c:crossBetween val="between"/>
        <c:majorUnit val="0.1"/>
      </c:valAx>
      <c:catAx>
        <c:axId val="172374528"/>
        <c:scaling>
          <c:orientation val="minMax"/>
        </c:scaling>
        <c:delete val="1"/>
        <c:axPos val="b"/>
        <c:numFmt formatCode="General" sourceLinked="0"/>
        <c:majorTickMark val="out"/>
        <c:minorTickMark val="none"/>
        <c:tickLblPos val="none"/>
        <c:crossAx val="17231225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934650614811805"/>
          <c:y val="0.13253055555555601"/>
          <c:w val="6.9586721030664295E-2"/>
          <c:h val="0.11638209876543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Figure C9 Individuals in the Czech Republic aged 16+ using mobile phone to access the internet</a:t>
            </a:r>
            <a:endParaRPr lang="en-US" sz="800" b="1"/>
          </a:p>
        </c:rich>
      </c:tx>
      <c:layout>
        <c:manualLayout>
          <c:xMode val="edge"/>
          <c:yMode val="edge"/>
          <c:x val="0.13270218480925802"/>
          <c:y val="1.1740704407538906E-3"/>
        </c:manualLayout>
      </c:layout>
      <c:overlay val="1"/>
    </c:title>
    <c:autoTitleDeleted val="0"/>
    <c:plotArea>
      <c:layout>
        <c:manualLayout>
          <c:layoutTarget val="inner"/>
          <c:xMode val="edge"/>
          <c:yMode val="edge"/>
          <c:x val="1.38135167981066E-2"/>
          <c:y val="0.13134178588822099"/>
          <c:w val="0.96087940379403802"/>
          <c:h val="0.70172548481253039"/>
        </c:manualLayout>
      </c:layout>
      <c:barChart>
        <c:barDir val="col"/>
        <c:grouping val="clustered"/>
        <c:varyColors val="0"/>
        <c:ser>
          <c:idx val="2"/>
          <c:order val="0"/>
          <c:tx>
            <c:strRef>
              <c:f>C_ENG!$A$173</c:f>
              <c:strCache>
                <c:ptCount val="1"/>
                <c:pt idx="0">
                  <c:v> Millions</c:v>
                </c:pt>
              </c:strCache>
            </c:strRef>
          </c:tx>
          <c:spPr>
            <a:solidFill>
              <a:srgbClr val="009BB4"/>
            </a:solidFill>
            <a:ln w="25400">
              <a:noFill/>
            </a:ln>
          </c:spPr>
          <c:invertIfNegative val="0"/>
          <c:dLbls>
            <c:dLbl>
              <c:idx val="0"/>
              <c:layout>
                <c:manualLayout>
                  <c:x val="0"/>
                  <c:y val="5.8272544283413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8D-42A4-ABAD-83B89FEBF80D}"/>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C_ENG!$B$172:$G$172</c:f>
              <c:numCache>
                <c:formatCode>0</c:formatCode>
                <c:ptCount val="6"/>
                <c:pt idx="0">
                  <c:v>2012</c:v>
                </c:pt>
                <c:pt idx="1">
                  <c:v>2013</c:v>
                </c:pt>
                <c:pt idx="2">
                  <c:v>2014</c:v>
                </c:pt>
                <c:pt idx="3">
                  <c:v>2015</c:v>
                </c:pt>
                <c:pt idx="4">
                  <c:v>2016</c:v>
                </c:pt>
                <c:pt idx="5">
                  <c:v>2017</c:v>
                </c:pt>
              </c:numCache>
            </c:numRef>
          </c:cat>
          <c:val>
            <c:numRef>
              <c:f>C_ENG!$B$173:$G$173</c:f>
              <c:numCache>
                <c:formatCode>#,##0.0</c:formatCode>
                <c:ptCount val="6"/>
                <c:pt idx="0">
                  <c:v>1.162571748557315</c:v>
                </c:pt>
                <c:pt idx="1">
                  <c:v>1.83353685166852</c:v>
                </c:pt>
                <c:pt idx="2">
                  <c:v>2.49587439</c:v>
                </c:pt>
                <c:pt idx="3">
                  <c:v>3.246</c:v>
                </c:pt>
                <c:pt idx="4">
                  <c:v>3.6131000000000002</c:v>
                </c:pt>
                <c:pt idx="5" formatCode="0.0">
                  <c:v>4.40986728133824</c:v>
                </c:pt>
              </c:numCache>
            </c:numRef>
          </c:val>
          <c:extLst>
            <c:ext xmlns:c16="http://schemas.microsoft.com/office/drawing/2014/chart" uri="{C3380CC4-5D6E-409C-BE32-E72D297353CC}">
              <c16:uniqueId val="{00000001-C18D-42A4-ABAD-83B89FEBF80D}"/>
            </c:ext>
          </c:extLst>
        </c:ser>
        <c:dLbls>
          <c:showLegendKey val="0"/>
          <c:showVal val="0"/>
          <c:showCatName val="0"/>
          <c:showSerName val="0"/>
          <c:showPercent val="0"/>
          <c:showBubbleSize val="0"/>
        </c:dLbls>
        <c:gapWidth val="50"/>
        <c:axId val="175149568"/>
        <c:axId val="172313984"/>
      </c:barChart>
      <c:lineChart>
        <c:grouping val="standard"/>
        <c:varyColors val="0"/>
        <c:ser>
          <c:idx val="0"/>
          <c:order val="1"/>
          <c:tx>
            <c:strRef>
              <c:f>C_ENG!$A$174</c:f>
              <c:strCache>
                <c:ptCount val="1"/>
                <c:pt idx="0">
                  <c:v>  % of internet users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8D-42A4-ABAD-83B89FEBF80D}"/>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C_ENG!$B$172:$G$172</c:f>
              <c:numCache>
                <c:formatCode>0</c:formatCode>
                <c:ptCount val="6"/>
                <c:pt idx="0">
                  <c:v>2012</c:v>
                </c:pt>
                <c:pt idx="1">
                  <c:v>2013</c:v>
                </c:pt>
                <c:pt idx="2">
                  <c:v>2014</c:v>
                </c:pt>
                <c:pt idx="3">
                  <c:v>2015</c:v>
                </c:pt>
                <c:pt idx="4">
                  <c:v>2016</c:v>
                </c:pt>
                <c:pt idx="5">
                  <c:v>2017</c:v>
                </c:pt>
              </c:numCache>
            </c:numRef>
          </c:cat>
          <c:val>
            <c:numRef>
              <c:f>C_ENG!$B$174:$G$174</c:f>
              <c:numCache>
                <c:formatCode>0.0%</c:formatCode>
                <c:ptCount val="6"/>
                <c:pt idx="0">
                  <c:v>0.188491043515708</c:v>
                </c:pt>
                <c:pt idx="1">
                  <c:v>0.30318829573653899</c:v>
                </c:pt>
                <c:pt idx="2">
                  <c:v>0.38393294956565399</c:v>
                </c:pt>
                <c:pt idx="3">
                  <c:v>0.48896897442147003</c:v>
                </c:pt>
                <c:pt idx="4">
                  <c:v>0.53888259157618401</c:v>
                </c:pt>
                <c:pt idx="5">
                  <c:v>0.63988756448894302</c:v>
                </c:pt>
              </c:numCache>
            </c:numRef>
          </c:val>
          <c:smooth val="0"/>
          <c:extLst>
            <c:ext xmlns:c16="http://schemas.microsoft.com/office/drawing/2014/chart" uri="{C3380CC4-5D6E-409C-BE32-E72D297353CC}">
              <c16:uniqueId val="{00000003-C18D-42A4-ABAD-83B89FEBF80D}"/>
            </c:ext>
          </c:extLst>
        </c:ser>
        <c:ser>
          <c:idx val="1"/>
          <c:order val="2"/>
          <c:tx>
            <c:strRef>
              <c:f>C_ENG!$A$175</c:f>
              <c:strCache>
                <c:ptCount val="1"/>
                <c:pt idx="0">
                  <c:v>  % of all individuals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C_ENG!$B$172:$G$172</c:f>
              <c:numCache>
                <c:formatCode>0</c:formatCode>
                <c:ptCount val="6"/>
                <c:pt idx="0">
                  <c:v>2012</c:v>
                </c:pt>
                <c:pt idx="1">
                  <c:v>2013</c:v>
                </c:pt>
                <c:pt idx="2">
                  <c:v>2014</c:v>
                </c:pt>
                <c:pt idx="3">
                  <c:v>2015</c:v>
                </c:pt>
                <c:pt idx="4">
                  <c:v>2016</c:v>
                </c:pt>
                <c:pt idx="5">
                  <c:v>2017</c:v>
                </c:pt>
              </c:numCache>
            </c:numRef>
          </c:cat>
          <c:val>
            <c:numRef>
              <c:f>C_ENG!$B$175:$G$175</c:f>
              <c:numCache>
                <c:formatCode>0.0%</c:formatCode>
                <c:ptCount val="6"/>
                <c:pt idx="0">
                  <c:v>0.13100000000000001</c:v>
                </c:pt>
                <c:pt idx="1">
                  <c:v>0.20699999999999999</c:v>
                </c:pt>
                <c:pt idx="2">
                  <c:v>0.28499999999999998</c:v>
                </c:pt>
                <c:pt idx="3">
                  <c:v>0.37</c:v>
                </c:pt>
                <c:pt idx="4">
                  <c:v>0.41199999999999998</c:v>
                </c:pt>
                <c:pt idx="5">
                  <c:v>0.50371415082770499</c:v>
                </c:pt>
              </c:numCache>
            </c:numRef>
          </c:val>
          <c:smooth val="0"/>
          <c:extLst>
            <c:ext xmlns:c16="http://schemas.microsoft.com/office/drawing/2014/chart" uri="{C3380CC4-5D6E-409C-BE32-E72D297353CC}">
              <c16:uniqueId val="{00000004-C18D-42A4-ABAD-83B89FEBF80D}"/>
            </c:ext>
          </c:extLst>
        </c:ser>
        <c:dLbls>
          <c:showLegendKey val="0"/>
          <c:showVal val="0"/>
          <c:showCatName val="0"/>
          <c:showSerName val="0"/>
          <c:showPercent val="0"/>
          <c:showBubbleSize val="0"/>
        </c:dLbls>
        <c:marker val="1"/>
        <c:smooth val="0"/>
        <c:axId val="175150080"/>
        <c:axId val="172314560"/>
      </c:lineChart>
      <c:catAx>
        <c:axId val="17514956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2313984"/>
        <c:crosses val="autoZero"/>
        <c:auto val="1"/>
        <c:lblAlgn val="ctr"/>
        <c:lblOffset val="140"/>
        <c:tickLblSkip val="1"/>
        <c:tickMarkSkip val="1"/>
        <c:noMultiLvlLbl val="0"/>
      </c:catAx>
      <c:valAx>
        <c:axId val="172313984"/>
        <c:scaling>
          <c:orientation val="minMax"/>
          <c:max val="7"/>
          <c:min val="0"/>
        </c:scaling>
        <c:delete val="0"/>
        <c:axPos val="l"/>
        <c:majorGridlines>
          <c:spPr>
            <a:ln w="12700">
              <a:noFill/>
              <a:prstDash val="dash"/>
            </a:ln>
          </c:spPr>
        </c:majorGridlines>
        <c:numFmt formatCode="#,##0.0" sourceLinked="1"/>
        <c:majorTickMark val="none"/>
        <c:minorTickMark val="none"/>
        <c:tickLblPos val="none"/>
        <c:spPr>
          <a:ln w="9525">
            <a:noFill/>
          </a:ln>
        </c:spPr>
        <c:crossAx val="175149568"/>
        <c:crosses val="autoZero"/>
        <c:crossBetween val="between"/>
        <c:majorUnit val="1"/>
        <c:minorUnit val="0.02"/>
      </c:valAx>
      <c:catAx>
        <c:axId val="175150080"/>
        <c:scaling>
          <c:orientation val="minMax"/>
        </c:scaling>
        <c:delete val="1"/>
        <c:axPos val="b"/>
        <c:numFmt formatCode="0" sourceLinked="1"/>
        <c:majorTickMark val="out"/>
        <c:minorTickMark val="none"/>
        <c:tickLblPos val="none"/>
        <c:crossAx val="172314560"/>
        <c:crosses val="autoZero"/>
        <c:auto val="1"/>
        <c:lblAlgn val="ctr"/>
        <c:lblOffset val="100"/>
        <c:noMultiLvlLbl val="0"/>
      </c:catAx>
      <c:valAx>
        <c:axId val="172314560"/>
        <c:scaling>
          <c:orientation val="minMax"/>
          <c:max val="0.750000000000001"/>
          <c:min val="0"/>
        </c:scaling>
        <c:delete val="0"/>
        <c:axPos val="r"/>
        <c:numFmt formatCode="0.0%" sourceLinked="1"/>
        <c:majorTickMark val="none"/>
        <c:minorTickMark val="none"/>
        <c:tickLblPos val="none"/>
        <c:spPr>
          <a:ln>
            <a:solidFill>
              <a:schemeClr val="bg1">
                <a:lumMod val="65000"/>
              </a:schemeClr>
            </a:solidFill>
          </a:ln>
        </c:spPr>
        <c:crossAx val="175150080"/>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3.6314525508966002E-2"/>
          <c:y val="0.14424320870227461"/>
          <c:w val="0.52594579945799502"/>
          <c:h val="0.14911327160493801"/>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5792759051186E-2"/>
          <c:y val="0.10228368055555601"/>
          <c:w val="0.95866182896379504"/>
          <c:h val="0.61601882716049405"/>
        </c:manualLayout>
      </c:layout>
      <c:barChart>
        <c:barDir val="col"/>
        <c:grouping val="clustered"/>
        <c:varyColors val="0"/>
        <c:ser>
          <c:idx val="0"/>
          <c:order val="0"/>
          <c:tx>
            <c:strRef>
              <c:f>A_EN!$B$51</c:f>
              <c:strCache>
                <c:ptCount val="1"/>
                <c:pt idx="0">
                  <c:v> 2016</c:v>
                </c:pt>
              </c:strCache>
            </c:strRef>
          </c:tx>
          <c:spPr>
            <a:solidFill>
              <a:srgbClr val="009BB4"/>
            </a:solidFill>
            <a:ln>
              <a:noFill/>
            </a:ln>
          </c:spPr>
          <c:invertIfNegative val="0"/>
          <c:dPt>
            <c:idx val="7"/>
            <c:invertIfNegative val="0"/>
            <c:bubble3D val="0"/>
            <c:spPr>
              <a:solidFill>
                <a:srgbClr val="009BB4"/>
              </a:solidFill>
              <a:ln>
                <a:solidFill>
                  <a:srgbClr val="FF0000"/>
                </a:solidFill>
              </a:ln>
            </c:spPr>
            <c:extLst>
              <c:ext xmlns:c16="http://schemas.microsoft.com/office/drawing/2014/chart" uri="{C3380CC4-5D6E-409C-BE32-E72D297353CC}">
                <c16:uniqueId val="{00000001-4002-4DE1-9396-220CC70ABDD8}"/>
              </c:ext>
            </c:extLst>
          </c:dPt>
          <c:dPt>
            <c:idx val="8"/>
            <c:invertIfNegative val="0"/>
            <c:bubble3D val="0"/>
            <c:spPr>
              <a:solidFill>
                <a:srgbClr val="009BB4"/>
              </a:solidFill>
              <a:ln w="19050">
                <a:noFill/>
              </a:ln>
            </c:spPr>
            <c:extLst>
              <c:ext xmlns:c16="http://schemas.microsoft.com/office/drawing/2014/chart" uri="{C3380CC4-5D6E-409C-BE32-E72D297353CC}">
                <c16:uniqueId val="{00000003-4002-4DE1-9396-220CC70ABDD8}"/>
              </c:ext>
            </c:extLst>
          </c:dPt>
          <c:dPt>
            <c:idx val="11"/>
            <c:invertIfNegative val="0"/>
            <c:bubble3D val="0"/>
            <c:extLst>
              <c:ext xmlns:c16="http://schemas.microsoft.com/office/drawing/2014/chart" uri="{C3380CC4-5D6E-409C-BE32-E72D297353CC}">
                <c16:uniqueId val="{00000004-4002-4DE1-9396-220CC70ABDD8}"/>
              </c:ext>
            </c:extLst>
          </c:dPt>
          <c:dPt>
            <c:idx val="12"/>
            <c:invertIfNegative val="0"/>
            <c:bubble3D val="0"/>
            <c:extLst>
              <c:ext xmlns:c16="http://schemas.microsoft.com/office/drawing/2014/chart" uri="{C3380CC4-5D6E-409C-BE32-E72D297353CC}">
                <c16:uniqueId val="{00000005-4002-4DE1-9396-220CC70ABDD8}"/>
              </c:ext>
            </c:extLst>
          </c:dPt>
          <c:dPt>
            <c:idx val="13"/>
            <c:invertIfNegative val="0"/>
            <c:bubble3D val="0"/>
            <c:spPr>
              <a:solidFill>
                <a:srgbClr val="009BB4"/>
              </a:solidFill>
              <a:ln w="19050">
                <a:noFill/>
              </a:ln>
            </c:spPr>
            <c:extLst>
              <c:ext xmlns:c16="http://schemas.microsoft.com/office/drawing/2014/chart" uri="{C3380CC4-5D6E-409C-BE32-E72D297353CC}">
                <c16:uniqueId val="{00000007-4002-4DE1-9396-220CC70ABDD8}"/>
              </c:ext>
            </c:extLst>
          </c:dPt>
          <c:dPt>
            <c:idx val="16"/>
            <c:invertIfNegative val="0"/>
            <c:bubble3D val="0"/>
            <c:extLst>
              <c:ext xmlns:c16="http://schemas.microsoft.com/office/drawing/2014/chart" uri="{C3380CC4-5D6E-409C-BE32-E72D297353CC}">
                <c16:uniqueId val="{00000008-4002-4DE1-9396-220CC70ABDD8}"/>
              </c:ext>
            </c:extLst>
          </c:dPt>
          <c:dPt>
            <c:idx val="17"/>
            <c:invertIfNegative val="0"/>
            <c:bubble3D val="0"/>
            <c:extLst>
              <c:ext xmlns:c16="http://schemas.microsoft.com/office/drawing/2014/chart" uri="{C3380CC4-5D6E-409C-BE32-E72D297353CC}">
                <c16:uniqueId val="{00000009-4002-4DE1-9396-220CC70ABDD8}"/>
              </c:ext>
            </c:extLst>
          </c:dPt>
          <c:dPt>
            <c:idx val="26"/>
            <c:invertIfNegative val="0"/>
            <c:bubble3D val="0"/>
            <c:spPr>
              <a:solidFill>
                <a:srgbClr val="009BB4"/>
              </a:solidFill>
              <a:ln>
                <a:solidFill>
                  <a:srgbClr val="FF0000"/>
                </a:solidFill>
              </a:ln>
            </c:spPr>
            <c:extLst>
              <c:ext xmlns:c16="http://schemas.microsoft.com/office/drawing/2014/chart" uri="{C3380CC4-5D6E-409C-BE32-E72D297353CC}">
                <c16:uniqueId val="{0000000B-4002-4DE1-9396-220CC70ABDD8}"/>
              </c:ext>
            </c:extLst>
          </c:dPt>
          <c:dLbls>
            <c:numFmt formatCode="#,##0.0" sourceLinked="0"/>
            <c:spPr>
              <a:solidFill>
                <a:schemeClr val="accent5">
                  <a:lumMod val="75000"/>
                  <a:alpha val="58000"/>
                </a:schemeClr>
              </a:solidFill>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A_EN!$A$52:$A$80</c:f>
              <c:strCache>
                <c:ptCount val="29"/>
                <c:pt idx="0">
                  <c:v>France</c:v>
                </c:pt>
                <c:pt idx="1">
                  <c:v>Malta</c:v>
                </c:pt>
                <c:pt idx="2">
                  <c:v>Germany</c:v>
                </c:pt>
                <c:pt idx="3">
                  <c:v>United Kingdom</c:v>
                </c:pt>
                <c:pt idx="4">
                  <c:v>Luxembourg</c:v>
                </c:pt>
                <c:pt idx="5">
                  <c:v>Greece</c:v>
                </c:pt>
                <c:pt idx="6">
                  <c:v>Portugal</c:v>
                </c:pt>
                <c:pt idx="7">
                  <c:v>EU28</c:v>
                </c:pt>
                <c:pt idx="8">
                  <c:v>Austria</c:v>
                </c:pt>
                <c:pt idx="9">
                  <c:v>Spain</c:v>
                </c:pt>
                <c:pt idx="10">
                  <c:v>Netherlands</c:v>
                </c:pt>
                <c:pt idx="11">
                  <c:v>Ireland</c:v>
                </c:pt>
                <c:pt idx="12">
                  <c:v>Belgium</c:v>
                </c:pt>
                <c:pt idx="13">
                  <c:v>Cyprus</c:v>
                </c:pt>
                <c:pt idx="14">
                  <c:v>Slovenia</c:v>
                </c:pt>
                <c:pt idx="15">
                  <c:v>Sweden</c:v>
                </c:pt>
                <c:pt idx="16">
                  <c:v>Croatia</c:v>
                </c:pt>
                <c:pt idx="17">
                  <c:v>Italy</c:v>
                </c:pt>
                <c:pt idx="18">
                  <c:v>Hungary</c:v>
                </c:pt>
                <c:pt idx="19">
                  <c:v>Estonia</c:v>
                </c:pt>
                <c:pt idx="20">
                  <c:v>Denmark</c:v>
                </c:pt>
                <c:pt idx="21">
                  <c:v>Poland</c:v>
                </c:pt>
                <c:pt idx="22">
                  <c:v>Bulgaria</c:v>
                </c:pt>
                <c:pt idx="23">
                  <c:v>Romania</c:v>
                </c:pt>
                <c:pt idx="24">
                  <c:v>Latvia</c:v>
                </c:pt>
                <c:pt idx="25">
                  <c:v>Lithuania</c:v>
                </c:pt>
                <c:pt idx="26">
                  <c:v>Czech Republic</c:v>
                </c:pt>
                <c:pt idx="27">
                  <c:v>Slovakia</c:v>
                </c:pt>
                <c:pt idx="28">
                  <c:v>Finland</c:v>
                </c:pt>
              </c:strCache>
            </c:strRef>
          </c:cat>
          <c:val>
            <c:numRef>
              <c:f>A_EN!$B$52:$B$80</c:f>
              <c:numCache>
                <c:formatCode>#,##0.0</c:formatCode>
                <c:ptCount val="29"/>
                <c:pt idx="0">
                  <c:v>59.719006503915203</c:v>
                </c:pt>
                <c:pt idx="1">
                  <c:v>54.219052531986698</c:v>
                </c:pt>
                <c:pt idx="2">
                  <c:v>53.739504863291799</c:v>
                </c:pt>
                <c:pt idx="3" formatCode="#,##0">
                  <c:v>52.197662077104702</c:v>
                </c:pt>
                <c:pt idx="4">
                  <c:v>50.915478487301087</c:v>
                </c:pt>
                <c:pt idx="5">
                  <c:v>46.097064266285997</c:v>
                </c:pt>
                <c:pt idx="6">
                  <c:v>45.135343990254299</c:v>
                </c:pt>
                <c:pt idx="7" formatCode="#,##0">
                  <c:v>41.729133307519298</c:v>
                </c:pt>
                <c:pt idx="8">
                  <c:v>41.531234930199503</c:v>
                </c:pt>
                <c:pt idx="9">
                  <c:v>41.318365588482799</c:v>
                </c:pt>
                <c:pt idx="10">
                  <c:v>40.283120472783487</c:v>
                </c:pt>
                <c:pt idx="11">
                  <c:v>39.722785113864603</c:v>
                </c:pt>
                <c:pt idx="12">
                  <c:v>38.950919073287999</c:v>
                </c:pt>
                <c:pt idx="13">
                  <c:v>38.023128928952701</c:v>
                </c:pt>
                <c:pt idx="14">
                  <c:v>35.116445792360103</c:v>
                </c:pt>
                <c:pt idx="15">
                  <c:v>34.104946889617892</c:v>
                </c:pt>
                <c:pt idx="16">
                  <c:v>33.867693594351493</c:v>
                </c:pt>
                <c:pt idx="17">
                  <c:v>33.110321816298487</c:v>
                </c:pt>
                <c:pt idx="18">
                  <c:v>31.545460465327</c:v>
                </c:pt>
                <c:pt idx="19">
                  <c:v>29.0304209614321</c:v>
                </c:pt>
                <c:pt idx="20">
                  <c:v>27.395460636138701</c:v>
                </c:pt>
                <c:pt idx="21">
                  <c:v>24.451250616710499</c:v>
                </c:pt>
                <c:pt idx="22">
                  <c:v>20.958412223934879</c:v>
                </c:pt>
                <c:pt idx="23">
                  <c:v>19.102503943203001</c:v>
                </c:pt>
                <c:pt idx="24">
                  <c:v>18.1721048453667</c:v>
                </c:pt>
                <c:pt idx="25">
                  <c:v>17.765571994655001</c:v>
                </c:pt>
                <c:pt idx="26">
                  <c:v>15.5588636679999</c:v>
                </c:pt>
                <c:pt idx="27">
                  <c:v>15.080225516564701</c:v>
                </c:pt>
                <c:pt idx="28">
                  <c:v>8.3484599346034294</c:v>
                </c:pt>
              </c:numCache>
            </c:numRef>
          </c:val>
          <c:extLst>
            <c:ext xmlns:c16="http://schemas.microsoft.com/office/drawing/2014/chart" uri="{C3380CC4-5D6E-409C-BE32-E72D297353CC}">
              <c16:uniqueId val="{0000000C-4002-4DE1-9396-220CC70ABDD8}"/>
            </c:ext>
          </c:extLst>
        </c:ser>
        <c:dLbls>
          <c:showLegendKey val="0"/>
          <c:showVal val="0"/>
          <c:showCatName val="0"/>
          <c:showSerName val="0"/>
          <c:showPercent val="0"/>
          <c:showBubbleSize val="0"/>
        </c:dLbls>
        <c:gapWidth val="40"/>
        <c:axId val="151333888"/>
        <c:axId val="145186816"/>
      </c:barChart>
      <c:barChart>
        <c:barDir val="col"/>
        <c:grouping val="clustered"/>
        <c:varyColors val="0"/>
        <c:ser>
          <c:idx val="1"/>
          <c:order val="1"/>
          <c:tx>
            <c:strRef>
              <c:f>A_EN!$C$51</c:f>
              <c:strCache>
                <c:ptCount val="1"/>
                <c:pt idx="0">
                  <c:v> 2006</c:v>
                </c:pt>
              </c:strCache>
            </c:strRef>
          </c:tx>
          <c:spPr>
            <a:solidFill>
              <a:srgbClr val="47E5FF"/>
            </a:solidFill>
          </c:spPr>
          <c:invertIfNegative val="0"/>
          <c:dPt>
            <c:idx val="7"/>
            <c:invertIfNegative val="0"/>
            <c:bubble3D val="0"/>
            <c:spPr>
              <a:solidFill>
                <a:srgbClr val="47E5FF"/>
              </a:solidFill>
              <a:ln>
                <a:solidFill>
                  <a:srgbClr val="FF0000"/>
                </a:solidFill>
              </a:ln>
            </c:spPr>
            <c:extLst>
              <c:ext xmlns:c16="http://schemas.microsoft.com/office/drawing/2014/chart" uri="{C3380CC4-5D6E-409C-BE32-E72D297353CC}">
                <c16:uniqueId val="{0000000E-4002-4DE1-9396-220CC70ABDD8}"/>
              </c:ext>
            </c:extLst>
          </c:dPt>
          <c:dPt>
            <c:idx val="26"/>
            <c:invertIfNegative val="0"/>
            <c:bubble3D val="0"/>
            <c:spPr>
              <a:solidFill>
                <a:srgbClr val="47E5FF"/>
              </a:solidFill>
              <a:ln>
                <a:solidFill>
                  <a:srgbClr val="FF0000"/>
                </a:solidFill>
              </a:ln>
            </c:spPr>
            <c:extLst>
              <c:ext xmlns:c16="http://schemas.microsoft.com/office/drawing/2014/chart" uri="{C3380CC4-5D6E-409C-BE32-E72D297353CC}">
                <c16:uniqueId val="{00000010-4002-4DE1-9396-220CC70ABDD8}"/>
              </c:ext>
            </c:extLst>
          </c:dPt>
          <c:dLbls>
            <c:dLbl>
              <c:idx val="0"/>
              <c:layout>
                <c:manualLayout>
                  <c:x val="-4.8727199520382705E-18"/>
                  <c:y val="-1.37931034482758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002-4DE1-9396-220CC70ABDD8}"/>
                </c:ext>
              </c:extLst>
            </c:dLbl>
            <c:dLbl>
              <c:idx val="1"/>
              <c:layout>
                <c:manualLayout>
                  <c:x val="0"/>
                  <c:y val="-2.29885057471264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002-4DE1-9396-220CC70ABDD8}"/>
                </c:ext>
              </c:extLst>
            </c:dLbl>
            <c:dLbl>
              <c:idx val="2"/>
              <c:layout>
                <c:manualLayout>
                  <c:x val="-1.8167185054140901E-17"/>
                  <c:y val="7.71313611863248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002-4DE1-9396-220CC70ABDD8}"/>
                </c:ext>
              </c:extLst>
            </c:dLbl>
            <c:dLbl>
              <c:idx val="6"/>
              <c:layout>
                <c:manualLayout>
                  <c:x val="0"/>
                  <c:y val="-4.13793103448275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002-4DE1-9396-220CC70ABDD8}"/>
                </c:ext>
              </c:extLst>
            </c:dLbl>
            <c:dLbl>
              <c:idx val="15"/>
              <c:layout>
                <c:manualLayout>
                  <c:x val="0"/>
                  <c:y val="4.2850756214624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002-4DE1-9396-220CC70ABDD8}"/>
                </c:ext>
              </c:extLst>
            </c:dLbl>
            <c:numFmt formatCode="#,##0.0" sourceLinked="0"/>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A_EN!$A$52:$A$80</c:f>
              <c:strCache>
                <c:ptCount val="29"/>
                <c:pt idx="0">
                  <c:v>France</c:v>
                </c:pt>
                <c:pt idx="1">
                  <c:v>Malta</c:v>
                </c:pt>
                <c:pt idx="2">
                  <c:v>Germany</c:v>
                </c:pt>
                <c:pt idx="3">
                  <c:v>United Kingdom</c:v>
                </c:pt>
                <c:pt idx="4">
                  <c:v>Luxembourg</c:v>
                </c:pt>
                <c:pt idx="5">
                  <c:v>Greece</c:v>
                </c:pt>
                <c:pt idx="6">
                  <c:v>Portugal</c:v>
                </c:pt>
                <c:pt idx="7">
                  <c:v>EU28</c:v>
                </c:pt>
                <c:pt idx="8">
                  <c:v>Austria</c:v>
                </c:pt>
                <c:pt idx="9">
                  <c:v>Spain</c:v>
                </c:pt>
                <c:pt idx="10">
                  <c:v>Netherlands</c:v>
                </c:pt>
                <c:pt idx="11">
                  <c:v>Ireland</c:v>
                </c:pt>
                <c:pt idx="12">
                  <c:v>Belgium</c:v>
                </c:pt>
                <c:pt idx="13">
                  <c:v>Cyprus</c:v>
                </c:pt>
                <c:pt idx="14">
                  <c:v>Slovenia</c:v>
                </c:pt>
                <c:pt idx="15">
                  <c:v>Sweden</c:v>
                </c:pt>
                <c:pt idx="16">
                  <c:v>Croatia</c:v>
                </c:pt>
                <c:pt idx="17">
                  <c:v>Italy</c:v>
                </c:pt>
                <c:pt idx="18">
                  <c:v>Hungary</c:v>
                </c:pt>
                <c:pt idx="19">
                  <c:v>Estonia</c:v>
                </c:pt>
                <c:pt idx="20">
                  <c:v>Denmark</c:v>
                </c:pt>
                <c:pt idx="21">
                  <c:v>Poland</c:v>
                </c:pt>
                <c:pt idx="22">
                  <c:v>Bulgaria</c:v>
                </c:pt>
                <c:pt idx="23">
                  <c:v>Romania</c:v>
                </c:pt>
                <c:pt idx="24">
                  <c:v>Latvia</c:v>
                </c:pt>
                <c:pt idx="25">
                  <c:v>Lithuania</c:v>
                </c:pt>
                <c:pt idx="26">
                  <c:v>Czech Republic</c:v>
                </c:pt>
                <c:pt idx="27">
                  <c:v>Slovakia</c:v>
                </c:pt>
                <c:pt idx="28">
                  <c:v>Finland</c:v>
                </c:pt>
              </c:strCache>
            </c:strRef>
          </c:cat>
          <c:val>
            <c:numRef>
              <c:f>A_EN!$C$52:$C$80</c:f>
              <c:numCache>
                <c:formatCode>#,##0.0</c:formatCode>
                <c:ptCount val="29"/>
                <c:pt idx="0">
                  <c:v>55.178055015682013</c:v>
                </c:pt>
                <c:pt idx="1">
                  <c:v>50.016563286156</c:v>
                </c:pt>
                <c:pt idx="2">
                  <c:v>64.962746372708125</c:v>
                </c:pt>
                <c:pt idx="3" formatCode="#,##0">
                  <c:v>55.836363517292703</c:v>
                </c:pt>
                <c:pt idx="4">
                  <c:v>53.280824694503998</c:v>
                </c:pt>
                <c:pt idx="5">
                  <c:v>55.828520099590001</c:v>
                </c:pt>
                <c:pt idx="6">
                  <c:v>40.257182964573097</c:v>
                </c:pt>
                <c:pt idx="7" formatCode="#,##0">
                  <c:v>48.124372462116298</c:v>
                </c:pt>
                <c:pt idx="8">
                  <c:v>43.552360024466587</c:v>
                </c:pt>
                <c:pt idx="9">
                  <c:v>45.108386633718503</c:v>
                </c:pt>
                <c:pt idx="10">
                  <c:v>45.493924484848399</c:v>
                </c:pt>
                <c:pt idx="11">
                  <c:v>51.504790227595002</c:v>
                </c:pt>
                <c:pt idx="12">
                  <c:v>44.653571194810297</c:v>
                </c:pt>
                <c:pt idx="13">
                  <c:v>38.950066487712448</c:v>
                </c:pt>
                <c:pt idx="14">
                  <c:v>51.221332021925001</c:v>
                </c:pt>
                <c:pt idx="15">
                  <c:v>61.025270754945403</c:v>
                </c:pt>
                <c:pt idx="16">
                  <c:v>41.818151505469388</c:v>
                </c:pt>
                <c:pt idx="17">
                  <c:v>45.516462389361394</c:v>
                </c:pt>
                <c:pt idx="18">
                  <c:v>33.346882316463287</c:v>
                </c:pt>
                <c:pt idx="19">
                  <c:v>34.264493025590397</c:v>
                </c:pt>
                <c:pt idx="20">
                  <c:v>56.949528600202498</c:v>
                </c:pt>
                <c:pt idx="21">
                  <c:v>30.045462705911401</c:v>
                </c:pt>
                <c:pt idx="22">
                  <c:v>31.4767228853452</c:v>
                </c:pt>
                <c:pt idx="23">
                  <c:v>19.025253508783781</c:v>
                </c:pt>
                <c:pt idx="24">
                  <c:v>29.91682287691718</c:v>
                </c:pt>
                <c:pt idx="25">
                  <c:v>24.464380380626402</c:v>
                </c:pt>
                <c:pt idx="26">
                  <c:v>28.103254667244599</c:v>
                </c:pt>
                <c:pt idx="27">
                  <c:v>21.62876320358928</c:v>
                </c:pt>
                <c:pt idx="28">
                  <c:v>36.257903416158896</c:v>
                </c:pt>
              </c:numCache>
            </c:numRef>
          </c:val>
          <c:extLst>
            <c:ext xmlns:c16="http://schemas.microsoft.com/office/drawing/2014/chart" uri="{C3380CC4-5D6E-409C-BE32-E72D297353CC}">
              <c16:uniqueId val="{00000016-4002-4DE1-9396-220CC70ABDD8}"/>
            </c:ext>
          </c:extLst>
        </c:ser>
        <c:dLbls>
          <c:showLegendKey val="0"/>
          <c:showVal val="0"/>
          <c:showCatName val="0"/>
          <c:showSerName val="0"/>
          <c:showPercent val="0"/>
          <c:showBubbleSize val="0"/>
        </c:dLbls>
        <c:gapWidth val="305"/>
        <c:axId val="151492096"/>
        <c:axId val="145187392"/>
      </c:barChart>
      <c:catAx>
        <c:axId val="151333888"/>
        <c:scaling>
          <c:orientation val="minMax"/>
        </c:scaling>
        <c:delete val="0"/>
        <c:axPos val="b"/>
        <c:numFmt formatCode="General" sourceLinked="0"/>
        <c:majorTickMark val="out"/>
        <c:minorTickMark val="none"/>
        <c:tickLblPos val="nextTo"/>
        <c:spPr>
          <a:ln w="3175">
            <a:solidFill>
              <a:schemeClr val="tx1"/>
            </a:solidFill>
          </a:ln>
        </c:spPr>
        <c:txPr>
          <a:bodyPr rot="-2700000" vert="horz"/>
          <a:lstStyle/>
          <a:p>
            <a:pPr>
              <a:defRPr/>
            </a:pPr>
            <a:endParaRPr lang="cs-CZ"/>
          </a:p>
        </c:txPr>
        <c:crossAx val="145186816"/>
        <c:crosses val="autoZero"/>
        <c:auto val="1"/>
        <c:lblAlgn val="ctr"/>
        <c:lblOffset val="100"/>
        <c:noMultiLvlLbl val="0"/>
      </c:catAx>
      <c:valAx>
        <c:axId val="145186816"/>
        <c:scaling>
          <c:orientation val="minMax"/>
          <c:max val="0.70000000000000095"/>
          <c:min val="0"/>
        </c:scaling>
        <c:delete val="1"/>
        <c:axPos val="l"/>
        <c:numFmt formatCode="#,##0.0" sourceLinked="1"/>
        <c:majorTickMark val="out"/>
        <c:minorTickMark val="none"/>
        <c:tickLblPos val="nextTo"/>
        <c:crossAx val="151333888"/>
        <c:crosses val="autoZero"/>
        <c:crossBetween val="between"/>
        <c:majorUnit val="0.1"/>
        <c:minorUnit val="0.05"/>
      </c:valAx>
      <c:valAx>
        <c:axId val="145187392"/>
        <c:scaling>
          <c:orientation val="minMax"/>
          <c:max val="70"/>
        </c:scaling>
        <c:delete val="0"/>
        <c:axPos val="r"/>
        <c:numFmt formatCode="0" sourceLinked="0"/>
        <c:majorTickMark val="none"/>
        <c:minorTickMark val="none"/>
        <c:tickLblPos val="none"/>
        <c:crossAx val="151492096"/>
        <c:crosses val="max"/>
        <c:crossBetween val="between"/>
        <c:majorUnit val="10"/>
        <c:minorUnit val="1"/>
      </c:valAx>
      <c:catAx>
        <c:axId val="151492096"/>
        <c:scaling>
          <c:orientation val="minMax"/>
        </c:scaling>
        <c:delete val="1"/>
        <c:axPos val="b"/>
        <c:numFmt formatCode="General" sourceLinked="0"/>
        <c:majorTickMark val="out"/>
        <c:minorTickMark val="none"/>
        <c:tickLblPos val="none"/>
        <c:crossAx val="145187392"/>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934650614811805"/>
          <c:y val="0.13253055555555601"/>
          <c:w val="6.9586721030664295E-2"/>
          <c:h val="0.11638209876543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01818783068801"/>
          <c:y val="0.13631913580246899"/>
          <c:w val="0.75899074074074102"/>
          <c:h val="0.74338858024691301"/>
        </c:manualLayout>
      </c:layout>
      <c:barChart>
        <c:barDir val="bar"/>
        <c:grouping val="clustered"/>
        <c:varyColors val="0"/>
        <c:ser>
          <c:idx val="0"/>
          <c:order val="0"/>
          <c:tx>
            <c:strRef>
              <c:f>C_ENG!$B$178</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C_ENG!$A$179:$A$189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C_ENG!$B$179:$B$189</c:f>
              <c:numCache>
                <c:formatCode>0%</c:formatCode>
                <c:ptCount val="11"/>
                <c:pt idx="0">
                  <c:v>0.17144597038800999</c:v>
                </c:pt>
                <c:pt idx="1">
                  <c:v>0.379682387439367</c:v>
                </c:pt>
                <c:pt idx="2">
                  <c:v>0.58043408465849999</c:v>
                </c:pt>
                <c:pt idx="3">
                  <c:v>0.736713280930679</c:v>
                </c:pt>
                <c:pt idx="4">
                  <c:v>0.84377338373485999</c:v>
                </c:pt>
                <c:pt idx="5">
                  <c:v>0.87598595474306096</c:v>
                </c:pt>
                <c:pt idx="7">
                  <c:v>0.60731050360998695</c:v>
                </c:pt>
                <c:pt idx="8">
                  <c:v>0.67252580472809198</c:v>
                </c:pt>
                <c:pt idx="10">
                  <c:v>0.63988756448894202</c:v>
                </c:pt>
              </c:numCache>
            </c:numRef>
          </c:val>
          <c:extLst>
            <c:ext xmlns:c16="http://schemas.microsoft.com/office/drawing/2014/chart" uri="{C3380CC4-5D6E-409C-BE32-E72D297353CC}">
              <c16:uniqueId val="{00000000-D023-4DD6-9B73-678DB08A384B}"/>
            </c:ext>
          </c:extLst>
        </c:ser>
        <c:ser>
          <c:idx val="1"/>
          <c:order val="1"/>
          <c:tx>
            <c:strRef>
              <c:f>C_ENG!$C$178</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23-4DD6-9B73-678DB08A384B}"/>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23-4DD6-9B73-678DB08A384B}"/>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C_ENG!$A$179:$A$189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C_ENG!$C$179:$C$189</c:f>
              <c:numCache>
                <c:formatCode>0%</c:formatCode>
                <c:ptCount val="11"/>
                <c:pt idx="0">
                  <c:v>5.76779010947681E-2</c:v>
                </c:pt>
                <c:pt idx="1">
                  <c:v>0.28603104880409602</c:v>
                </c:pt>
                <c:pt idx="2">
                  <c:v>0.53127396504634905</c:v>
                </c:pt>
                <c:pt idx="3">
                  <c:v>0.71383326370249101</c:v>
                </c:pt>
                <c:pt idx="4">
                  <c:v>0.81316031927809396</c:v>
                </c:pt>
                <c:pt idx="5">
                  <c:v>0.86745739138113698</c:v>
                </c:pt>
                <c:pt idx="7">
                  <c:v>0.46143530426582202</c:v>
                </c:pt>
                <c:pt idx="8">
                  <c:v>0.54852919573827497</c:v>
                </c:pt>
                <c:pt idx="10">
                  <c:v>0.50371415082770499</c:v>
                </c:pt>
              </c:numCache>
            </c:numRef>
          </c:val>
          <c:extLst>
            <c:ext xmlns:c16="http://schemas.microsoft.com/office/drawing/2014/chart" uri="{C3380CC4-5D6E-409C-BE32-E72D297353CC}">
              <c16:uniqueId val="{00000003-D023-4DD6-9B73-678DB08A384B}"/>
            </c:ext>
          </c:extLst>
        </c:ser>
        <c:dLbls>
          <c:showLegendKey val="0"/>
          <c:showVal val="0"/>
          <c:showCatName val="0"/>
          <c:showSerName val="0"/>
          <c:showPercent val="0"/>
          <c:showBubbleSize val="0"/>
        </c:dLbls>
        <c:gapWidth val="30"/>
        <c:axId val="175149056"/>
        <c:axId val="172316288"/>
      </c:barChart>
      <c:catAx>
        <c:axId val="175149056"/>
        <c:scaling>
          <c:orientation val="minMax"/>
        </c:scaling>
        <c:delete val="0"/>
        <c:axPos val="l"/>
        <c:numFmt formatCode="General" sourceLinked="1"/>
        <c:majorTickMark val="out"/>
        <c:minorTickMark val="none"/>
        <c:tickLblPos val="nextTo"/>
        <c:spPr>
          <a:ln w="3175">
            <a:solidFill>
              <a:schemeClr val="tx1"/>
            </a:solidFill>
          </a:ln>
        </c:spPr>
        <c:crossAx val="172316288"/>
        <c:crosses val="autoZero"/>
        <c:auto val="1"/>
        <c:lblAlgn val="ctr"/>
        <c:lblOffset val="100"/>
        <c:noMultiLvlLbl val="0"/>
      </c:catAx>
      <c:valAx>
        <c:axId val="172316288"/>
        <c:scaling>
          <c:orientation val="minMax"/>
          <c:max val="1"/>
        </c:scaling>
        <c:delete val="0"/>
        <c:axPos val="b"/>
        <c:numFmt formatCode="0%" sourceLinked="1"/>
        <c:majorTickMark val="none"/>
        <c:minorTickMark val="none"/>
        <c:tickLblPos val="none"/>
        <c:crossAx val="175149056"/>
        <c:crosses val="autoZero"/>
        <c:crossBetween val="between"/>
        <c:majorUnit val="0.1"/>
        <c:minorUnit val="0.05"/>
      </c:valAx>
      <c:spPr>
        <a:ln w="12700">
          <a:solidFill>
            <a:schemeClr val="bg1">
              <a:lumMod val="65000"/>
            </a:schemeClr>
          </a:solidFill>
        </a:ln>
      </c:spPr>
    </c:plotArea>
    <c:legend>
      <c:legendPos val="r"/>
      <c:layout>
        <c:manualLayout>
          <c:xMode val="edge"/>
          <c:yMode val="edge"/>
          <c:x val="0.5868331682699065"/>
          <c:y val="0.75450232578238563"/>
          <c:w val="0.35311610332643661"/>
          <c:h val="0.11239532435944527"/>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C_ENG!$B$211</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extLst>
              <c:ext xmlns:c16="http://schemas.microsoft.com/office/drawing/2014/chart" uri="{C3380CC4-5D6E-409C-BE32-E72D297353CC}">
                <c16:uniqueId val="{00000001-4B42-4C57-B658-CF6DA482DFA1}"/>
              </c:ext>
            </c:extLst>
          </c:dPt>
          <c:dPt>
            <c:idx val="13"/>
            <c:invertIfNegative val="0"/>
            <c:bubble3D val="0"/>
            <c:spPr>
              <a:solidFill>
                <a:srgbClr val="009BB4"/>
              </a:solidFill>
              <a:ln w="19050">
                <a:noFill/>
              </a:ln>
            </c:spPr>
            <c:extLst>
              <c:ext xmlns:c16="http://schemas.microsoft.com/office/drawing/2014/chart" uri="{C3380CC4-5D6E-409C-BE32-E72D297353CC}">
                <c16:uniqueId val="{00000003-4B42-4C57-B658-CF6DA482DFA1}"/>
              </c:ext>
            </c:extLst>
          </c:dPt>
          <c:dPt>
            <c:idx val="15"/>
            <c:invertIfNegative val="0"/>
            <c:bubble3D val="0"/>
            <c:spPr>
              <a:solidFill>
                <a:srgbClr val="009BB4"/>
              </a:solidFill>
              <a:ln>
                <a:solidFill>
                  <a:srgbClr val="FF0000"/>
                </a:solidFill>
              </a:ln>
            </c:spPr>
            <c:extLst>
              <c:ext xmlns:c16="http://schemas.microsoft.com/office/drawing/2014/chart" uri="{C3380CC4-5D6E-409C-BE32-E72D297353CC}">
                <c16:uniqueId val="{00000005-4B42-4C57-B658-CF6DA482DFA1}"/>
              </c:ext>
            </c:extLst>
          </c:dPt>
          <c:dPt>
            <c:idx val="20"/>
            <c:invertIfNegative val="0"/>
            <c:bubble3D val="0"/>
            <c:spPr>
              <a:solidFill>
                <a:srgbClr val="009BB4"/>
              </a:solidFill>
              <a:ln>
                <a:solidFill>
                  <a:srgbClr val="FF0000"/>
                </a:solidFill>
              </a:ln>
            </c:spPr>
            <c:extLst>
              <c:ext xmlns:c16="http://schemas.microsoft.com/office/drawing/2014/chart" uri="{C3380CC4-5D6E-409C-BE32-E72D297353CC}">
                <c16:uniqueId val="{00000007-4B42-4C57-B658-CF6DA482DFA1}"/>
              </c:ext>
            </c:extLst>
          </c:dPt>
          <c:dLbls>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C_ENG!$A$212:$A$240</c:f>
              <c:strCache>
                <c:ptCount val="29"/>
                <c:pt idx="0">
                  <c:v>Sweden</c:v>
                </c:pt>
                <c:pt idx="1">
                  <c:v>Netherlands</c:v>
                </c:pt>
                <c:pt idx="2">
                  <c:v>Denmark</c:v>
                </c:pt>
                <c:pt idx="3">
                  <c:v>United Kingdom</c:v>
                </c:pt>
                <c:pt idx="4">
                  <c:v>Luxembourg </c:v>
                </c:pt>
                <c:pt idx="5">
                  <c:v>Spain</c:v>
                </c:pt>
                <c:pt idx="6">
                  <c:v>Finland</c:v>
                </c:pt>
                <c:pt idx="7">
                  <c:v>Germany</c:v>
                </c:pt>
                <c:pt idx="8">
                  <c:v>Austria</c:v>
                </c:pt>
                <c:pt idx="9">
                  <c:v>Ireland</c:v>
                </c:pt>
                <c:pt idx="10">
                  <c:v>Belgium</c:v>
                </c:pt>
                <c:pt idx="11">
                  <c:v>Cyprus</c:v>
                </c:pt>
                <c:pt idx="12">
                  <c:v>Malta</c:v>
                </c:pt>
                <c:pt idx="13">
                  <c:v>France</c:v>
                </c:pt>
                <c:pt idx="14">
                  <c:v>Estonia</c:v>
                </c:pt>
                <c:pt idx="15">
                  <c:v>EU28</c:v>
                </c:pt>
                <c:pt idx="16">
                  <c:v>Slovenia</c:v>
                </c:pt>
                <c:pt idx="17">
                  <c:v>Slovakia</c:v>
                </c:pt>
                <c:pt idx="18">
                  <c:v>Hungary</c:v>
                </c:pt>
                <c:pt idx="19">
                  <c:v>Portugal</c:v>
                </c:pt>
                <c:pt idx="20">
                  <c:v>Czech Republic</c:v>
                </c:pt>
                <c:pt idx="21">
                  <c:v>Bulgaria</c:v>
                </c:pt>
                <c:pt idx="22">
                  <c:v>Lithuania</c:v>
                </c:pt>
                <c:pt idx="23">
                  <c:v>Latvia</c:v>
                </c:pt>
                <c:pt idx="24">
                  <c:v>Croatia</c:v>
                </c:pt>
                <c:pt idx="25">
                  <c:v>Romania</c:v>
                </c:pt>
                <c:pt idx="26">
                  <c:v>Greece</c:v>
                </c:pt>
                <c:pt idx="27">
                  <c:v>Poland</c:v>
                </c:pt>
                <c:pt idx="28">
                  <c:v>Italy</c:v>
                </c:pt>
              </c:strCache>
            </c:strRef>
          </c:cat>
          <c:val>
            <c:numRef>
              <c:f>C_ENG!$B$212:$B$240</c:f>
              <c:numCache>
                <c:formatCode>0%</c:formatCode>
                <c:ptCount val="29"/>
                <c:pt idx="0">
                  <c:v>0.84114500000000003</c:v>
                </c:pt>
                <c:pt idx="1">
                  <c:v>0.84108700000000003</c:v>
                </c:pt>
                <c:pt idx="2">
                  <c:v>0.80496999999999996</c:v>
                </c:pt>
                <c:pt idx="3">
                  <c:v>0.79202399999999995</c:v>
                </c:pt>
                <c:pt idx="4">
                  <c:v>0.76775899999999997</c:v>
                </c:pt>
                <c:pt idx="5">
                  <c:v>0.76448300000000002</c:v>
                </c:pt>
                <c:pt idx="6">
                  <c:v>0.745587</c:v>
                </c:pt>
                <c:pt idx="7">
                  <c:v>0.72914800000000002</c:v>
                </c:pt>
                <c:pt idx="8">
                  <c:v>0.72400200000000003</c:v>
                </c:pt>
                <c:pt idx="9">
                  <c:v>0.70516800000000002</c:v>
                </c:pt>
                <c:pt idx="10">
                  <c:v>0.68329099999999998</c:v>
                </c:pt>
                <c:pt idx="11">
                  <c:v>0.68273099999999998</c:v>
                </c:pt>
                <c:pt idx="12">
                  <c:v>0.66797200000000001</c:v>
                </c:pt>
                <c:pt idx="13">
                  <c:v>0.64188900000000004</c:v>
                </c:pt>
                <c:pt idx="14">
                  <c:v>0.64160499999999998</c:v>
                </c:pt>
                <c:pt idx="15">
                  <c:v>0.62598399999999998</c:v>
                </c:pt>
                <c:pt idx="16">
                  <c:v>0.60544900000000001</c:v>
                </c:pt>
                <c:pt idx="17">
                  <c:v>0.59754099999999999</c:v>
                </c:pt>
                <c:pt idx="18">
                  <c:v>0.58371700000000004</c:v>
                </c:pt>
                <c:pt idx="19">
                  <c:v>0.56312099999999998</c:v>
                </c:pt>
                <c:pt idx="20">
                  <c:v>0.54949000000000003</c:v>
                </c:pt>
                <c:pt idx="21">
                  <c:v>0.53420900000000004</c:v>
                </c:pt>
                <c:pt idx="22">
                  <c:v>0.53250600000000003</c:v>
                </c:pt>
                <c:pt idx="23">
                  <c:v>0.52208500000000002</c:v>
                </c:pt>
                <c:pt idx="24">
                  <c:v>0.508301</c:v>
                </c:pt>
                <c:pt idx="25">
                  <c:v>0.49792399999999998</c:v>
                </c:pt>
                <c:pt idx="26">
                  <c:v>0.48322399999999999</c:v>
                </c:pt>
                <c:pt idx="27">
                  <c:v>0.38681399999999999</c:v>
                </c:pt>
                <c:pt idx="28">
                  <c:v>0.31303300000000001</c:v>
                </c:pt>
              </c:numCache>
            </c:numRef>
          </c:val>
          <c:extLst>
            <c:ext xmlns:c16="http://schemas.microsoft.com/office/drawing/2014/chart" uri="{C3380CC4-5D6E-409C-BE32-E72D297353CC}">
              <c16:uniqueId val="{00000008-4B42-4C57-B658-CF6DA482DFA1}"/>
            </c:ext>
          </c:extLst>
        </c:ser>
        <c:dLbls>
          <c:showLegendKey val="0"/>
          <c:showVal val="0"/>
          <c:showCatName val="0"/>
          <c:showSerName val="0"/>
          <c:showPercent val="0"/>
          <c:showBubbleSize val="0"/>
        </c:dLbls>
        <c:gapWidth val="50"/>
        <c:axId val="172372992"/>
        <c:axId val="172318016"/>
      </c:barChart>
      <c:barChart>
        <c:barDir val="col"/>
        <c:grouping val="clustered"/>
        <c:varyColors val="0"/>
        <c:ser>
          <c:idx val="1"/>
          <c:order val="1"/>
          <c:tx>
            <c:strRef>
              <c:f>C_ENG!$C$211</c:f>
              <c:strCache>
                <c:ptCount val="1"/>
                <c:pt idx="0">
                  <c:v> 2012</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C_ENG!$A$212:$A$240</c:f>
              <c:strCache>
                <c:ptCount val="29"/>
                <c:pt idx="0">
                  <c:v>Sweden</c:v>
                </c:pt>
                <c:pt idx="1">
                  <c:v>Netherlands</c:v>
                </c:pt>
                <c:pt idx="2">
                  <c:v>Denmark</c:v>
                </c:pt>
                <c:pt idx="3">
                  <c:v>United Kingdom</c:v>
                </c:pt>
                <c:pt idx="4">
                  <c:v>Luxembourg </c:v>
                </c:pt>
                <c:pt idx="5">
                  <c:v>Spain</c:v>
                </c:pt>
                <c:pt idx="6">
                  <c:v>Finland</c:v>
                </c:pt>
                <c:pt idx="7">
                  <c:v>Germany</c:v>
                </c:pt>
                <c:pt idx="8">
                  <c:v>Austria</c:v>
                </c:pt>
                <c:pt idx="9">
                  <c:v>Ireland</c:v>
                </c:pt>
                <c:pt idx="10">
                  <c:v>Belgium</c:v>
                </c:pt>
                <c:pt idx="11">
                  <c:v>Cyprus</c:v>
                </c:pt>
                <c:pt idx="12">
                  <c:v>Malta</c:v>
                </c:pt>
                <c:pt idx="13">
                  <c:v>France</c:v>
                </c:pt>
                <c:pt idx="14">
                  <c:v>Estonia</c:v>
                </c:pt>
                <c:pt idx="15">
                  <c:v>EU28</c:v>
                </c:pt>
                <c:pt idx="16">
                  <c:v>Slovenia</c:v>
                </c:pt>
                <c:pt idx="17">
                  <c:v>Slovakia</c:v>
                </c:pt>
                <c:pt idx="18">
                  <c:v>Hungary</c:v>
                </c:pt>
                <c:pt idx="19">
                  <c:v>Portugal</c:v>
                </c:pt>
                <c:pt idx="20">
                  <c:v>Czech Republic</c:v>
                </c:pt>
                <c:pt idx="21">
                  <c:v>Bulgaria</c:v>
                </c:pt>
                <c:pt idx="22">
                  <c:v>Lithuania</c:v>
                </c:pt>
                <c:pt idx="23">
                  <c:v>Latvia</c:v>
                </c:pt>
                <c:pt idx="24">
                  <c:v>Croatia</c:v>
                </c:pt>
                <c:pt idx="25">
                  <c:v>Romania</c:v>
                </c:pt>
                <c:pt idx="26">
                  <c:v>Greece</c:v>
                </c:pt>
                <c:pt idx="27">
                  <c:v>Poland</c:v>
                </c:pt>
                <c:pt idx="28">
                  <c:v>Italy</c:v>
                </c:pt>
              </c:strCache>
            </c:strRef>
          </c:cat>
          <c:val>
            <c:numRef>
              <c:f>C_ENG!$C$212:$C$240</c:f>
              <c:numCache>
                <c:formatCode>0%</c:formatCode>
                <c:ptCount val="29"/>
                <c:pt idx="0">
                  <c:v>0.59160500000000005</c:v>
                </c:pt>
                <c:pt idx="1">
                  <c:v>0.42926500000000001</c:v>
                </c:pt>
                <c:pt idx="2">
                  <c:v>0.50289300000000003</c:v>
                </c:pt>
                <c:pt idx="3">
                  <c:v>0.560141</c:v>
                </c:pt>
                <c:pt idx="4">
                  <c:v>0.461648</c:v>
                </c:pt>
                <c:pt idx="5">
                  <c:v>0.29937900000000001</c:v>
                </c:pt>
                <c:pt idx="6">
                  <c:v>0.44508399999999998</c:v>
                </c:pt>
                <c:pt idx="7">
                  <c:v>0.232908</c:v>
                </c:pt>
                <c:pt idx="8">
                  <c:v>0.35342499999999999</c:v>
                </c:pt>
                <c:pt idx="9">
                  <c:v>0.28673599999999999</c:v>
                </c:pt>
                <c:pt idx="10">
                  <c:v>0.27657500000000002</c:v>
                </c:pt>
                <c:pt idx="11">
                  <c:v>0.17149700000000001</c:v>
                </c:pt>
                <c:pt idx="12">
                  <c:v>0.28433000000000003</c:v>
                </c:pt>
                <c:pt idx="13">
                  <c:v>0.32913700000000001</c:v>
                </c:pt>
                <c:pt idx="14">
                  <c:v>0.17835599999999999</c:v>
                </c:pt>
                <c:pt idx="15">
                  <c:v>0.27407799999999999</c:v>
                </c:pt>
                <c:pt idx="16">
                  <c:v>0.19928899999999999</c:v>
                </c:pt>
                <c:pt idx="17">
                  <c:v>0.258405</c:v>
                </c:pt>
                <c:pt idx="18">
                  <c:v>0.104675</c:v>
                </c:pt>
                <c:pt idx="19">
                  <c:v>0.12468799999999999</c:v>
                </c:pt>
                <c:pt idx="20">
                  <c:v>0.129</c:v>
                </c:pt>
                <c:pt idx="21">
                  <c:v>6.8612999999999993E-2</c:v>
                </c:pt>
                <c:pt idx="22">
                  <c:v>0.131103</c:v>
                </c:pt>
                <c:pt idx="23">
                  <c:v>0.16353100000000001</c:v>
                </c:pt>
                <c:pt idx="24">
                  <c:v>0.28816900000000001</c:v>
                </c:pt>
                <c:pt idx="25">
                  <c:v>5.0665000000000002E-2</c:v>
                </c:pt>
                <c:pt idx="26">
                  <c:v>0.15135599999999999</c:v>
                </c:pt>
                <c:pt idx="27">
                  <c:v>0.147698</c:v>
                </c:pt>
                <c:pt idx="28">
                  <c:v>0.11361</c:v>
                </c:pt>
              </c:numCache>
            </c:numRef>
          </c:val>
          <c:extLst>
            <c:ext xmlns:c16="http://schemas.microsoft.com/office/drawing/2014/chart" uri="{C3380CC4-5D6E-409C-BE32-E72D297353CC}">
              <c16:uniqueId val="{00000009-4B42-4C57-B658-CF6DA482DFA1}"/>
            </c:ext>
          </c:extLst>
        </c:ser>
        <c:dLbls>
          <c:showLegendKey val="0"/>
          <c:showVal val="0"/>
          <c:showCatName val="0"/>
          <c:showSerName val="0"/>
          <c:showPercent val="0"/>
          <c:showBubbleSize val="0"/>
        </c:dLbls>
        <c:gapWidth val="200"/>
        <c:axId val="175407616"/>
        <c:axId val="175480832"/>
      </c:barChart>
      <c:catAx>
        <c:axId val="172372992"/>
        <c:scaling>
          <c:orientation val="minMax"/>
        </c:scaling>
        <c:delete val="0"/>
        <c:axPos val="b"/>
        <c:numFmt formatCode="General" sourceLinked="0"/>
        <c:majorTickMark val="out"/>
        <c:minorTickMark val="none"/>
        <c:tickLblPos val="nextTo"/>
        <c:spPr>
          <a:ln w="3175">
            <a:solidFill>
              <a:schemeClr val="tx1"/>
            </a:solidFill>
          </a:ln>
        </c:spPr>
        <c:crossAx val="172318016"/>
        <c:crosses val="autoZero"/>
        <c:auto val="1"/>
        <c:lblAlgn val="ctr"/>
        <c:lblOffset val="100"/>
        <c:noMultiLvlLbl val="0"/>
      </c:catAx>
      <c:valAx>
        <c:axId val="172318016"/>
        <c:scaling>
          <c:orientation val="minMax"/>
          <c:max val="1"/>
          <c:min val="0"/>
        </c:scaling>
        <c:delete val="1"/>
        <c:axPos val="l"/>
        <c:numFmt formatCode="0%" sourceLinked="1"/>
        <c:majorTickMark val="out"/>
        <c:minorTickMark val="none"/>
        <c:tickLblPos val="nextTo"/>
        <c:crossAx val="172372992"/>
        <c:crosses val="autoZero"/>
        <c:crossBetween val="between"/>
        <c:majorUnit val="0.1"/>
        <c:minorUnit val="0.05"/>
      </c:valAx>
      <c:valAx>
        <c:axId val="175480832"/>
        <c:scaling>
          <c:orientation val="minMax"/>
          <c:max val="1"/>
        </c:scaling>
        <c:delete val="0"/>
        <c:axPos val="r"/>
        <c:numFmt formatCode="0%" sourceLinked="1"/>
        <c:majorTickMark val="none"/>
        <c:minorTickMark val="none"/>
        <c:tickLblPos val="none"/>
        <c:crossAx val="175407616"/>
        <c:crosses val="max"/>
        <c:crossBetween val="between"/>
      </c:valAx>
      <c:catAx>
        <c:axId val="175407616"/>
        <c:scaling>
          <c:orientation val="minMax"/>
        </c:scaling>
        <c:delete val="1"/>
        <c:axPos val="b"/>
        <c:numFmt formatCode="General" sourceLinked="0"/>
        <c:majorTickMark val="out"/>
        <c:minorTickMark val="none"/>
        <c:tickLblPos val="none"/>
        <c:crossAx val="175480832"/>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7303835235269"/>
          <c:y val="0.14428981481481501"/>
          <c:w val="6.9586721030664295E-2"/>
          <c:h val="0.116382098765432"/>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C12 Individuals in the Czech Rep. aged 16+ using the internet</a:t>
            </a:r>
            <a:r>
              <a:rPr lang="cs-CZ" sz="800" b="1" baseline="0"/>
              <a:t> </a:t>
            </a:r>
            <a:r>
              <a:rPr lang="cs-CZ" sz="800" b="1"/>
              <a:t>on a mobile phone via mobile phone network</a:t>
            </a:r>
            <a:endParaRPr lang="en-US" sz="800" b="1"/>
          </a:p>
        </c:rich>
      </c:tx>
      <c:layout>
        <c:manualLayout>
          <c:xMode val="edge"/>
          <c:yMode val="edge"/>
          <c:x val="0.106434156378601"/>
          <c:y val="3.5277777777777797E-2"/>
        </c:manualLayout>
      </c:layout>
      <c:overlay val="1"/>
    </c:title>
    <c:autoTitleDeleted val="0"/>
    <c:plotArea>
      <c:layout>
        <c:manualLayout>
          <c:layoutTarget val="inner"/>
          <c:xMode val="edge"/>
          <c:yMode val="edge"/>
          <c:x val="1.38135167981066E-2"/>
          <c:y val="0.20743641975308599"/>
          <c:w val="0.96948369216085795"/>
          <c:h val="0.625630864197531"/>
        </c:manualLayout>
      </c:layout>
      <c:barChart>
        <c:barDir val="col"/>
        <c:grouping val="clustered"/>
        <c:varyColors val="0"/>
        <c:ser>
          <c:idx val="2"/>
          <c:order val="0"/>
          <c:tx>
            <c:strRef>
              <c:f>C_ENG!$A$245</c:f>
              <c:strCache>
                <c:ptCount val="1"/>
                <c:pt idx="0">
                  <c:v> Millions</c:v>
                </c:pt>
              </c:strCache>
            </c:strRef>
          </c:tx>
          <c:spPr>
            <a:solidFill>
              <a:srgbClr val="009BB4"/>
            </a:solidFill>
            <a:ln w="25400">
              <a:noFill/>
            </a:ln>
          </c:spPr>
          <c:invertIfNegative val="0"/>
          <c:dLbls>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C_ENG!$B$244:$G$244</c:f>
              <c:numCache>
                <c:formatCode>0</c:formatCode>
                <c:ptCount val="6"/>
                <c:pt idx="0">
                  <c:v>2012</c:v>
                </c:pt>
                <c:pt idx="1">
                  <c:v>2013</c:v>
                </c:pt>
                <c:pt idx="2">
                  <c:v>2014</c:v>
                </c:pt>
                <c:pt idx="3">
                  <c:v>2015</c:v>
                </c:pt>
                <c:pt idx="4">
                  <c:v>2016</c:v>
                </c:pt>
                <c:pt idx="5">
                  <c:v>2017</c:v>
                </c:pt>
              </c:numCache>
            </c:numRef>
          </c:cat>
          <c:val>
            <c:numRef>
              <c:f>C_ENG!$B$245:$G$245</c:f>
              <c:numCache>
                <c:formatCode>#,##0.0</c:formatCode>
                <c:ptCount val="6"/>
                <c:pt idx="0">
                  <c:v>0.72679506939896099</c:v>
                </c:pt>
                <c:pt idx="1">
                  <c:v>1.1550149529656699</c:v>
                </c:pt>
                <c:pt idx="2">
                  <c:v>1.7383043107665801</c:v>
                </c:pt>
                <c:pt idx="3">
                  <c:v>2.3632372222744</c:v>
                </c:pt>
                <c:pt idx="4">
                  <c:v>2.6829986226281002</c:v>
                </c:pt>
                <c:pt idx="5" formatCode="0.0">
                  <c:v>3.155395830219589</c:v>
                </c:pt>
              </c:numCache>
            </c:numRef>
          </c:val>
          <c:extLst>
            <c:ext xmlns:c16="http://schemas.microsoft.com/office/drawing/2014/chart" uri="{C3380CC4-5D6E-409C-BE32-E72D297353CC}">
              <c16:uniqueId val="{00000000-C1DE-4AB6-8E7C-8830CB0CEDC5}"/>
            </c:ext>
          </c:extLst>
        </c:ser>
        <c:dLbls>
          <c:showLegendKey val="0"/>
          <c:showVal val="0"/>
          <c:showCatName val="0"/>
          <c:showSerName val="0"/>
          <c:showPercent val="0"/>
          <c:showBubbleSize val="0"/>
        </c:dLbls>
        <c:gapWidth val="50"/>
        <c:axId val="175152128"/>
        <c:axId val="175482560"/>
      </c:barChart>
      <c:lineChart>
        <c:grouping val="standard"/>
        <c:varyColors val="0"/>
        <c:ser>
          <c:idx val="0"/>
          <c:order val="1"/>
          <c:tx>
            <c:strRef>
              <c:f>C_ENG!$A$246</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DE-4AB6-8E7C-8830CB0CEDC5}"/>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C_ENG!$B$244:$G$244</c:f>
              <c:numCache>
                <c:formatCode>0</c:formatCode>
                <c:ptCount val="6"/>
                <c:pt idx="0">
                  <c:v>2012</c:v>
                </c:pt>
                <c:pt idx="1">
                  <c:v>2013</c:v>
                </c:pt>
                <c:pt idx="2">
                  <c:v>2014</c:v>
                </c:pt>
                <c:pt idx="3">
                  <c:v>2015</c:v>
                </c:pt>
                <c:pt idx="4">
                  <c:v>2016</c:v>
                </c:pt>
                <c:pt idx="5">
                  <c:v>2017</c:v>
                </c:pt>
              </c:numCache>
            </c:numRef>
          </c:cat>
          <c:val>
            <c:numRef>
              <c:f>C_ENG!$B$246:$G$246</c:f>
              <c:numCache>
                <c:formatCode>0.0%</c:formatCode>
                <c:ptCount val="6"/>
                <c:pt idx="0">
                  <c:v>8.2739571492968803E-2</c:v>
                </c:pt>
                <c:pt idx="1">
                  <c:v>0.13137235276491699</c:v>
                </c:pt>
                <c:pt idx="2">
                  <c:v>0.19849423271608199</c:v>
                </c:pt>
                <c:pt idx="3">
                  <c:v>0.26937485913090797</c:v>
                </c:pt>
                <c:pt idx="4">
                  <c:v>0.30604783268458502</c:v>
                </c:pt>
                <c:pt idx="5">
                  <c:v>0.36102458288820899</c:v>
                </c:pt>
              </c:numCache>
            </c:numRef>
          </c:val>
          <c:smooth val="0"/>
          <c:extLst>
            <c:ext xmlns:c16="http://schemas.microsoft.com/office/drawing/2014/chart" uri="{C3380CC4-5D6E-409C-BE32-E72D297353CC}">
              <c16:uniqueId val="{00000002-C1DE-4AB6-8E7C-8830CB0CEDC5}"/>
            </c:ext>
          </c:extLst>
        </c:ser>
        <c:dLbls>
          <c:showLegendKey val="0"/>
          <c:showVal val="0"/>
          <c:showCatName val="0"/>
          <c:showSerName val="0"/>
          <c:showPercent val="0"/>
          <c:showBubbleSize val="0"/>
        </c:dLbls>
        <c:marker val="1"/>
        <c:smooth val="0"/>
        <c:axId val="175410176"/>
        <c:axId val="175483136"/>
      </c:lineChart>
      <c:catAx>
        <c:axId val="17515212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5482560"/>
        <c:crosses val="autoZero"/>
        <c:auto val="1"/>
        <c:lblAlgn val="ctr"/>
        <c:lblOffset val="140"/>
        <c:tickLblSkip val="1"/>
        <c:tickMarkSkip val="1"/>
        <c:noMultiLvlLbl val="0"/>
      </c:catAx>
      <c:valAx>
        <c:axId val="175482560"/>
        <c:scaling>
          <c:orientation val="minMax"/>
          <c:max val="4"/>
          <c:min val="0"/>
        </c:scaling>
        <c:delete val="0"/>
        <c:axPos val="l"/>
        <c:majorGridlines>
          <c:spPr>
            <a:ln w="12700">
              <a:noFill/>
              <a:prstDash val="dash"/>
            </a:ln>
          </c:spPr>
        </c:majorGridlines>
        <c:numFmt formatCode="#,##0.0" sourceLinked="1"/>
        <c:majorTickMark val="none"/>
        <c:minorTickMark val="none"/>
        <c:tickLblPos val="none"/>
        <c:spPr>
          <a:ln w="9525">
            <a:noFill/>
          </a:ln>
        </c:spPr>
        <c:crossAx val="175152128"/>
        <c:crosses val="autoZero"/>
        <c:crossBetween val="between"/>
        <c:majorUnit val="1"/>
        <c:minorUnit val="0.02"/>
      </c:valAx>
      <c:catAx>
        <c:axId val="175410176"/>
        <c:scaling>
          <c:orientation val="minMax"/>
        </c:scaling>
        <c:delete val="1"/>
        <c:axPos val="b"/>
        <c:numFmt formatCode="0" sourceLinked="1"/>
        <c:majorTickMark val="out"/>
        <c:minorTickMark val="none"/>
        <c:tickLblPos val="none"/>
        <c:crossAx val="175483136"/>
        <c:crosses val="autoZero"/>
        <c:auto val="1"/>
        <c:lblAlgn val="ctr"/>
        <c:lblOffset val="100"/>
        <c:noMultiLvlLbl val="0"/>
      </c:catAx>
      <c:valAx>
        <c:axId val="175483136"/>
        <c:scaling>
          <c:orientation val="minMax"/>
          <c:max val="0.4"/>
          <c:min val="0"/>
        </c:scaling>
        <c:delete val="0"/>
        <c:axPos val="r"/>
        <c:numFmt formatCode="0.0%" sourceLinked="1"/>
        <c:majorTickMark val="none"/>
        <c:minorTickMark val="none"/>
        <c:tickLblPos val="none"/>
        <c:spPr>
          <a:ln>
            <a:solidFill>
              <a:schemeClr val="bg1">
                <a:lumMod val="65000"/>
              </a:schemeClr>
            </a:solidFill>
          </a:ln>
        </c:spPr>
        <c:crossAx val="175410176"/>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ayout>
        <c:manualLayout>
          <c:xMode val="edge"/>
          <c:yMode val="edge"/>
          <c:x val="3.4720915032679801E-2"/>
          <c:y val="0.23311234567901201"/>
          <c:w val="0.46959259259259301"/>
          <c:h val="0.114619444444444"/>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20833333333"/>
          <c:y val="0.17483583543339773"/>
          <c:w val="0.79678839940588297"/>
          <c:h val="0.70879183377295774"/>
        </c:manualLayout>
      </c:layout>
      <c:barChart>
        <c:barDir val="bar"/>
        <c:grouping val="clustered"/>
        <c:varyColors val="0"/>
        <c:ser>
          <c:idx val="0"/>
          <c:order val="0"/>
          <c:tx>
            <c:strRef>
              <c:f>C_ENG!$B$251</c:f>
              <c:strCache>
                <c:ptCount val="1"/>
                <c:pt idx="0">
                  <c:v>% of all mobile phone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C_ENG!$A$252:$A$262</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C_ENG!$B$252:$B$262</c:f>
              <c:numCache>
                <c:formatCode>0%</c:formatCode>
                <c:ptCount val="11"/>
                <c:pt idx="0">
                  <c:v>0.306493488133736</c:v>
                </c:pt>
                <c:pt idx="1">
                  <c:v>0.29727908616778798</c:v>
                </c:pt>
                <c:pt idx="2">
                  <c:v>0.34120618922204199</c:v>
                </c:pt>
                <c:pt idx="3">
                  <c:v>0.26453413325551101</c:v>
                </c:pt>
                <c:pt idx="4">
                  <c:v>0.24615111501726</c:v>
                </c:pt>
                <c:pt idx="5">
                  <c:v>0.30025381531010498</c:v>
                </c:pt>
                <c:pt idx="7">
                  <c:v>0.30434451583470701</c:v>
                </c:pt>
                <c:pt idx="8">
                  <c:v>0.26530802164943001</c:v>
                </c:pt>
                <c:pt idx="10">
                  <c:v>0.283323687836041</c:v>
                </c:pt>
              </c:numCache>
            </c:numRef>
          </c:val>
          <c:extLst>
            <c:ext xmlns:c16="http://schemas.microsoft.com/office/drawing/2014/chart" uri="{C3380CC4-5D6E-409C-BE32-E72D297353CC}">
              <c16:uniqueId val="{00000000-34BE-4585-BC55-2EAACF23F092}"/>
            </c:ext>
          </c:extLst>
        </c:ser>
        <c:ser>
          <c:idx val="1"/>
          <c:order val="1"/>
          <c:tx>
            <c:strRef>
              <c:f>C_ENG!$C$251</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BE-4585-BC55-2EAACF23F092}"/>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BE-4585-BC55-2EAACF23F092}"/>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C_ENG!$A$252:$A$262</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C_ENG!$C$252:$C$262</c:f>
              <c:numCache>
                <c:formatCode>0%</c:formatCode>
                <c:ptCount val="11"/>
                <c:pt idx="0">
                  <c:v>1.7677901094768099E-2</c:v>
                </c:pt>
                <c:pt idx="1">
                  <c:v>8.5031048804095705E-2</c:v>
                </c:pt>
                <c:pt idx="2">
                  <c:v>0.18127396504634899</c:v>
                </c:pt>
                <c:pt idx="3">
                  <c:v>0.18883326370249101</c:v>
                </c:pt>
                <c:pt idx="4">
                  <c:v>0.200160319278094</c:v>
                </c:pt>
                <c:pt idx="5">
                  <c:v>0.26045739138113799</c:v>
                </c:pt>
                <c:pt idx="7">
                  <c:v>0.14043530426582199</c:v>
                </c:pt>
                <c:pt idx="8">
                  <c:v>0.145529195738275</c:v>
                </c:pt>
                <c:pt idx="10">
                  <c:v>0.142714150827705</c:v>
                </c:pt>
              </c:numCache>
            </c:numRef>
          </c:val>
          <c:extLst>
            <c:ext xmlns:c16="http://schemas.microsoft.com/office/drawing/2014/chart" uri="{C3380CC4-5D6E-409C-BE32-E72D297353CC}">
              <c16:uniqueId val="{00000003-34BE-4585-BC55-2EAACF23F092}"/>
            </c:ext>
          </c:extLst>
        </c:ser>
        <c:dLbls>
          <c:showLegendKey val="0"/>
          <c:showVal val="0"/>
          <c:showCatName val="0"/>
          <c:showSerName val="0"/>
          <c:showPercent val="0"/>
          <c:showBubbleSize val="0"/>
        </c:dLbls>
        <c:gapWidth val="30"/>
        <c:axId val="175410688"/>
        <c:axId val="175484864"/>
      </c:barChart>
      <c:catAx>
        <c:axId val="175410688"/>
        <c:scaling>
          <c:orientation val="minMax"/>
        </c:scaling>
        <c:delete val="0"/>
        <c:axPos val="l"/>
        <c:numFmt formatCode="General" sourceLinked="1"/>
        <c:majorTickMark val="out"/>
        <c:minorTickMark val="none"/>
        <c:tickLblPos val="nextTo"/>
        <c:spPr>
          <a:ln w="3175">
            <a:solidFill>
              <a:schemeClr val="tx1"/>
            </a:solidFill>
          </a:ln>
        </c:spPr>
        <c:crossAx val="175484864"/>
        <c:crosses val="autoZero"/>
        <c:auto val="1"/>
        <c:lblAlgn val="ctr"/>
        <c:lblOffset val="100"/>
        <c:noMultiLvlLbl val="0"/>
      </c:catAx>
      <c:valAx>
        <c:axId val="175484864"/>
        <c:scaling>
          <c:orientation val="minMax"/>
          <c:max val="0.5"/>
        </c:scaling>
        <c:delete val="0"/>
        <c:axPos val="b"/>
        <c:numFmt formatCode="0%" sourceLinked="1"/>
        <c:majorTickMark val="none"/>
        <c:minorTickMark val="none"/>
        <c:tickLblPos val="none"/>
        <c:crossAx val="175410688"/>
        <c:crosses val="autoZero"/>
        <c:crossBetween val="between"/>
        <c:majorUnit val="0.05"/>
        <c:minorUnit val="0.01"/>
      </c:valAx>
      <c:spPr>
        <a:ln w="12700">
          <a:solidFill>
            <a:schemeClr val="bg1">
              <a:lumMod val="65000"/>
            </a:schemeClr>
          </a:solidFill>
        </a:ln>
      </c:spPr>
    </c:plotArea>
    <c:legend>
      <c:legendPos val="r"/>
      <c:layout>
        <c:manualLayout>
          <c:xMode val="edge"/>
          <c:yMode val="edge"/>
          <c:x val="0.60287116736770652"/>
          <c:y val="0.5629731682045348"/>
          <c:w val="0.33306914930975551"/>
          <c:h val="0.15135139552138796"/>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8135167981066E-2"/>
          <c:y val="0.13607571650972722"/>
          <c:w val="0.96948369216085795"/>
          <c:h val="0.69699161508096519"/>
        </c:manualLayout>
      </c:layout>
      <c:barChart>
        <c:barDir val="col"/>
        <c:grouping val="clustered"/>
        <c:varyColors val="0"/>
        <c:ser>
          <c:idx val="2"/>
          <c:order val="0"/>
          <c:tx>
            <c:strRef>
              <c:f>C_ENG!$A$270</c:f>
              <c:strCache>
                <c:ptCount val="1"/>
                <c:pt idx="0">
                  <c:v> Millions</c:v>
                </c:pt>
              </c:strCache>
            </c:strRef>
          </c:tx>
          <c:spPr>
            <a:solidFill>
              <a:srgbClr val="009BB4"/>
            </a:solidFill>
            <a:ln w="25400">
              <a:noFill/>
            </a:ln>
          </c:spPr>
          <c:invertIfNegative val="0"/>
          <c:dLbls>
            <c:dLbl>
              <c:idx val="0"/>
              <c:layout>
                <c:manualLayout>
                  <c:x val="0"/>
                  <c:y val="5.8272544283413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AE-478D-B373-A3F87DD957DE}"/>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C_CZ!$B$260:$G$260</c:f>
              <c:numCache>
                <c:formatCode>0</c:formatCode>
                <c:ptCount val="6"/>
                <c:pt idx="0">
                  <c:v>2012</c:v>
                </c:pt>
                <c:pt idx="1">
                  <c:v>2013</c:v>
                </c:pt>
                <c:pt idx="2">
                  <c:v>2014</c:v>
                </c:pt>
                <c:pt idx="3">
                  <c:v>2015</c:v>
                </c:pt>
                <c:pt idx="4">
                  <c:v>2016</c:v>
                </c:pt>
                <c:pt idx="5">
                  <c:v>2017</c:v>
                </c:pt>
              </c:numCache>
            </c:numRef>
          </c:cat>
          <c:val>
            <c:numRef>
              <c:f>C_ENG!$B$270:$G$270</c:f>
              <c:numCache>
                <c:formatCode>#,##0.0</c:formatCode>
                <c:ptCount val="6"/>
                <c:pt idx="0">
                  <c:v>1.0601252940929999</c:v>
                </c:pt>
                <c:pt idx="1">
                  <c:v>1.4320278236299999</c:v>
                </c:pt>
                <c:pt idx="2">
                  <c:v>1.737573272308</c:v>
                </c:pt>
                <c:pt idx="3">
                  <c:v>1.9252118269130001</c:v>
                </c:pt>
                <c:pt idx="4">
                  <c:v>2.08969867322</c:v>
                </c:pt>
                <c:pt idx="5" formatCode="0.0">
                  <c:v>2.5786955316590001</c:v>
                </c:pt>
              </c:numCache>
            </c:numRef>
          </c:val>
          <c:extLst>
            <c:ext xmlns:c16="http://schemas.microsoft.com/office/drawing/2014/chart" uri="{C3380CC4-5D6E-409C-BE32-E72D297353CC}">
              <c16:uniqueId val="{00000001-B1AE-478D-B373-A3F87DD957DE}"/>
            </c:ext>
          </c:extLst>
        </c:ser>
        <c:dLbls>
          <c:showLegendKey val="0"/>
          <c:showVal val="0"/>
          <c:showCatName val="0"/>
          <c:showSerName val="0"/>
          <c:showPercent val="0"/>
          <c:showBubbleSize val="0"/>
        </c:dLbls>
        <c:gapWidth val="50"/>
        <c:axId val="175609344"/>
        <c:axId val="175486592"/>
      </c:barChart>
      <c:lineChart>
        <c:grouping val="standard"/>
        <c:varyColors val="0"/>
        <c:ser>
          <c:idx val="0"/>
          <c:order val="1"/>
          <c:tx>
            <c:strRef>
              <c:f>C_ENG!$A$271</c:f>
              <c:strCache>
                <c:ptCount val="1"/>
                <c:pt idx="0">
                  <c:v> % of all internet users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AE-478D-B373-A3F87DD957DE}"/>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C_CZ!$B$260:$G$260</c:f>
              <c:numCache>
                <c:formatCode>0</c:formatCode>
                <c:ptCount val="6"/>
                <c:pt idx="0">
                  <c:v>2012</c:v>
                </c:pt>
                <c:pt idx="1">
                  <c:v>2013</c:v>
                </c:pt>
                <c:pt idx="2">
                  <c:v>2014</c:v>
                </c:pt>
                <c:pt idx="3">
                  <c:v>2015</c:v>
                </c:pt>
                <c:pt idx="4">
                  <c:v>2016</c:v>
                </c:pt>
                <c:pt idx="5">
                  <c:v>2017</c:v>
                </c:pt>
              </c:numCache>
            </c:numRef>
          </c:cat>
          <c:val>
            <c:numRef>
              <c:f>C_ENG!$B$271:$G$271</c:f>
              <c:numCache>
                <c:formatCode>0.0%</c:formatCode>
                <c:ptCount val="6"/>
                <c:pt idx="0">
                  <c:v>0.17188111029616501</c:v>
                </c:pt>
                <c:pt idx="1">
                  <c:v>0.236795936170351</c:v>
                </c:pt>
                <c:pt idx="2">
                  <c:v>0.26728573929702298</c:v>
                </c:pt>
                <c:pt idx="3">
                  <c:v>0.29000888864748398</c:v>
                </c:pt>
                <c:pt idx="4">
                  <c:v>0.31167203693175</c:v>
                </c:pt>
                <c:pt idx="5">
                  <c:v>0.37417797363077498</c:v>
                </c:pt>
              </c:numCache>
            </c:numRef>
          </c:val>
          <c:smooth val="0"/>
          <c:extLst>
            <c:ext xmlns:c16="http://schemas.microsoft.com/office/drawing/2014/chart" uri="{C3380CC4-5D6E-409C-BE32-E72D297353CC}">
              <c16:uniqueId val="{00000003-B1AE-478D-B373-A3F87DD957DE}"/>
            </c:ext>
          </c:extLst>
        </c:ser>
        <c:ser>
          <c:idx val="1"/>
          <c:order val="2"/>
          <c:tx>
            <c:strRef>
              <c:f>C_ENG!$A$272</c:f>
              <c:strCache>
                <c:ptCount val="1"/>
                <c:pt idx="0">
                  <c:v> % of all individuals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C_CZ!$B$260:$G$260</c:f>
              <c:numCache>
                <c:formatCode>0</c:formatCode>
                <c:ptCount val="6"/>
                <c:pt idx="0">
                  <c:v>2012</c:v>
                </c:pt>
                <c:pt idx="1">
                  <c:v>2013</c:v>
                </c:pt>
                <c:pt idx="2">
                  <c:v>2014</c:v>
                </c:pt>
                <c:pt idx="3">
                  <c:v>2015</c:v>
                </c:pt>
                <c:pt idx="4">
                  <c:v>2016</c:v>
                </c:pt>
                <c:pt idx="5">
                  <c:v>2017</c:v>
                </c:pt>
              </c:numCache>
            </c:numRef>
          </c:cat>
          <c:val>
            <c:numRef>
              <c:f>C_ENG!$B$272:$G$272</c:f>
              <c:numCache>
                <c:formatCode>0.0%</c:formatCode>
                <c:ptCount val="6"/>
                <c:pt idx="0">
                  <c:v>0.12068644000000001</c:v>
                </c:pt>
                <c:pt idx="1">
                  <c:v>0.16288003000000001</c:v>
                </c:pt>
                <c:pt idx="2">
                  <c:v>0.19841075999999999</c:v>
                </c:pt>
                <c:pt idx="3">
                  <c:v>0.21944630000000001</c:v>
                </c:pt>
                <c:pt idx="4">
                  <c:v>0.23837051000000001</c:v>
                </c:pt>
                <c:pt idx="5">
                  <c:v>0.29454977999999998</c:v>
                </c:pt>
              </c:numCache>
            </c:numRef>
          </c:val>
          <c:smooth val="0"/>
          <c:extLst>
            <c:ext xmlns:c16="http://schemas.microsoft.com/office/drawing/2014/chart" uri="{C3380CC4-5D6E-409C-BE32-E72D297353CC}">
              <c16:uniqueId val="{00000004-B1AE-478D-B373-A3F87DD957DE}"/>
            </c:ext>
          </c:extLst>
        </c:ser>
        <c:dLbls>
          <c:showLegendKey val="0"/>
          <c:showVal val="0"/>
          <c:showCatName val="0"/>
          <c:showSerName val="0"/>
          <c:showPercent val="0"/>
          <c:showBubbleSize val="0"/>
        </c:dLbls>
        <c:marker val="1"/>
        <c:smooth val="0"/>
        <c:axId val="175609856"/>
        <c:axId val="175487168"/>
      </c:lineChart>
      <c:catAx>
        <c:axId val="175609344"/>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5486592"/>
        <c:crosses val="autoZero"/>
        <c:auto val="1"/>
        <c:lblAlgn val="ctr"/>
        <c:lblOffset val="140"/>
        <c:tickLblSkip val="1"/>
        <c:tickMarkSkip val="1"/>
        <c:noMultiLvlLbl val="0"/>
      </c:catAx>
      <c:valAx>
        <c:axId val="175486592"/>
        <c:scaling>
          <c:orientation val="minMax"/>
          <c:max val="5"/>
          <c:min val="0"/>
        </c:scaling>
        <c:delete val="0"/>
        <c:axPos val="l"/>
        <c:majorGridlines>
          <c:spPr>
            <a:ln w="12700">
              <a:noFill/>
              <a:prstDash val="dash"/>
            </a:ln>
          </c:spPr>
        </c:majorGridlines>
        <c:numFmt formatCode="#,##0.0" sourceLinked="1"/>
        <c:majorTickMark val="none"/>
        <c:minorTickMark val="none"/>
        <c:tickLblPos val="none"/>
        <c:spPr>
          <a:ln w="9525">
            <a:noFill/>
          </a:ln>
        </c:spPr>
        <c:crossAx val="175609344"/>
        <c:crosses val="autoZero"/>
        <c:crossBetween val="between"/>
        <c:majorUnit val="1"/>
        <c:minorUnit val="0.02"/>
      </c:valAx>
      <c:catAx>
        <c:axId val="175609856"/>
        <c:scaling>
          <c:orientation val="minMax"/>
        </c:scaling>
        <c:delete val="1"/>
        <c:axPos val="b"/>
        <c:numFmt formatCode="0" sourceLinked="1"/>
        <c:majorTickMark val="out"/>
        <c:minorTickMark val="none"/>
        <c:tickLblPos val="none"/>
        <c:crossAx val="175487168"/>
        <c:crosses val="autoZero"/>
        <c:auto val="1"/>
        <c:lblAlgn val="ctr"/>
        <c:lblOffset val="100"/>
        <c:noMultiLvlLbl val="0"/>
      </c:catAx>
      <c:valAx>
        <c:axId val="175487168"/>
        <c:scaling>
          <c:orientation val="minMax"/>
          <c:max val="0.5"/>
          <c:min val="0"/>
        </c:scaling>
        <c:delete val="0"/>
        <c:axPos val="r"/>
        <c:numFmt formatCode="0.0%" sourceLinked="1"/>
        <c:majorTickMark val="none"/>
        <c:minorTickMark val="none"/>
        <c:tickLblPos val="none"/>
        <c:spPr>
          <a:ln>
            <a:solidFill>
              <a:schemeClr val="bg1">
                <a:lumMod val="65000"/>
              </a:schemeClr>
            </a:solidFill>
          </a:ln>
        </c:spPr>
        <c:crossAx val="175609856"/>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4.0764129265909006E-2"/>
          <c:y val="0.15731258444765411"/>
          <c:w val="0.55177309287951903"/>
          <c:h val="0.1765515297906599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C15 Individuals in the Czech</a:t>
            </a:r>
            <a:r>
              <a:rPr lang="cs-CZ" sz="800" b="1" baseline="0"/>
              <a:t> Republic </a:t>
            </a:r>
            <a:r>
              <a:rPr lang="cs-CZ" sz="800" b="1"/>
              <a:t>using the internet on tablet; 2017 (%)</a:t>
            </a:r>
            <a:endParaRPr lang="en-US" sz="800" b="1"/>
          </a:p>
        </c:rich>
      </c:tx>
      <c:layout>
        <c:manualLayout>
          <c:xMode val="edge"/>
          <c:yMode val="edge"/>
          <c:x val="0.14716997354497399"/>
          <c:y val="1.1271913580246901E-2"/>
        </c:manualLayout>
      </c:layout>
      <c:overlay val="1"/>
    </c:title>
    <c:autoTitleDeleted val="0"/>
    <c:plotArea>
      <c:layout>
        <c:manualLayout>
          <c:layoutTarget val="inner"/>
          <c:xMode val="edge"/>
          <c:yMode val="edge"/>
          <c:x val="0.19662022507581345"/>
          <c:y val="0.11672027777777801"/>
          <c:w val="0.76318922440448833"/>
          <c:h val="0.76690709876543195"/>
        </c:manualLayout>
      </c:layout>
      <c:barChart>
        <c:barDir val="bar"/>
        <c:grouping val="clustered"/>
        <c:varyColors val="0"/>
        <c:ser>
          <c:idx val="0"/>
          <c:order val="0"/>
          <c:tx>
            <c:strRef>
              <c:f>C_ENG!$B$276</c:f>
              <c:strCache>
                <c:ptCount val="1"/>
                <c:pt idx="0">
                  <c:v>%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C_ENG!$A$277:$A$287</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C_ENG!$B$277:$B$287</c:f>
              <c:numCache>
                <c:formatCode>0%</c:formatCode>
                <c:ptCount val="11"/>
                <c:pt idx="0">
                  <c:v>8.0831461252857395E-2</c:v>
                </c:pt>
                <c:pt idx="1">
                  <c:v>0.12953377193639801</c:v>
                </c:pt>
                <c:pt idx="2">
                  <c:v>0.18378788804291599</c:v>
                </c:pt>
                <c:pt idx="3">
                  <c:v>0.24183148693067599</c:v>
                </c:pt>
                <c:pt idx="4">
                  <c:v>0.25675454580356699</c:v>
                </c:pt>
                <c:pt idx="5">
                  <c:v>0.34067105116486501</c:v>
                </c:pt>
                <c:pt idx="7">
                  <c:v>0.219910912485483</c:v>
                </c:pt>
                <c:pt idx="8">
                  <c:v>0.211674733374627</c:v>
                </c:pt>
                <c:pt idx="10">
                  <c:v>0.215739470051586</c:v>
                </c:pt>
              </c:numCache>
            </c:numRef>
          </c:val>
          <c:extLst>
            <c:ext xmlns:c16="http://schemas.microsoft.com/office/drawing/2014/chart" uri="{C3380CC4-5D6E-409C-BE32-E72D297353CC}">
              <c16:uniqueId val="{00000000-8A7A-48C9-A037-356903672A0A}"/>
            </c:ext>
          </c:extLst>
        </c:ser>
        <c:ser>
          <c:idx val="1"/>
          <c:order val="1"/>
          <c:tx>
            <c:strRef>
              <c:f>C_ENG!$C$276</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7A-48C9-A037-356903672A0A}"/>
                </c:ext>
              </c:extLst>
            </c:dLbl>
            <c:dLbl>
              <c:idx val="1"/>
              <c:layout>
                <c:manualLayout>
                  <c:x val="-9.5025578099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7A-48C9-A037-356903672A0A}"/>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C_ENG!$A$277:$A$287</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C_ENG!$C$277:$C$287</c:f>
              <c:numCache>
                <c:formatCode>0%</c:formatCode>
                <c:ptCount val="11"/>
                <c:pt idx="0">
                  <c:v>2.7193383894545099E-2</c:v>
                </c:pt>
                <c:pt idx="1">
                  <c:v>9.7583353529757999E-2</c:v>
                </c:pt>
                <c:pt idx="2">
                  <c:v>0.16822973618557299</c:v>
                </c:pt>
                <c:pt idx="3">
                  <c:v>0.23308311022647399</c:v>
                </c:pt>
                <c:pt idx="4">
                  <c:v>0.24878055480678599</c:v>
                </c:pt>
                <c:pt idx="5">
                  <c:v>0.33735391938149101</c:v>
                </c:pt>
                <c:pt idx="7">
                  <c:v>0.167102062172825</c:v>
                </c:pt>
                <c:pt idx="8">
                  <c:v>0.172680261780814</c:v>
                </c:pt>
                <c:pt idx="10">
                  <c:v>0.16982831045301799</c:v>
                </c:pt>
              </c:numCache>
            </c:numRef>
          </c:val>
          <c:extLst>
            <c:ext xmlns:c16="http://schemas.microsoft.com/office/drawing/2014/chart" uri="{C3380CC4-5D6E-409C-BE32-E72D297353CC}">
              <c16:uniqueId val="{00000003-8A7A-48C9-A037-356903672A0A}"/>
            </c:ext>
          </c:extLst>
        </c:ser>
        <c:dLbls>
          <c:showLegendKey val="0"/>
          <c:showVal val="0"/>
          <c:showCatName val="0"/>
          <c:showSerName val="0"/>
          <c:showPercent val="0"/>
          <c:showBubbleSize val="0"/>
        </c:dLbls>
        <c:gapWidth val="30"/>
        <c:axId val="175611392"/>
        <c:axId val="172466176"/>
      </c:barChart>
      <c:catAx>
        <c:axId val="175611392"/>
        <c:scaling>
          <c:orientation val="minMax"/>
        </c:scaling>
        <c:delete val="0"/>
        <c:axPos val="l"/>
        <c:numFmt formatCode="General" sourceLinked="1"/>
        <c:majorTickMark val="out"/>
        <c:minorTickMark val="none"/>
        <c:tickLblPos val="nextTo"/>
        <c:spPr>
          <a:ln w="3175">
            <a:solidFill>
              <a:schemeClr val="tx1"/>
            </a:solidFill>
          </a:ln>
        </c:spPr>
        <c:crossAx val="172466176"/>
        <c:crosses val="autoZero"/>
        <c:auto val="1"/>
        <c:lblAlgn val="ctr"/>
        <c:lblOffset val="100"/>
        <c:noMultiLvlLbl val="0"/>
      </c:catAx>
      <c:valAx>
        <c:axId val="172466176"/>
        <c:scaling>
          <c:orientation val="minMax"/>
          <c:max val="0.5"/>
        </c:scaling>
        <c:delete val="0"/>
        <c:axPos val="b"/>
        <c:numFmt formatCode="0%" sourceLinked="1"/>
        <c:majorTickMark val="none"/>
        <c:minorTickMark val="none"/>
        <c:tickLblPos val="none"/>
        <c:crossAx val="175611392"/>
        <c:crosses val="autoZero"/>
        <c:crossBetween val="between"/>
        <c:majorUnit val="0.05"/>
        <c:minorUnit val="0.01"/>
      </c:valAx>
      <c:spPr>
        <a:ln w="12700">
          <a:solidFill>
            <a:schemeClr val="bg1">
              <a:lumMod val="65000"/>
            </a:schemeClr>
          </a:solidFill>
        </a:ln>
      </c:spPr>
    </c:plotArea>
    <c:legend>
      <c:legendPos val="r"/>
      <c:layout>
        <c:manualLayout>
          <c:xMode val="edge"/>
          <c:yMode val="edge"/>
          <c:x val="0.56191120568210406"/>
          <c:y val="0.14262771739969193"/>
          <c:w val="0.37782364688847297"/>
          <c:h val="0.12023446108828713"/>
        </c:manualLayout>
      </c:layout>
      <c:overlay val="0"/>
      <c:spPr>
        <a:solidFill>
          <a:schemeClr val="bg1"/>
        </a:solidFill>
        <a:ln>
          <a:solidFill>
            <a:schemeClr val="bg1">
              <a:lumMod val="65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C1</a:t>
            </a:r>
            <a:r>
              <a:rPr lang="cs-CZ" sz="800"/>
              <a:t>6</a:t>
            </a:r>
            <a:r>
              <a:rPr lang="en-US" sz="800"/>
              <a:t> Internet users in the Czech Republic aged 55</a:t>
            </a:r>
            <a:r>
              <a:rPr lang="cs-CZ" sz="800"/>
              <a:t>–</a:t>
            </a:r>
            <a:r>
              <a:rPr lang="en-US" sz="800"/>
              <a:t>74 (%)</a:t>
            </a:r>
          </a:p>
        </c:rich>
      </c:tx>
      <c:layout>
        <c:manualLayout>
          <c:xMode val="edge"/>
          <c:yMode val="edge"/>
          <c:x val="0.1049736290850079"/>
          <c:y val="1.3230429988974642E-2"/>
        </c:manualLayout>
      </c:layout>
      <c:overlay val="1"/>
    </c:title>
    <c:autoTitleDeleted val="0"/>
    <c:plotArea>
      <c:layout>
        <c:manualLayout>
          <c:layoutTarget val="inner"/>
          <c:xMode val="edge"/>
          <c:yMode val="edge"/>
          <c:x val="1.8855220854765101E-2"/>
          <c:y val="0.164052566514299"/>
          <c:w val="0.96228955829047003"/>
          <c:h val="0.64991984126984204"/>
        </c:manualLayout>
      </c:layout>
      <c:barChart>
        <c:barDir val="col"/>
        <c:grouping val="clustered"/>
        <c:varyColors val="0"/>
        <c:ser>
          <c:idx val="0"/>
          <c:order val="0"/>
          <c:tx>
            <c:strRef>
              <c:f>C_ENG!$A$295</c:f>
              <c:strCache>
                <c:ptCount val="1"/>
                <c:pt idx="0">
                  <c:v> Total</c:v>
                </c:pt>
              </c:strCache>
            </c:strRef>
          </c:tx>
          <c:spPr>
            <a:solidFill>
              <a:srgbClr val="009BB4"/>
            </a:solidFill>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C_ENG!$B$294:$H$294</c:f>
              <c:numCache>
                <c:formatCode>General</c:formatCode>
                <c:ptCount val="7"/>
                <c:pt idx="0">
                  <c:v>2005</c:v>
                </c:pt>
                <c:pt idx="1">
                  <c:v>2007</c:v>
                </c:pt>
                <c:pt idx="2">
                  <c:v>2009</c:v>
                </c:pt>
                <c:pt idx="3">
                  <c:v>2011</c:v>
                </c:pt>
                <c:pt idx="4">
                  <c:v>2013</c:v>
                </c:pt>
                <c:pt idx="5">
                  <c:v>2015</c:v>
                </c:pt>
                <c:pt idx="6">
                  <c:v>2017</c:v>
                </c:pt>
              </c:numCache>
            </c:numRef>
          </c:cat>
          <c:val>
            <c:numRef>
              <c:f>C_ENG!$B$295:$H$295</c:f>
              <c:numCache>
                <c:formatCode>0%</c:formatCode>
                <c:ptCount val="7"/>
                <c:pt idx="0">
                  <c:v>8.5300000000000001E-2</c:v>
                </c:pt>
                <c:pt idx="1">
                  <c:v>0.1835</c:v>
                </c:pt>
                <c:pt idx="2">
                  <c:v>0.26989999999999997</c:v>
                </c:pt>
                <c:pt idx="3">
                  <c:v>0.38009999999999999</c:v>
                </c:pt>
                <c:pt idx="4">
                  <c:v>0.44131399999999998</c:v>
                </c:pt>
                <c:pt idx="5">
                  <c:v>0.55458020202275005</c:v>
                </c:pt>
                <c:pt idx="6">
                  <c:v>0.60746465802846195</c:v>
                </c:pt>
              </c:numCache>
            </c:numRef>
          </c:val>
          <c:extLst>
            <c:ext xmlns:c16="http://schemas.microsoft.com/office/drawing/2014/chart" uri="{C3380CC4-5D6E-409C-BE32-E72D297353CC}">
              <c16:uniqueId val="{00000000-8FA9-44F8-A106-899EB6FE365A}"/>
            </c:ext>
          </c:extLst>
        </c:ser>
        <c:ser>
          <c:idx val="1"/>
          <c:order val="1"/>
          <c:tx>
            <c:strRef>
              <c:f>C_ENG!$A$296</c:f>
              <c:strCache>
                <c:ptCount val="1"/>
                <c:pt idx="0">
                  <c:v> Males</c:v>
                </c:pt>
              </c:strCache>
            </c:strRef>
          </c:tx>
          <c:spPr>
            <a:solidFill>
              <a:srgbClr val="00C5E6"/>
            </a:solidFill>
          </c:spPr>
          <c:invertIfNegative val="0"/>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C_ENG!$B$294:$H$294</c:f>
              <c:numCache>
                <c:formatCode>General</c:formatCode>
                <c:ptCount val="7"/>
                <c:pt idx="0">
                  <c:v>2005</c:v>
                </c:pt>
                <c:pt idx="1">
                  <c:v>2007</c:v>
                </c:pt>
                <c:pt idx="2">
                  <c:v>2009</c:v>
                </c:pt>
                <c:pt idx="3">
                  <c:v>2011</c:v>
                </c:pt>
                <c:pt idx="4">
                  <c:v>2013</c:v>
                </c:pt>
                <c:pt idx="5">
                  <c:v>2015</c:v>
                </c:pt>
                <c:pt idx="6">
                  <c:v>2017</c:v>
                </c:pt>
              </c:numCache>
            </c:numRef>
          </c:cat>
          <c:val>
            <c:numRef>
              <c:f>C_ENG!$B$296:$H$296</c:f>
              <c:numCache>
                <c:formatCode>0%</c:formatCode>
                <c:ptCount val="7"/>
                <c:pt idx="0">
                  <c:v>0.117064</c:v>
                </c:pt>
                <c:pt idx="1">
                  <c:v>0.23394699999999999</c:v>
                </c:pt>
                <c:pt idx="2">
                  <c:v>0.31697399999999998</c:v>
                </c:pt>
                <c:pt idx="3">
                  <c:v>0.438278</c:v>
                </c:pt>
                <c:pt idx="4">
                  <c:v>0.471493</c:v>
                </c:pt>
                <c:pt idx="5">
                  <c:v>0.59127764674469296</c:v>
                </c:pt>
                <c:pt idx="6">
                  <c:v>0.64603025520143698</c:v>
                </c:pt>
              </c:numCache>
            </c:numRef>
          </c:val>
          <c:extLst>
            <c:ext xmlns:c16="http://schemas.microsoft.com/office/drawing/2014/chart" uri="{C3380CC4-5D6E-409C-BE32-E72D297353CC}">
              <c16:uniqueId val="{00000001-8FA9-44F8-A106-899EB6FE365A}"/>
            </c:ext>
          </c:extLst>
        </c:ser>
        <c:ser>
          <c:idx val="2"/>
          <c:order val="2"/>
          <c:tx>
            <c:strRef>
              <c:f>C_ENG!$A$297</c:f>
              <c:strCache>
                <c:ptCount val="1"/>
                <c:pt idx="0">
                  <c:v> Females</c:v>
                </c:pt>
              </c:strCache>
            </c:strRef>
          </c:tx>
          <c:spPr>
            <a:solidFill>
              <a:srgbClr val="ABF3FF"/>
            </a:solidFill>
          </c:spPr>
          <c:invertIfNegative val="0"/>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C_ENG!$B$294:$H$294</c:f>
              <c:numCache>
                <c:formatCode>General</c:formatCode>
                <c:ptCount val="7"/>
                <c:pt idx="0">
                  <c:v>2005</c:v>
                </c:pt>
                <c:pt idx="1">
                  <c:v>2007</c:v>
                </c:pt>
                <c:pt idx="2">
                  <c:v>2009</c:v>
                </c:pt>
                <c:pt idx="3">
                  <c:v>2011</c:v>
                </c:pt>
                <c:pt idx="4">
                  <c:v>2013</c:v>
                </c:pt>
                <c:pt idx="5">
                  <c:v>2015</c:v>
                </c:pt>
                <c:pt idx="6">
                  <c:v>2017</c:v>
                </c:pt>
              </c:numCache>
            </c:numRef>
          </c:cat>
          <c:val>
            <c:numRef>
              <c:f>C_ENG!$B$297:$H$297</c:f>
              <c:numCache>
                <c:formatCode>0%</c:formatCode>
                <c:ptCount val="7"/>
                <c:pt idx="0">
                  <c:v>6.1152999999999999E-2</c:v>
                </c:pt>
                <c:pt idx="1">
                  <c:v>0.140095</c:v>
                </c:pt>
                <c:pt idx="2">
                  <c:v>0.22713800000000001</c:v>
                </c:pt>
                <c:pt idx="3">
                  <c:v>0.32753500000000002</c:v>
                </c:pt>
                <c:pt idx="4">
                  <c:v>0.414578</c:v>
                </c:pt>
                <c:pt idx="5">
                  <c:v>0.51971455389244303</c:v>
                </c:pt>
                <c:pt idx="6">
                  <c:v>0.57287838999999996</c:v>
                </c:pt>
              </c:numCache>
            </c:numRef>
          </c:val>
          <c:extLst>
            <c:ext xmlns:c16="http://schemas.microsoft.com/office/drawing/2014/chart" uri="{C3380CC4-5D6E-409C-BE32-E72D297353CC}">
              <c16:uniqueId val="{00000002-8FA9-44F8-A106-899EB6FE365A}"/>
            </c:ext>
          </c:extLst>
        </c:ser>
        <c:dLbls>
          <c:showLegendKey val="0"/>
          <c:showVal val="0"/>
          <c:showCatName val="0"/>
          <c:showSerName val="0"/>
          <c:showPercent val="0"/>
          <c:showBubbleSize val="0"/>
        </c:dLbls>
        <c:gapWidth val="30"/>
        <c:axId val="176828416"/>
        <c:axId val="175488320"/>
      </c:barChart>
      <c:catAx>
        <c:axId val="176828416"/>
        <c:scaling>
          <c:orientation val="minMax"/>
        </c:scaling>
        <c:delete val="0"/>
        <c:axPos val="b"/>
        <c:numFmt formatCode="General" sourceLinked="1"/>
        <c:majorTickMark val="out"/>
        <c:minorTickMark val="none"/>
        <c:tickLblPos val="nextTo"/>
        <c:spPr>
          <a:ln w="3175">
            <a:solidFill>
              <a:schemeClr val="tx1"/>
            </a:solidFill>
          </a:ln>
        </c:spPr>
        <c:crossAx val="175488320"/>
        <c:crosses val="autoZero"/>
        <c:auto val="1"/>
        <c:lblAlgn val="ctr"/>
        <c:lblOffset val="100"/>
        <c:noMultiLvlLbl val="0"/>
      </c:catAx>
      <c:valAx>
        <c:axId val="175488320"/>
        <c:scaling>
          <c:orientation val="minMax"/>
          <c:max val="0.70000000000000095"/>
          <c:min val="0"/>
        </c:scaling>
        <c:delete val="0"/>
        <c:axPos val="l"/>
        <c:numFmt formatCode="0%" sourceLinked="1"/>
        <c:majorTickMark val="none"/>
        <c:minorTickMark val="none"/>
        <c:tickLblPos val="none"/>
        <c:crossAx val="176828416"/>
        <c:crosses val="autoZero"/>
        <c:crossBetween val="between"/>
        <c:majorUnit val="0.1"/>
      </c:valAx>
      <c:spPr>
        <a:ln w="12700">
          <a:solidFill>
            <a:srgbClr val="A6A6A6"/>
          </a:solidFill>
        </a:ln>
      </c:spPr>
    </c:plotArea>
    <c:legend>
      <c:legendPos val="t"/>
      <c:legendEntry>
        <c:idx val="0"/>
        <c:txPr>
          <a:bodyPr/>
          <a:lstStyle/>
          <a:p>
            <a:pPr>
              <a:defRPr b="0"/>
            </a:pPr>
            <a:endParaRPr lang="cs-CZ"/>
          </a:p>
        </c:txPr>
      </c:legendEntry>
      <c:layout>
        <c:manualLayout>
          <c:xMode val="edge"/>
          <c:yMode val="edge"/>
          <c:x val="6.2418650793650797E-2"/>
          <c:y val="0.18526428571428599"/>
          <c:w val="0.50001587301587402"/>
          <c:h val="8.7610714285714097E-2"/>
        </c:manualLayout>
      </c:layout>
      <c:overlay val="0"/>
      <c:spPr>
        <a:solidFill>
          <a:schemeClr val="bg1"/>
        </a:solidFill>
        <a:ln>
          <a:solidFill>
            <a:schemeClr val="tx1">
              <a:tint val="75000"/>
              <a:shade val="95000"/>
              <a:satMod val="105000"/>
            </a:schemeClr>
          </a:solidFill>
        </a:ln>
      </c:spPr>
      <c:txPr>
        <a:bodyPr/>
        <a:lstStyle/>
        <a:p>
          <a:pPr>
            <a:defRPr b="0"/>
          </a:pPr>
          <a:endParaRPr lang="cs-CZ"/>
        </a:p>
      </c:txPr>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04248366013066"/>
          <c:y val="0.11672027777777783"/>
          <c:w val="0.57970359477124189"/>
          <c:h val="0.77131666666666665"/>
        </c:manualLayout>
      </c:layout>
      <c:barChart>
        <c:barDir val="bar"/>
        <c:grouping val="clustered"/>
        <c:varyColors val="0"/>
        <c:ser>
          <c:idx val="0"/>
          <c:order val="0"/>
          <c:tx>
            <c:strRef>
              <c:f>C_ENG!$B$306</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C_ENG!$A$307:$A$317</c:f>
              <c:strCache>
                <c:ptCount val="11"/>
                <c:pt idx="0">
                  <c:v>Tertiary education</c:v>
                </c:pt>
                <c:pt idx="1">
                  <c:v>Secondary education</c:v>
                </c:pt>
                <c:pt idx="2">
                  <c:v>Basic education</c:v>
                </c:pt>
                <c:pt idx="4">
                  <c:v>  65–74 </c:v>
                </c:pt>
                <c:pt idx="5">
                  <c:v>  55–64 </c:v>
                </c:pt>
                <c:pt idx="7">
                  <c:v>Females</c:v>
                </c:pt>
                <c:pt idx="8">
                  <c:v>Males</c:v>
                </c:pt>
                <c:pt idx="10">
                  <c:v>Total</c:v>
                </c:pt>
              </c:strCache>
            </c:strRef>
          </c:cat>
          <c:val>
            <c:numRef>
              <c:f>C_ENG!$B$307:$B$317</c:f>
              <c:numCache>
                <c:formatCode>0%</c:formatCode>
                <c:ptCount val="11"/>
                <c:pt idx="0">
                  <c:v>0.48444935731190569</c:v>
                </c:pt>
                <c:pt idx="1">
                  <c:v>0.26565021999999999</c:v>
                </c:pt>
                <c:pt idx="2">
                  <c:v>0.18798385112940802</c:v>
                </c:pt>
                <c:pt idx="4">
                  <c:v>0.1885417255212159</c:v>
                </c:pt>
                <c:pt idx="5">
                  <c:v>0.37968238743936739</c:v>
                </c:pt>
                <c:pt idx="7">
                  <c:v>0.26419840580669529</c:v>
                </c:pt>
                <c:pt idx="8">
                  <c:v>0.35927392857876256</c:v>
                </c:pt>
                <c:pt idx="10">
                  <c:v>0.31200381203002697</c:v>
                </c:pt>
              </c:numCache>
            </c:numRef>
          </c:val>
          <c:extLst>
            <c:ext xmlns:c16="http://schemas.microsoft.com/office/drawing/2014/chart" uri="{C3380CC4-5D6E-409C-BE32-E72D297353CC}">
              <c16:uniqueId val="{00000000-25D4-468C-9481-BB741C1C6D55}"/>
            </c:ext>
          </c:extLst>
        </c:ser>
        <c:ser>
          <c:idx val="1"/>
          <c:order val="1"/>
          <c:tx>
            <c:strRef>
              <c:f>C_ENG!$C$306</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D4-468C-9481-BB741C1C6D55}"/>
                </c:ext>
              </c:extLst>
            </c:dLbl>
            <c:dLbl>
              <c:idx val="1"/>
              <c:layout>
                <c:manualLayout>
                  <c:x val="-9.5025578099680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4-468C-9481-BB741C1C6D55}"/>
                </c:ext>
              </c:extLst>
            </c:dLbl>
            <c:dLbl>
              <c:idx val="2"/>
              <c:layout>
                <c:manualLayout>
                  <c:x val="-1.608979728597755E-2"/>
                  <c:y val="-8.2303575971038333E-17"/>
                </c:manualLayout>
              </c:layout>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4-468C-9481-BB741C1C6D55}"/>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C_ENG!$A$307:$A$317</c:f>
              <c:strCache>
                <c:ptCount val="11"/>
                <c:pt idx="0">
                  <c:v>Tertiary education</c:v>
                </c:pt>
                <c:pt idx="1">
                  <c:v>Secondary education</c:v>
                </c:pt>
                <c:pt idx="2">
                  <c:v>Basic education</c:v>
                </c:pt>
                <c:pt idx="4">
                  <c:v>  65–74 </c:v>
                </c:pt>
                <c:pt idx="5">
                  <c:v>  55–64 </c:v>
                </c:pt>
                <c:pt idx="7">
                  <c:v>Females</c:v>
                </c:pt>
                <c:pt idx="8">
                  <c:v>Males</c:v>
                </c:pt>
                <c:pt idx="10">
                  <c:v>Total</c:v>
                </c:pt>
              </c:strCache>
            </c:strRef>
          </c:cat>
          <c:val>
            <c:numRef>
              <c:f>C_ENG!$C$307:$C$317</c:f>
              <c:numCache>
                <c:formatCode>0%</c:formatCode>
                <c:ptCount val="11"/>
                <c:pt idx="0">
                  <c:v>0.44772315300872811</c:v>
                </c:pt>
                <c:pt idx="1">
                  <c:v>0.15959555</c:v>
                </c:pt>
                <c:pt idx="2">
                  <c:v>4.4469927771882384E-2</c:v>
                </c:pt>
                <c:pt idx="4">
                  <c:v>8.4635215324940741E-2</c:v>
                </c:pt>
                <c:pt idx="5">
                  <c:v>0.28603104880409569</c:v>
                </c:pt>
                <c:pt idx="7">
                  <c:v>0.15135340928863661</c:v>
                </c:pt>
                <c:pt idx="8">
                  <c:v>0.23210185886120191</c:v>
                </c:pt>
                <c:pt idx="10">
                  <c:v>0.18953128897839699</c:v>
                </c:pt>
              </c:numCache>
            </c:numRef>
          </c:val>
          <c:extLst>
            <c:ext xmlns:c16="http://schemas.microsoft.com/office/drawing/2014/chart" uri="{C3380CC4-5D6E-409C-BE32-E72D297353CC}">
              <c16:uniqueId val="{00000004-25D4-468C-9481-BB741C1C6D55}"/>
            </c:ext>
          </c:extLst>
        </c:ser>
        <c:dLbls>
          <c:showLegendKey val="0"/>
          <c:showVal val="0"/>
          <c:showCatName val="0"/>
          <c:showSerName val="0"/>
          <c:showPercent val="0"/>
          <c:showBubbleSize val="0"/>
        </c:dLbls>
        <c:gapWidth val="30"/>
        <c:axId val="238008832"/>
        <c:axId val="237088704"/>
      </c:barChart>
      <c:catAx>
        <c:axId val="238008832"/>
        <c:scaling>
          <c:orientation val="minMax"/>
        </c:scaling>
        <c:delete val="0"/>
        <c:axPos val="l"/>
        <c:numFmt formatCode="General" sourceLinked="1"/>
        <c:majorTickMark val="out"/>
        <c:minorTickMark val="none"/>
        <c:tickLblPos val="nextTo"/>
        <c:spPr>
          <a:ln>
            <a:solidFill>
              <a:schemeClr val="tx1"/>
            </a:solidFill>
          </a:ln>
        </c:spPr>
        <c:crossAx val="237088704"/>
        <c:crosses val="autoZero"/>
        <c:auto val="1"/>
        <c:lblAlgn val="ctr"/>
        <c:lblOffset val="100"/>
        <c:noMultiLvlLbl val="0"/>
      </c:catAx>
      <c:valAx>
        <c:axId val="237088704"/>
        <c:scaling>
          <c:orientation val="minMax"/>
          <c:max val="0.60000000000000053"/>
        </c:scaling>
        <c:delete val="0"/>
        <c:axPos val="b"/>
        <c:numFmt formatCode="0%" sourceLinked="1"/>
        <c:majorTickMark val="none"/>
        <c:minorTickMark val="none"/>
        <c:tickLblPos val="none"/>
        <c:crossAx val="238008832"/>
        <c:crosses val="autoZero"/>
        <c:crossBetween val="between"/>
        <c:majorUnit val="5.0000000000000024E-2"/>
        <c:minorUnit val="1.0000000000000005E-2"/>
      </c:valAx>
      <c:spPr>
        <a:ln w="12700">
          <a:solidFill>
            <a:schemeClr val="bg1">
              <a:lumMod val="65000"/>
            </a:schemeClr>
          </a:solidFill>
        </a:ln>
      </c:spPr>
    </c:plotArea>
    <c:legend>
      <c:legendPos val="r"/>
      <c:layout>
        <c:manualLayout>
          <c:xMode val="edge"/>
          <c:yMode val="edge"/>
          <c:x val="0.59149803921568622"/>
          <c:y val="0.55908229166666668"/>
          <c:w val="0.35310000000000002"/>
          <c:h val="8.8644444444444456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a:t>
            </a:r>
            <a:r>
              <a:rPr lang="cs-CZ" sz="800"/>
              <a:t>18</a:t>
            </a:r>
            <a:r>
              <a:rPr lang="en-US" sz="800"/>
              <a:t> Individuals in EU countries aged 55</a:t>
            </a:r>
            <a:r>
              <a:rPr lang="cs-CZ" sz="800"/>
              <a:t>–</a:t>
            </a:r>
            <a:r>
              <a:rPr lang="en-US" sz="800"/>
              <a:t>74 years using the internet on mobile phone (%)</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C_ENG!$B$330</c:f>
              <c:strCache>
                <c:ptCount val="1"/>
                <c:pt idx="0">
                  <c:v> 2017</c:v>
                </c:pt>
              </c:strCache>
            </c:strRef>
          </c:tx>
          <c:spPr>
            <a:solidFill>
              <a:srgbClr val="009BB4"/>
            </a:solidFill>
            <a:ln>
              <a:noFill/>
            </a:ln>
          </c:spPr>
          <c:invertIfNegative val="0"/>
          <c:dPt>
            <c:idx val="8"/>
            <c:invertIfNegative val="0"/>
            <c:bubble3D val="0"/>
            <c:spPr>
              <a:solidFill>
                <a:srgbClr val="009BB4"/>
              </a:solidFill>
              <a:ln w="19050">
                <a:noFill/>
              </a:ln>
            </c:spPr>
            <c:extLst>
              <c:ext xmlns:c16="http://schemas.microsoft.com/office/drawing/2014/chart" uri="{C3380CC4-5D6E-409C-BE32-E72D297353CC}">
                <c16:uniqueId val="{00000001-7EA1-4136-BB8E-1E54BBD29A88}"/>
              </c:ext>
            </c:extLst>
          </c:dPt>
          <c:dPt>
            <c:idx val="12"/>
            <c:invertIfNegative val="0"/>
            <c:bubble3D val="0"/>
            <c:spPr>
              <a:solidFill>
                <a:srgbClr val="009BB4"/>
              </a:solidFill>
              <a:ln>
                <a:solidFill>
                  <a:srgbClr val="FF0000"/>
                </a:solidFill>
              </a:ln>
            </c:spPr>
            <c:extLst>
              <c:ext xmlns:c16="http://schemas.microsoft.com/office/drawing/2014/chart" uri="{C3380CC4-5D6E-409C-BE32-E72D297353CC}">
                <c16:uniqueId val="{00000003-7EA1-4136-BB8E-1E54BBD29A88}"/>
              </c:ext>
            </c:extLst>
          </c:dPt>
          <c:dPt>
            <c:idx val="13"/>
            <c:invertIfNegative val="0"/>
            <c:bubble3D val="0"/>
            <c:spPr>
              <a:solidFill>
                <a:srgbClr val="009BB4"/>
              </a:solidFill>
              <a:ln w="19050">
                <a:noFill/>
              </a:ln>
            </c:spPr>
            <c:extLst>
              <c:ext xmlns:c16="http://schemas.microsoft.com/office/drawing/2014/chart" uri="{C3380CC4-5D6E-409C-BE32-E72D297353CC}">
                <c16:uniqueId val="{00000005-7EA1-4136-BB8E-1E54BBD29A88}"/>
              </c:ext>
            </c:extLst>
          </c:dPt>
          <c:dPt>
            <c:idx val="16"/>
            <c:invertIfNegative val="0"/>
            <c:bubble3D val="0"/>
            <c:spPr>
              <a:solidFill>
                <a:srgbClr val="009BB4"/>
              </a:solidFill>
              <a:ln w="19050">
                <a:noFill/>
              </a:ln>
            </c:spPr>
            <c:extLst>
              <c:ext xmlns:c16="http://schemas.microsoft.com/office/drawing/2014/chart" uri="{C3380CC4-5D6E-409C-BE32-E72D297353CC}">
                <c16:uniqueId val="{00000007-7EA1-4136-BB8E-1E54BBD29A88}"/>
              </c:ext>
            </c:extLst>
          </c:dPt>
          <c:dPt>
            <c:idx val="20"/>
            <c:invertIfNegative val="0"/>
            <c:bubble3D val="0"/>
            <c:spPr>
              <a:solidFill>
                <a:srgbClr val="009BB4"/>
              </a:solidFill>
              <a:ln>
                <a:solidFill>
                  <a:srgbClr val="FF0000"/>
                </a:solidFill>
              </a:ln>
            </c:spPr>
            <c:extLst>
              <c:ext xmlns:c16="http://schemas.microsoft.com/office/drawing/2014/chart" uri="{C3380CC4-5D6E-409C-BE32-E72D297353CC}">
                <c16:uniqueId val="{00000009-7EA1-4136-BB8E-1E54BBD29A88}"/>
              </c:ext>
            </c:extLst>
          </c:dPt>
          <c:dLbls>
            <c:dLbl>
              <c:idx val="20"/>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9-7EA1-4136-BB8E-1E54BBD29A88}"/>
                </c:ext>
              </c:extLst>
            </c:dLbl>
            <c:dLbl>
              <c:idx val="21"/>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A-7EA1-4136-BB8E-1E54BBD29A88}"/>
                </c:ext>
              </c:extLst>
            </c:dLbl>
            <c:dLbl>
              <c:idx val="22"/>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B-7EA1-4136-BB8E-1E54BBD29A88}"/>
                </c:ext>
              </c:extLst>
            </c:dLbl>
            <c:dLbl>
              <c:idx val="23"/>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C-7EA1-4136-BB8E-1E54BBD29A88}"/>
                </c:ext>
              </c:extLst>
            </c:dLbl>
            <c:dLbl>
              <c:idx val="24"/>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D-7EA1-4136-BB8E-1E54BBD29A88}"/>
                </c:ext>
              </c:extLst>
            </c:dLbl>
            <c:dLbl>
              <c:idx val="25"/>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E-7EA1-4136-BB8E-1E54BBD29A88}"/>
                </c:ext>
              </c:extLst>
            </c:dLbl>
            <c:dLbl>
              <c:idx val="26"/>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0F-7EA1-4136-BB8E-1E54BBD29A88}"/>
                </c:ext>
              </c:extLst>
            </c:dLbl>
            <c:dLbl>
              <c:idx val="27"/>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10-7EA1-4136-BB8E-1E54BBD29A88}"/>
                </c:ext>
              </c:extLst>
            </c:dLbl>
            <c:dLbl>
              <c:idx val="28"/>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6="http://schemas.microsoft.com/office/drawing/2014/chart" uri="{C3380CC4-5D6E-409C-BE32-E72D297353CC}">
                  <c16:uniqueId val="{00000011-7EA1-4136-BB8E-1E54BBD29A88}"/>
                </c:ext>
              </c:extLst>
            </c:dLbl>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C_ENG!$A$331:$A$359</c:f>
              <c:strCache>
                <c:ptCount val="29"/>
                <c:pt idx="0">
                  <c:v>Sweden</c:v>
                </c:pt>
                <c:pt idx="1">
                  <c:v>Netherlands</c:v>
                </c:pt>
                <c:pt idx="2">
                  <c:v>Luxembourg </c:v>
                </c:pt>
                <c:pt idx="3">
                  <c:v>Denmark</c:v>
                </c:pt>
                <c:pt idx="4">
                  <c:v>United Kingdom</c:v>
                </c:pt>
                <c:pt idx="5">
                  <c:v>Finland</c:v>
                </c:pt>
                <c:pt idx="6">
                  <c:v>Spain</c:v>
                </c:pt>
                <c:pt idx="7">
                  <c:v>Germany</c:v>
                </c:pt>
                <c:pt idx="8">
                  <c:v>Ireland</c:v>
                </c:pt>
                <c:pt idx="9">
                  <c:v>Belgium</c:v>
                </c:pt>
                <c:pt idx="10">
                  <c:v>Austria</c:v>
                </c:pt>
                <c:pt idx="11">
                  <c:v>France</c:v>
                </c:pt>
                <c:pt idx="12">
                  <c:v>EU28</c:v>
                </c:pt>
                <c:pt idx="13">
                  <c:v>Cyprus</c:v>
                </c:pt>
                <c:pt idx="14">
                  <c:v>Malta</c:v>
                </c:pt>
                <c:pt idx="15">
                  <c:v>Estonia</c:v>
                </c:pt>
                <c:pt idx="16">
                  <c:v>Slovenia</c:v>
                </c:pt>
                <c:pt idx="17">
                  <c:v>Portugal</c:v>
                </c:pt>
                <c:pt idx="18">
                  <c:v>Hungary</c:v>
                </c:pt>
                <c:pt idx="19">
                  <c:v>Slovakia</c:v>
                </c:pt>
                <c:pt idx="20">
                  <c:v>Czech Republic</c:v>
                </c:pt>
                <c:pt idx="21">
                  <c:v>Croatia</c:v>
                </c:pt>
                <c:pt idx="22">
                  <c:v>Bulgaria</c:v>
                </c:pt>
                <c:pt idx="23">
                  <c:v>Romania</c:v>
                </c:pt>
                <c:pt idx="24">
                  <c:v>Latvia</c:v>
                </c:pt>
                <c:pt idx="25">
                  <c:v>Lithuania</c:v>
                </c:pt>
                <c:pt idx="26">
                  <c:v>Greece</c:v>
                </c:pt>
                <c:pt idx="27">
                  <c:v>Italy</c:v>
                </c:pt>
                <c:pt idx="28">
                  <c:v>Poland</c:v>
                </c:pt>
              </c:strCache>
            </c:strRef>
          </c:cat>
          <c:val>
            <c:numRef>
              <c:f>C_ENG!$B$331:$B$359</c:f>
              <c:numCache>
                <c:formatCode>0%</c:formatCode>
                <c:ptCount val="29"/>
                <c:pt idx="0">
                  <c:v>0.67392600000000003</c:v>
                </c:pt>
                <c:pt idx="1">
                  <c:v>0.65753799999999996</c:v>
                </c:pt>
                <c:pt idx="2">
                  <c:v>0.59138599999999997</c:v>
                </c:pt>
                <c:pt idx="3">
                  <c:v>0.58766099999999999</c:v>
                </c:pt>
                <c:pt idx="4">
                  <c:v>0.51002700000000001</c:v>
                </c:pt>
                <c:pt idx="5">
                  <c:v>0.47147699999999998</c:v>
                </c:pt>
                <c:pt idx="6">
                  <c:v>0.46903699999999998</c:v>
                </c:pt>
                <c:pt idx="7">
                  <c:v>0.44426900000000002</c:v>
                </c:pt>
                <c:pt idx="8">
                  <c:v>0.416904</c:v>
                </c:pt>
                <c:pt idx="9">
                  <c:v>0.406364</c:v>
                </c:pt>
                <c:pt idx="10">
                  <c:v>0.40046199999999998</c:v>
                </c:pt>
                <c:pt idx="11">
                  <c:v>0.34991</c:v>
                </c:pt>
                <c:pt idx="12">
                  <c:v>0.34129100000000001</c:v>
                </c:pt>
                <c:pt idx="13">
                  <c:v>0.29999900000000002</c:v>
                </c:pt>
                <c:pt idx="14">
                  <c:v>0.28077400000000002</c:v>
                </c:pt>
                <c:pt idx="15">
                  <c:v>0.255722</c:v>
                </c:pt>
                <c:pt idx="16">
                  <c:v>0.23436499999999999</c:v>
                </c:pt>
                <c:pt idx="17">
                  <c:v>0.21996399999999999</c:v>
                </c:pt>
                <c:pt idx="18">
                  <c:v>0.217612</c:v>
                </c:pt>
                <c:pt idx="19">
                  <c:v>0.21441399999999999</c:v>
                </c:pt>
                <c:pt idx="20">
                  <c:v>0.18953100000000001</c:v>
                </c:pt>
                <c:pt idx="21">
                  <c:v>0.184505</c:v>
                </c:pt>
                <c:pt idx="22">
                  <c:v>0.17663799999999999</c:v>
                </c:pt>
                <c:pt idx="23">
                  <c:v>0.16742899999999999</c:v>
                </c:pt>
                <c:pt idx="24">
                  <c:v>0.16256899999999999</c:v>
                </c:pt>
                <c:pt idx="25">
                  <c:v>0.15603400000000001</c:v>
                </c:pt>
                <c:pt idx="26">
                  <c:v>0.13658699999999999</c:v>
                </c:pt>
                <c:pt idx="27">
                  <c:v>0.10842499999999999</c:v>
                </c:pt>
                <c:pt idx="28">
                  <c:v>9.2172000000000004E-2</c:v>
                </c:pt>
              </c:numCache>
            </c:numRef>
          </c:val>
          <c:extLst>
            <c:ext xmlns:c16="http://schemas.microsoft.com/office/drawing/2014/chart" uri="{C3380CC4-5D6E-409C-BE32-E72D297353CC}">
              <c16:uniqueId val="{00000012-7EA1-4136-BB8E-1E54BBD29A88}"/>
            </c:ext>
          </c:extLst>
        </c:ser>
        <c:dLbls>
          <c:showLegendKey val="0"/>
          <c:showVal val="0"/>
          <c:showCatName val="0"/>
          <c:showSerName val="0"/>
          <c:showPercent val="0"/>
          <c:showBubbleSize val="0"/>
        </c:dLbls>
        <c:gapWidth val="50"/>
        <c:axId val="176830464"/>
        <c:axId val="172470784"/>
      </c:barChart>
      <c:barChart>
        <c:barDir val="col"/>
        <c:grouping val="clustered"/>
        <c:varyColors val="0"/>
        <c:ser>
          <c:idx val="1"/>
          <c:order val="1"/>
          <c:tx>
            <c:strRef>
              <c:f>C_ENG!$C$330</c:f>
              <c:strCache>
                <c:ptCount val="1"/>
                <c:pt idx="0">
                  <c:v> 2012</c:v>
                </c:pt>
              </c:strCache>
            </c:strRef>
          </c:tx>
          <c:spPr>
            <a:solidFill>
              <a:srgbClr val="47E5FF"/>
            </a:solidFill>
          </c:spPr>
          <c:invertIfNegative val="0"/>
          <c:dLbls>
            <c:spPr>
              <a:noFill/>
              <a:ln>
                <a:noFill/>
              </a:ln>
              <a:effectLst/>
            </c:spPr>
            <c:txPr>
              <a:bodyPr rot="-5400000" vert="horz"/>
              <a:lstStyle/>
              <a:p>
                <a:pPr>
                  <a:defRPr b="1">
                    <a:solidFill>
                      <a:schemeClr val="bg1"/>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C_ENG!$A$331:$A$359</c:f>
              <c:strCache>
                <c:ptCount val="29"/>
                <c:pt idx="0">
                  <c:v>Sweden</c:v>
                </c:pt>
                <c:pt idx="1">
                  <c:v>Netherlands</c:v>
                </c:pt>
                <c:pt idx="2">
                  <c:v>Luxembourg </c:v>
                </c:pt>
                <c:pt idx="3">
                  <c:v>Denmark</c:v>
                </c:pt>
                <c:pt idx="4">
                  <c:v>United Kingdom</c:v>
                </c:pt>
                <c:pt idx="5">
                  <c:v>Finland</c:v>
                </c:pt>
                <c:pt idx="6">
                  <c:v>Spain</c:v>
                </c:pt>
                <c:pt idx="7">
                  <c:v>Germany</c:v>
                </c:pt>
                <c:pt idx="8">
                  <c:v>Ireland</c:v>
                </c:pt>
                <c:pt idx="9">
                  <c:v>Belgium</c:v>
                </c:pt>
                <c:pt idx="10">
                  <c:v>Austria</c:v>
                </c:pt>
                <c:pt idx="11">
                  <c:v>France</c:v>
                </c:pt>
                <c:pt idx="12">
                  <c:v>EU28</c:v>
                </c:pt>
                <c:pt idx="13">
                  <c:v>Cyprus</c:v>
                </c:pt>
                <c:pt idx="14">
                  <c:v>Malta</c:v>
                </c:pt>
                <c:pt idx="15">
                  <c:v>Estonia</c:v>
                </c:pt>
                <c:pt idx="16">
                  <c:v>Slovenia</c:v>
                </c:pt>
                <c:pt idx="17">
                  <c:v>Portugal</c:v>
                </c:pt>
                <c:pt idx="18">
                  <c:v>Hungary</c:v>
                </c:pt>
                <c:pt idx="19">
                  <c:v>Slovakia</c:v>
                </c:pt>
                <c:pt idx="20">
                  <c:v>Czech Republic</c:v>
                </c:pt>
                <c:pt idx="21">
                  <c:v>Croatia</c:v>
                </c:pt>
                <c:pt idx="22">
                  <c:v>Bulgaria</c:v>
                </c:pt>
                <c:pt idx="23">
                  <c:v>Romania</c:v>
                </c:pt>
                <c:pt idx="24">
                  <c:v>Latvia</c:v>
                </c:pt>
                <c:pt idx="25">
                  <c:v>Lithuania</c:v>
                </c:pt>
                <c:pt idx="26">
                  <c:v>Greece</c:v>
                </c:pt>
                <c:pt idx="27">
                  <c:v>Italy</c:v>
                </c:pt>
                <c:pt idx="28">
                  <c:v>Poland</c:v>
                </c:pt>
              </c:strCache>
            </c:strRef>
          </c:cat>
          <c:val>
            <c:numRef>
              <c:f>C_ENG!$C$331:$C$359</c:f>
              <c:numCache>
                <c:formatCode>0%</c:formatCode>
                <c:ptCount val="29"/>
                <c:pt idx="0">
                  <c:v>0.26177699999999998</c:v>
                </c:pt>
                <c:pt idx="1">
                  <c:v>0.13592299999999999</c:v>
                </c:pt>
                <c:pt idx="2">
                  <c:v>0.19334200000000001</c:v>
                </c:pt>
                <c:pt idx="3">
                  <c:v>0.232766</c:v>
                </c:pt>
                <c:pt idx="4">
                  <c:v>0.212836</c:v>
                </c:pt>
                <c:pt idx="5">
                  <c:v>0.15726899999999999</c:v>
                </c:pt>
                <c:pt idx="6">
                  <c:v>5.9554000000000003E-2</c:v>
                </c:pt>
                <c:pt idx="7">
                  <c:v>5.7611000000000002E-2</c:v>
                </c:pt>
                <c:pt idx="8">
                  <c:v>6.9116999999999998E-2</c:v>
                </c:pt>
                <c:pt idx="9">
                  <c:v>0.104144</c:v>
                </c:pt>
                <c:pt idx="10">
                  <c:v>0.103104</c:v>
                </c:pt>
                <c:pt idx="11">
                  <c:v>9.4175999999999996E-2</c:v>
                </c:pt>
                <c:pt idx="12">
                  <c:v>7.8127000000000002E-2</c:v>
                </c:pt>
                <c:pt idx="13">
                  <c:v>2.9853999999999999E-2</c:v>
                </c:pt>
                <c:pt idx="14">
                  <c:v>5.2234000000000003E-2</c:v>
                </c:pt>
                <c:pt idx="15">
                  <c:v>1.3656E-2</c:v>
                </c:pt>
                <c:pt idx="16">
                  <c:v>2.5537000000000001E-2</c:v>
                </c:pt>
                <c:pt idx="17">
                  <c:v>1.6920000000000001E-2</c:v>
                </c:pt>
                <c:pt idx="18">
                  <c:v>2.4427999999999998E-2</c:v>
                </c:pt>
                <c:pt idx="19">
                  <c:v>5.2774000000000001E-2</c:v>
                </c:pt>
                <c:pt idx="20">
                  <c:v>2.0730655143861802E-2</c:v>
                </c:pt>
                <c:pt idx="21">
                  <c:v>2.8305E-2</c:v>
                </c:pt>
                <c:pt idx="22">
                  <c:v>1.0337000000000001E-2</c:v>
                </c:pt>
                <c:pt idx="23">
                  <c:v>4.5900000000000003E-3</c:v>
                </c:pt>
                <c:pt idx="24">
                  <c:v>1.8848E-2</c:v>
                </c:pt>
                <c:pt idx="25">
                  <c:v>5.4039999999999999E-3</c:v>
                </c:pt>
                <c:pt idx="26">
                  <c:v>1.3754000000000001E-2</c:v>
                </c:pt>
                <c:pt idx="27">
                  <c:v>2.5224E-2</c:v>
                </c:pt>
                <c:pt idx="28">
                  <c:v>1.9798E-2</c:v>
                </c:pt>
              </c:numCache>
            </c:numRef>
          </c:val>
          <c:extLst>
            <c:ext xmlns:c16="http://schemas.microsoft.com/office/drawing/2014/chart" uri="{C3380CC4-5D6E-409C-BE32-E72D297353CC}">
              <c16:uniqueId val="{00000013-7EA1-4136-BB8E-1E54BBD29A88}"/>
            </c:ext>
          </c:extLst>
        </c:ser>
        <c:dLbls>
          <c:showLegendKey val="0"/>
          <c:showVal val="0"/>
          <c:showCatName val="0"/>
          <c:showSerName val="0"/>
          <c:showPercent val="0"/>
          <c:showBubbleSize val="0"/>
        </c:dLbls>
        <c:gapWidth val="200"/>
        <c:axId val="177104896"/>
        <c:axId val="172471360"/>
      </c:barChart>
      <c:catAx>
        <c:axId val="176830464"/>
        <c:scaling>
          <c:orientation val="minMax"/>
        </c:scaling>
        <c:delete val="0"/>
        <c:axPos val="b"/>
        <c:numFmt formatCode="General" sourceLinked="0"/>
        <c:majorTickMark val="out"/>
        <c:minorTickMark val="none"/>
        <c:tickLblPos val="nextTo"/>
        <c:spPr>
          <a:ln w="3175">
            <a:solidFill>
              <a:schemeClr val="tx1"/>
            </a:solidFill>
          </a:ln>
        </c:spPr>
        <c:crossAx val="172470784"/>
        <c:crosses val="autoZero"/>
        <c:auto val="1"/>
        <c:lblAlgn val="ctr"/>
        <c:lblOffset val="100"/>
        <c:noMultiLvlLbl val="0"/>
      </c:catAx>
      <c:valAx>
        <c:axId val="172470784"/>
        <c:scaling>
          <c:orientation val="minMax"/>
          <c:max val="0.8"/>
          <c:min val="0"/>
        </c:scaling>
        <c:delete val="1"/>
        <c:axPos val="l"/>
        <c:numFmt formatCode="0%" sourceLinked="1"/>
        <c:majorTickMark val="out"/>
        <c:minorTickMark val="none"/>
        <c:tickLblPos val="nextTo"/>
        <c:crossAx val="176830464"/>
        <c:crosses val="autoZero"/>
        <c:crossBetween val="between"/>
        <c:majorUnit val="0.1"/>
        <c:minorUnit val="0.05"/>
      </c:valAx>
      <c:valAx>
        <c:axId val="172471360"/>
        <c:scaling>
          <c:orientation val="minMax"/>
          <c:max val="0.8"/>
        </c:scaling>
        <c:delete val="0"/>
        <c:axPos val="r"/>
        <c:numFmt formatCode="0%" sourceLinked="1"/>
        <c:majorTickMark val="none"/>
        <c:minorTickMark val="none"/>
        <c:tickLblPos val="none"/>
        <c:crossAx val="177104896"/>
        <c:crosses val="max"/>
        <c:crossBetween val="between"/>
      </c:valAx>
      <c:catAx>
        <c:axId val="177104896"/>
        <c:scaling>
          <c:orientation val="minMax"/>
        </c:scaling>
        <c:delete val="1"/>
        <c:axPos val="b"/>
        <c:numFmt formatCode="General" sourceLinked="0"/>
        <c:majorTickMark val="out"/>
        <c:minorTickMark val="none"/>
        <c:tickLblPos val="none"/>
        <c:crossAx val="17247136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934650614811805"/>
          <c:y val="0.14428981481481501"/>
          <c:w val="6.9586721030664295E-2"/>
          <c:h val="0.116382098765432"/>
        </c:manualLayout>
      </c:layout>
      <c:overlay val="0"/>
      <c:spPr>
        <a:ln>
          <a:solidFill>
            <a:schemeClr val="bg1">
              <a:lumMod val="50000"/>
            </a:schemeClr>
          </a:solidFill>
        </a:ln>
      </c:sp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Figure C19 Individuals in the Czech Republic aged 16+ using social networks</a:t>
            </a:r>
            <a:endParaRPr lang="en-US" sz="800" b="1"/>
          </a:p>
        </c:rich>
      </c:tx>
      <c:layout>
        <c:manualLayout>
          <c:xMode val="edge"/>
          <c:yMode val="edge"/>
          <c:x val="0.13270223577235801"/>
          <c:y val="1.8814814814814802E-2"/>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C_ENG!$A$364</c:f>
              <c:strCache>
                <c:ptCount val="1"/>
                <c:pt idx="0">
                  <c:v> Millions</c:v>
                </c:pt>
              </c:strCache>
            </c:strRef>
          </c:tx>
          <c:spPr>
            <a:solidFill>
              <a:srgbClr val="009BB4"/>
            </a:solidFill>
            <a:ln w="25400">
              <a:noFill/>
            </a:ln>
          </c:spPr>
          <c:invertIfNegative val="0"/>
          <c:dLbls>
            <c:dLbl>
              <c:idx val="0"/>
              <c:layout>
                <c:manualLayout>
                  <c:x val="0"/>
                  <c:y val="5.8272544283413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74-4DDA-ABD8-9F1845F1A2CD}"/>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C_ENG!$B$363:$I$363</c:f>
              <c:numCache>
                <c:formatCode>0</c:formatCode>
                <c:ptCount val="8"/>
                <c:pt idx="0">
                  <c:v>2010</c:v>
                </c:pt>
                <c:pt idx="1">
                  <c:v>2011</c:v>
                </c:pt>
                <c:pt idx="2">
                  <c:v>2012</c:v>
                </c:pt>
                <c:pt idx="3">
                  <c:v>2013</c:v>
                </c:pt>
                <c:pt idx="4">
                  <c:v>2014</c:v>
                </c:pt>
                <c:pt idx="5">
                  <c:v>2015</c:v>
                </c:pt>
                <c:pt idx="6">
                  <c:v>2016</c:v>
                </c:pt>
                <c:pt idx="7">
                  <c:v>2017</c:v>
                </c:pt>
              </c:numCache>
            </c:numRef>
          </c:cat>
          <c:val>
            <c:numRef>
              <c:f>C_ENG!$B$364:$I$364</c:f>
              <c:numCache>
                <c:formatCode>#,##0.0</c:formatCode>
                <c:ptCount val="8"/>
                <c:pt idx="0">
                  <c:v>0.82418679790189897</c:v>
                </c:pt>
                <c:pt idx="1">
                  <c:v>2.1766700000000001</c:v>
                </c:pt>
                <c:pt idx="2">
                  <c:v>2.7480815836660719</c:v>
                </c:pt>
                <c:pt idx="3">
                  <c:v>3.04121636</c:v>
                </c:pt>
                <c:pt idx="4">
                  <c:v>3.2300959999999992</c:v>
                </c:pt>
                <c:pt idx="5" formatCode="0.0">
                  <c:v>3.2846060000000001</c:v>
                </c:pt>
                <c:pt idx="6">
                  <c:v>3.6295000000000002</c:v>
                </c:pt>
                <c:pt idx="7">
                  <c:v>3.8714407884712081</c:v>
                </c:pt>
              </c:numCache>
            </c:numRef>
          </c:val>
          <c:extLst>
            <c:ext xmlns:c16="http://schemas.microsoft.com/office/drawing/2014/chart" uri="{C3380CC4-5D6E-409C-BE32-E72D297353CC}">
              <c16:uniqueId val="{00000001-7A74-4DDA-ABD8-9F1845F1A2CD}"/>
            </c:ext>
          </c:extLst>
        </c:ser>
        <c:dLbls>
          <c:showLegendKey val="0"/>
          <c:showVal val="0"/>
          <c:showCatName val="0"/>
          <c:showSerName val="0"/>
          <c:showPercent val="0"/>
          <c:showBubbleSize val="0"/>
        </c:dLbls>
        <c:gapWidth val="50"/>
        <c:axId val="177106432"/>
        <c:axId val="172472512"/>
      </c:barChart>
      <c:lineChart>
        <c:grouping val="standard"/>
        <c:varyColors val="0"/>
        <c:ser>
          <c:idx val="0"/>
          <c:order val="1"/>
          <c:tx>
            <c:strRef>
              <c:f>C_ENG!$A$365</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6.9422120427717615E-2"/>
                  <c:y val="-2.817144426919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4-4DDA-ABD8-9F1845F1A2CD}"/>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C_ENG!$B$363:$I$363</c:f>
              <c:numCache>
                <c:formatCode>0</c:formatCode>
                <c:ptCount val="8"/>
                <c:pt idx="0">
                  <c:v>2010</c:v>
                </c:pt>
                <c:pt idx="1">
                  <c:v>2011</c:v>
                </c:pt>
                <c:pt idx="2">
                  <c:v>2012</c:v>
                </c:pt>
                <c:pt idx="3">
                  <c:v>2013</c:v>
                </c:pt>
                <c:pt idx="4">
                  <c:v>2014</c:v>
                </c:pt>
                <c:pt idx="5">
                  <c:v>2015</c:v>
                </c:pt>
                <c:pt idx="6">
                  <c:v>2016</c:v>
                </c:pt>
                <c:pt idx="7">
                  <c:v>2017</c:v>
                </c:pt>
              </c:numCache>
            </c:numRef>
          </c:cat>
          <c:val>
            <c:numRef>
              <c:f>C_ENG!$B$365:$I$365</c:f>
              <c:numCache>
                <c:formatCode>0.0%</c:formatCode>
                <c:ptCount val="8"/>
                <c:pt idx="0">
                  <c:v>9.3358070397758605E-2</c:v>
                </c:pt>
                <c:pt idx="1">
                  <c:v>0.24649841608967099</c:v>
                </c:pt>
                <c:pt idx="2">
                  <c:v>0.30965717849843899</c:v>
                </c:pt>
                <c:pt idx="3">
                  <c:v>0.34300000000000003</c:v>
                </c:pt>
                <c:pt idx="4">
                  <c:v>0.36883961936882598</c:v>
                </c:pt>
                <c:pt idx="5">
                  <c:v>0.37439757219929298</c:v>
                </c:pt>
                <c:pt idx="6">
                  <c:v>0.41399999999999998</c:v>
                </c:pt>
                <c:pt idx="7">
                  <c:v>0.44221274356645401</c:v>
                </c:pt>
              </c:numCache>
            </c:numRef>
          </c:val>
          <c:smooth val="0"/>
          <c:extLst>
            <c:ext xmlns:c16="http://schemas.microsoft.com/office/drawing/2014/chart" uri="{C3380CC4-5D6E-409C-BE32-E72D297353CC}">
              <c16:uniqueId val="{00000003-7A74-4DDA-ABD8-9F1845F1A2CD}"/>
            </c:ext>
          </c:extLst>
        </c:ser>
        <c:ser>
          <c:idx val="1"/>
          <c:order val="2"/>
          <c:tx>
            <c:strRef>
              <c:f>C_ENG!$A$366</c:f>
              <c:strCache>
                <c:ptCount val="1"/>
                <c:pt idx="0">
                  <c:v>  % of internet users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C_ENG!$B$363:$I$363</c:f>
              <c:numCache>
                <c:formatCode>0</c:formatCode>
                <c:ptCount val="8"/>
                <c:pt idx="0">
                  <c:v>2010</c:v>
                </c:pt>
                <c:pt idx="1">
                  <c:v>2011</c:v>
                </c:pt>
                <c:pt idx="2">
                  <c:v>2012</c:v>
                </c:pt>
                <c:pt idx="3">
                  <c:v>2013</c:v>
                </c:pt>
                <c:pt idx="4">
                  <c:v>2014</c:v>
                </c:pt>
                <c:pt idx="5">
                  <c:v>2015</c:v>
                </c:pt>
                <c:pt idx="6">
                  <c:v>2016</c:v>
                </c:pt>
                <c:pt idx="7">
                  <c:v>2017</c:v>
                </c:pt>
              </c:numCache>
            </c:numRef>
          </c:cat>
          <c:val>
            <c:numRef>
              <c:f>C_ENG!$B$366:$I$366</c:f>
              <c:numCache>
                <c:formatCode>0.0%</c:formatCode>
                <c:ptCount val="8"/>
                <c:pt idx="0">
                  <c:v>0.15099764458310999</c:v>
                </c:pt>
                <c:pt idx="1">
                  <c:v>0.37659894989609499</c:v>
                </c:pt>
                <c:pt idx="2">
                  <c:v>0.44555423440687397</c:v>
                </c:pt>
                <c:pt idx="3">
                  <c:v>0.50288665009127298</c:v>
                </c:pt>
                <c:pt idx="4">
                  <c:v>0.49687608063490002</c:v>
                </c:pt>
                <c:pt idx="5">
                  <c:v>0.49478448157689597</c:v>
                </c:pt>
                <c:pt idx="6">
                  <c:v>0.54132860040567998</c:v>
                </c:pt>
                <c:pt idx="7">
                  <c:v>0.56175994857746103</c:v>
                </c:pt>
              </c:numCache>
            </c:numRef>
          </c:val>
          <c:smooth val="0"/>
          <c:extLst>
            <c:ext xmlns:c16="http://schemas.microsoft.com/office/drawing/2014/chart" uri="{C3380CC4-5D6E-409C-BE32-E72D297353CC}">
              <c16:uniqueId val="{00000004-7A74-4DDA-ABD8-9F1845F1A2CD}"/>
            </c:ext>
          </c:extLst>
        </c:ser>
        <c:dLbls>
          <c:showLegendKey val="0"/>
          <c:showVal val="0"/>
          <c:showCatName val="0"/>
          <c:showSerName val="0"/>
          <c:showPercent val="0"/>
          <c:showBubbleSize val="0"/>
        </c:dLbls>
        <c:marker val="1"/>
        <c:smooth val="0"/>
        <c:axId val="177352704"/>
        <c:axId val="172473088"/>
      </c:lineChart>
      <c:catAx>
        <c:axId val="17710643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2472512"/>
        <c:crosses val="autoZero"/>
        <c:auto val="1"/>
        <c:lblAlgn val="ctr"/>
        <c:lblOffset val="140"/>
        <c:tickLblSkip val="1"/>
        <c:tickMarkSkip val="1"/>
        <c:noMultiLvlLbl val="0"/>
      </c:catAx>
      <c:valAx>
        <c:axId val="172472512"/>
        <c:scaling>
          <c:orientation val="minMax"/>
          <c:max val="7"/>
          <c:min val="0"/>
        </c:scaling>
        <c:delete val="0"/>
        <c:axPos val="l"/>
        <c:majorGridlines>
          <c:spPr>
            <a:ln w="12700">
              <a:noFill/>
              <a:prstDash val="dash"/>
            </a:ln>
          </c:spPr>
        </c:majorGridlines>
        <c:numFmt formatCode="#,##0.0" sourceLinked="1"/>
        <c:majorTickMark val="none"/>
        <c:minorTickMark val="none"/>
        <c:tickLblPos val="none"/>
        <c:spPr>
          <a:ln w="9525">
            <a:noFill/>
          </a:ln>
        </c:spPr>
        <c:crossAx val="177106432"/>
        <c:crosses val="autoZero"/>
        <c:crossBetween val="between"/>
        <c:majorUnit val="1"/>
        <c:minorUnit val="0.02"/>
      </c:valAx>
      <c:catAx>
        <c:axId val="177352704"/>
        <c:scaling>
          <c:orientation val="minMax"/>
        </c:scaling>
        <c:delete val="1"/>
        <c:axPos val="b"/>
        <c:numFmt formatCode="0" sourceLinked="1"/>
        <c:majorTickMark val="out"/>
        <c:minorTickMark val="none"/>
        <c:tickLblPos val="none"/>
        <c:crossAx val="172473088"/>
        <c:crosses val="autoZero"/>
        <c:auto val="1"/>
        <c:lblAlgn val="ctr"/>
        <c:lblOffset val="100"/>
        <c:noMultiLvlLbl val="0"/>
      </c:catAx>
      <c:valAx>
        <c:axId val="172473088"/>
        <c:scaling>
          <c:orientation val="minMax"/>
          <c:max val="0.750000000000001"/>
          <c:min val="0"/>
        </c:scaling>
        <c:delete val="0"/>
        <c:axPos val="r"/>
        <c:numFmt formatCode="0.0%" sourceLinked="1"/>
        <c:majorTickMark val="none"/>
        <c:minorTickMark val="none"/>
        <c:tickLblPos val="none"/>
        <c:spPr>
          <a:ln>
            <a:solidFill>
              <a:schemeClr val="bg1">
                <a:lumMod val="65000"/>
              </a:schemeClr>
            </a:solidFill>
          </a:ln>
        </c:spPr>
        <c:crossAx val="177352704"/>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898E-2"/>
          <c:y val="0.150013580246914"/>
          <c:w val="0.62919783197832002"/>
          <c:h val="0.13343425925925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en-US" sz="800" b="1"/>
              <a:t> </a:t>
            </a:r>
            <a:r>
              <a:rPr lang="cs-CZ" sz="800" b="1"/>
              <a:t>A6 Mobile</a:t>
            </a:r>
            <a:r>
              <a:rPr lang="cs-CZ" sz="800" b="1" baseline="0"/>
              <a:t> telephone subscriptions in the Czech Republic – active SIM cards</a:t>
            </a:r>
            <a:endParaRPr lang="en-US" sz="800" b="1"/>
          </a:p>
        </c:rich>
      </c:tx>
      <c:layout/>
      <c:overlay val="1"/>
    </c:title>
    <c:autoTitleDeleted val="0"/>
    <c:plotArea>
      <c:layout>
        <c:manualLayout>
          <c:layoutTarget val="inner"/>
          <c:xMode val="edge"/>
          <c:yMode val="edge"/>
          <c:x val="3.10394912985274E-2"/>
          <c:y val="0.157972619047619"/>
          <c:w val="0.94108895502645495"/>
          <c:h val="0.64230238095238101"/>
        </c:manualLayout>
      </c:layout>
      <c:barChart>
        <c:barDir val="col"/>
        <c:grouping val="clustered"/>
        <c:varyColors val="0"/>
        <c:ser>
          <c:idx val="2"/>
          <c:order val="0"/>
          <c:tx>
            <c:strRef>
              <c:f>A_EN!$A$84</c:f>
              <c:strCache>
                <c:ptCount val="1"/>
                <c:pt idx="0">
                  <c:v> thousands</c:v>
                </c:pt>
              </c:strCache>
            </c:strRef>
          </c:tx>
          <c:spPr>
            <a:solidFill>
              <a:srgbClr val="009BB4"/>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1B8-47EF-8D79-06765CEB1285}"/>
                </c:ext>
              </c:extLst>
            </c:dLbl>
            <c:dLbl>
              <c:idx val="1"/>
              <c:delete val="1"/>
              <c:extLst>
                <c:ext xmlns:c15="http://schemas.microsoft.com/office/drawing/2012/chart" uri="{CE6537A1-D6FC-4f65-9D91-7224C49458BB}"/>
                <c:ext xmlns:c16="http://schemas.microsoft.com/office/drawing/2014/chart" uri="{C3380CC4-5D6E-409C-BE32-E72D297353CC}">
                  <c16:uniqueId val="{00000001-41B8-47EF-8D79-06765CEB1285}"/>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A_EN!$B$83:$K$83</c:f>
              <c:numCache>
                <c:formatCode>General</c:formatCode>
                <c:ptCount val="10"/>
                <c:pt idx="0">
                  <c:v>1996</c:v>
                </c:pt>
                <c:pt idx="1">
                  <c:v>1998</c:v>
                </c:pt>
                <c:pt idx="2">
                  <c:v>2000</c:v>
                </c:pt>
                <c:pt idx="3">
                  <c:v>2002</c:v>
                </c:pt>
                <c:pt idx="4">
                  <c:v>2004</c:v>
                </c:pt>
                <c:pt idx="5">
                  <c:v>2006</c:v>
                </c:pt>
                <c:pt idx="6">
                  <c:v>2010</c:v>
                </c:pt>
                <c:pt idx="7">
                  <c:v>2012</c:v>
                </c:pt>
                <c:pt idx="8">
                  <c:v>2014</c:v>
                </c:pt>
                <c:pt idx="9">
                  <c:v>2016</c:v>
                </c:pt>
              </c:numCache>
            </c:numRef>
          </c:cat>
          <c:val>
            <c:numRef>
              <c:f>A_EN!$B$84:$K$84</c:f>
              <c:numCache>
                <c:formatCode>#,##0.0</c:formatCode>
                <c:ptCount val="10"/>
                <c:pt idx="0">
                  <c:v>200.4</c:v>
                </c:pt>
                <c:pt idx="1">
                  <c:v>960.5</c:v>
                </c:pt>
                <c:pt idx="2">
                  <c:v>4338</c:v>
                </c:pt>
                <c:pt idx="3">
                  <c:v>8581.4</c:v>
                </c:pt>
                <c:pt idx="4">
                  <c:v>10584</c:v>
                </c:pt>
                <c:pt idx="5">
                  <c:v>12326</c:v>
                </c:pt>
                <c:pt idx="6">
                  <c:v>12992.87956041978</c:v>
                </c:pt>
                <c:pt idx="7">
                  <c:v>13506</c:v>
                </c:pt>
                <c:pt idx="8">
                  <c:v>13518.262000000001</c:v>
                </c:pt>
                <c:pt idx="9">
                  <c:v>14299.317999999999</c:v>
                </c:pt>
              </c:numCache>
            </c:numRef>
          </c:val>
          <c:extLst>
            <c:ext xmlns:c16="http://schemas.microsoft.com/office/drawing/2014/chart" uri="{C3380CC4-5D6E-409C-BE32-E72D297353CC}">
              <c16:uniqueId val="{00000002-41B8-47EF-8D79-06765CEB1285}"/>
            </c:ext>
          </c:extLst>
        </c:ser>
        <c:dLbls>
          <c:showLegendKey val="0"/>
          <c:showVal val="0"/>
          <c:showCatName val="0"/>
          <c:showSerName val="0"/>
          <c:showPercent val="0"/>
          <c:showBubbleSize val="0"/>
        </c:dLbls>
        <c:gapWidth val="40"/>
        <c:axId val="151490560"/>
        <c:axId val="145190272"/>
      </c:barChart>
      <c:lineChart>
        <c:grouping val="standard"/>
        <c:varyColors val="0"/>
        <c:ser>
          <c:idx val="0"/>
          <c:order val="1"/>
          <c:tx>
            <c:strRef>
              <c:f>A_EN!$A$85</c:f>
              <c:strCache>
                <c:ptCount val="1"/>
                <c:pt idx="0">
                  <c:v> per 100 inhabitants</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A_EN!$B$83:$K$83</c:f>
              <c:numCache>
                <c:formatCode>General</c:formatCode>
                <c:ptCount val="10"/>
                <c:pt idx="0">
                  <c:v>1996</c:v>
                </c:pt>
                <c:pt idx="1">
                  <c:v>1998</c:v>
                </c:pt>
                <c:pt idx="2">
                  <c:v>2000</c:v>
                </c:pt>
                <c:pt idx="3">
                  <c:v>2002</c:v>
                </c:pt>
                <c:pt idx="4">
                  <c:v>2004</c:v>
                </c:pt>
                <c:pt idx="5">
                  <c:v>2006</c:v>
                </c:pt>
                <c:pt idx="6">
                  <c:v>2010</c:v>
                </c:pt>
                <c:pt idx="7">
                  <c:v>2012</c:v>
                </c:pt>
                <c:pt idx="8">
                  <c:v>2014</c:v>
                </c:pt>
                <c:pt idx="9">
                  <c:v>2016</c:v>
                </c:pt>
              </c:numCache>
            </c:numRef>
          </c:cat>
          <c:val>
            <c:numRef>
              <c:f>A_EN!$B$85:$K$85</c:f>
              <c:numCache>
                <c:formatCode>#,##0.0</c:formatCode>
                <c:ptCount val="10"/>
                <c:pt idx="0">
                  <c:v>1.943906652904108</c:v>
                </c:pt>
                <c:pt idx="1">
                  <c:v>9.3346489632611327</c:v>
                </c:pt>
                <c:pt idx="2">
                  <c:v>42.253743371918851</c:v>
                </c:pt>
                <c:pt idx="3">
                  <c:v>84.104417907633305</c:v>
                </c:pt>
                <c:pt idx="4">
                  <c:v>103.5557972901138</c:v>
                </c:pt>
                <c:pt idx="5">
                  <c:v>119.8189320717253</c:v>
                </c:pt>
                <c:pt idx="6">
                  <c:v>123.35671965133371</c:v>
                </c:pt>
                <c:pt idx="7">
                  <c:v>128.43133758870309</c:v>
                </c:pt>
                <c:pt idx="8">
                  <c:v>128.27774944191529</c:v>
                </c:pt>
                <c:pt idx="9">
                  <c:v>135.1693099986577</c:v>
                </c:pt>
              </c:numCache>
            </c:numRef>
          </c:val>
          <c:smooth val="0"/>
          <c:extLst>
            <c:ext xmlns:c16="http://schemas.microsoft.com/office/drawing/2014/chart" uri="{C3380CC4-5D6E-409C-BE32-E72D297353CC}">
              <c16:uniqueId val="{00000003-41B8-47EF-8D79-06765CEB1285}"/>
            </c:ext>
          </c:extLst>
        </c:ser>
        <c:dLbls>
          <c:showLegendKey val="0"/>
          <c:showVal val="0"/>
          <c:showCatName val="0"/>
          <c:showSerName val="0"/>
          <c:showPercent val="0"/>
          <c:showBubbleSize val="0"/>
        </c:dLbls>
        <c:marker val="1"/>
        <c:smooth val="0"/>
        <c:axId val="151494144"/>
        <c:axId val="145190848"/>
      </c:lineChart>
      <c:catAx>
        <c:axId val="151490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45190272"/>
        <c:crosses val="autoZero"/>
        <c:auto val="1"/>
        <c:lblAlgn val="ctr"/>
        <c:lblOffset val="140"/>
        <c:tickLblSkip val="1"/>
        <c:tickMarkSkip val="1"/>
        <c:noMultiLvlLbl val="0"/>
      </c:catAx>
      <c:valAx>
        <c:axId val="145190272"/>
        <c:scaling>
          <c:orientation val="minMax"/>
          <c:max val="18000"/>
          <c:min val="0"/>
        </c:scaling>
        <c:delete val="0"/>
        <c:axPos val="l"/>
        <c:numFmt formatCode="#,##0.0" sourceLinked="1"/>
        <c:majorTickMark val="none"/>
        <c:minorTickMark val="none"/>
        <c:tickLblPos val="none"/>
        <c:spPr>
          <a:ln w="9525">
            <a:noFill/>
          </a:ln>
        </c:spPr>
        <c:crossAx val="151490560"/>
        <c:crosses val="autoZero"/>
        <c:crossBetween val="between"/>
        <c:majorUnit val="1"/>
        <c:minorUnit val="0.1"/>
      </c:valAx>
      <c:catAx>
        <c:axId val="151494144"/>
        <c:scaling>
          <c:orientation val="minMax"/>
        </c:scaling>
        <c:delete val="1"/>
        <c:axPos val="b"/>
        <c:numFmt formatCode="General" sourceLinked="1"/>
        <c:majorTickMark val="out"/>
        <c:minorTickMark val="none"/>
        <c:tickLblPos val="none"/>
        <c:crossAx val="145190848"/>
        <c:crosses val="autoZero"/>
        <c:auto val="1"/>
        <c:lblAlgn val="ctr"/>
        <c:lblOffset val="100"/>
        <c:noMultiLvlLbl val="0"/>
      </c:catAx>
      <c:valAx>
        <c:axId val="145190848"/>
        <c:scaling>
          <c:orientation val="minMax"/>
          <c:max val="160"/>
          <c:min val="0"/>
        </c:scaling>
        <c:delete val="0"/>
        <c:axPos val="r"/>
        <c:numFmt formatCode="#,##0.0" sourceLinked="1"/>
        <c:majorTickMark val="none"/>
        <c:minorTickMark val="none"/>
        <c:tickLblPos val="none"/>
        <c:crossAx val="151494144"/>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4.0574404761904798E-2"/>
          <c:y val="0.17034444444444399"/>
          <c:w val="0.34676388888888898"/>
          <c:h val="0.197548412698413"/>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C20 Individuals in the Czech Republic using social networks</a:t>
            </a:r>
            <a:r>
              <a:rPr lang="cs-CZ" sz="800" b="1" baseline="0"/>
              <a:t> </a:t>
            </a:r>
            <a:r>
              <a:rPr lang="cs-CZ" sz="800" b="1"/>
              <a:t>(%)*</a:t>
            </a:r>
            <a:endParaRPr lang="en-US" sz="800" b="1"/>
          </a:p>
        </c:rich>
      </c:tx>
      <c:layout>
        <c:manualLayout>
          <c:xMode val="edge"/>
          <c:yMode val="edge"/>
          <c:x val="0.222765325670498"/>
          <c:y val="2.3031028417024899E-2"/>
        </c:manualLayout>
      </c:layout>
      <c:overlay val="1"/>
    </c:title>
    <c:autoTitleDeleted val="0"/>
    <c:plotArea>
      <c:layout>
        <c:manualLayout>
          <c:layoutTarget val="inner"/>
          <c:xMode val="edge"/>
          <c:yMode val="edge"/>
          <c:x val="0.163020833333333"/>
          <c:y val="0.11672027777777801"/>
          <c:w val="0.79678839940588297"/>
          <c:h val="0.70811083333333402"/>
        </c:manualLayout>
      </c:layout>
      <c:barChart>
        <c:barDir val="bar"/>
        <c:grouping val="clustered"/>
        <c:varyColors val="0"/>
        <c:ser>
          <c:idx val="0"/>
          <c:order val="0"/>
          <c:tx>
            <c:strRef>
              <c:f>C_ENG!$B$369</c:f>
              <c:strCache>
                <c:ptCount val="1"/>
                <c:pt idx="0">
                  <c:v> 2012</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C_ENG!$A$370:$A$380</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C_ENG!$B$370:$B$380</c:f>
              <c:numCache>
                <c:formatCode>0%</c:formatCode>
                <c:ptCount val="11"/>
                <c:pt idx="0">
                  <c:v>2.1999999999999999E-2</c:v>
                </c:pt>
                <c:pt idx="1">
                  <c:v>7.9724355629233301E-2</c:v>
                </c:pt>
                <c:pt idx="2">
                  <c:v>0.17290406524513999</c:v>
                </c:pt>
                <c:pt idx="3">
                  <c:v>0.33152432479564298</c:v>
                </c:pt>
                <c:pt idx="4">
                  <c:v>0.594884249051985</c:v>
                </c:pt>
                <c:pt idx="5">
                  <c:v>0.82954606448188295</c:v>
                </c:pt>
                <c:pt idx="7">
                  <c:v>0.29866188589875198</c:v>
                </c:pt>
                <c:pt idx="8">
                  <c:v>0.32141972789287798</c:v>
                </c:pt>
                <c:pt idx="10">
                  <c:v>0.30965717849843899</c:v>
                </c:pt>
              </c:numCache>
            </c:numRef>
          </c:val>
          <c:extLst>
            <c:ext xmlns:c16="http://schemas.microsoft.com/office/drawing/2014/chart" uri="{C3380CC4-5D6E-409C-BE32-E72D297353CC}">
              <c16:uniqueId val="{00000000-DF1D-477A-91AE-D5BDCFB9FEE1}"/>
            </c:ext>
          </c:extLst>
        </c:ser>
        <c:ser>
          <c:idx val="1"/>
          <c:order val="1"/>
          <c:tx>
            <c:strRef>
              <c:f>C_ENG!$C$369</c:f>
              <c:strCache>
                <c:ptCount val="1"/>
                <c:pt idx="0">
                  <c:v> 2017</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1-DF1D-477A-91AE-D5BDCFB9FEE1}"/>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1D-477A-91AE-D5BDCFB9FEE1}"/>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C_ENG!$A$370:$A$380</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C_ENG!$C$370:$C$380</c:f>
              <c:numCache>
                <c:formatCode>0%</c:formatCode>
                <c:ptCount val="11"/>
                <c:pt idx="0">
                  <c:v>5.0604895117368397E-2</c:v>
                </c:pt>
                <c:pt idx="1">
                  <c:v>0.19423792241261201</c:v>
                </c:pt>
                <c:pt idx="2">
                  <c:v>0.38813835841479999</c:v>
                </c:pt>
                <c:pt idx="3">
                  <c:v>0.59001868852515404</c:v>
                </c:pt>
                <c:pt idx="4">
                  <c:v>0.78759613470035805</c:v>
                </c:pt>
                <c:pt idx="5">
                  <c:v>0.93185337808647095</c:v>
                </c:pt>
                <c:pt idx="7">
                  <c:v>0.43928070968736499</c:v>
                </c:pt>
                <c:pt idx="8">
                  <c:v>0.446734616376951</c:v>
                </c:pt>
                <c:pt idx="10">
                  <c:v>0.44221274356645401</c:v>
                </c:pt>
              </c:numCache>
            </c:numRef>
          </c:val>
          <c:extLst>
            <c:ext xmlns:c16="http://schemas.microsoft.com/office/drawing/2014/chart" uri="{C3380CC4-5D6E-409C-BE32-E72D297353CC}">
              <c16:uniqueId val="{00000003-DF1D-477A-91AE-D5BDCFB9FEE1}"/>
            </c:ext>
          </c:extLst>
        </c:ser>
        <c:dLbls>
          <c:showLegendKey val="0"/>
          <c:showVal val="0"/>
          <c:showCatName val="0"/>
          <c:showSerName val="0"/>
          <c:showPercent val="0"/>
          <c:showBubbleSize val="0"/>
        </c:dLbls>
        <c:gapWidth val="30"/>
        <c:axId val="177355264"/>
        <c:axId val="175489600"/>
      </c:barChart>
      <c:catAx>
        <c:axId val="177355264"/>
        <c:scaling>
          <c:orientation val="minMax"/>
        </c:scaling>
        <c:delete val="0"/>
        <c:axPos val="l"/>
        <c:numFmt formatCode="General" sourceLinked="1"/>
        <c:majorTickMark val="out"/>
        <c:minorTickMark val="none"/>
        <c:tickLblPos val="nextTo"/>
        <c:spPr>
          <a:ln w="3175">
            <a:solidFill>
              <a:schemeClr val="tx1"/>
            </a:solidFill>
          </a:ln>
        </c:spPr>
        <c:crossAx val="175489600"/>
        <c:crosses val="autoZero"/>
        <c:auto val="1"/>
        <c:lblAlgn val="ctr"/>
        <c:lblOffset val="100"/>
        <c:noMultiLvlLbl val="0"/>
      </c:catAx>
      <c:valAx>
        <c:axId val="175489600"/>
        <c:scaling>
          <c:orientation val="minMax"/>
          <c:max val="1"/>
        </c:scaling>
        <c:delete val="0"/>
        <c:axPos val="b"/>
        <c:numFmt formatCode="0%" sourceLinked="1"/>
        <c:majorTickMark val="none"/>
        <c:minorTickMark val="none"/>
        <c:tickLblPos val="none"/>
        <c:crossAx val="177355264"/>
        <c:crosses val="autoZero"/>
        <c:crossBetween val="between"/>
        <c:majorUnit val="0.1"/>
        <c:minorUnit val="0.05"/>
      </c:valAx>
      <c:spPr>
        <a:ln w="12700">
          <a:solidFill>
            <a:schemeClr val="bg1">
              <a:lumMod val="65000"/>
            </a:schemeClr>
          </a:solidFill>
        </a:ln>
      </c:spPr>
    </c:plotArea>
    <c:legend>
      <c:legendPos val="r"/>
      <c:layout>
        <c:manualLayout>
          <c:xMode val="edge"/>
          <c:yMode val="edge"/>
          <c:x val="0.690805224867725"/>
          <c:y val="0.14693765432098799"/>
          <c:w val="0.223945767195767"/>
          <c:h val="8.8879938271604994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C2</a:t>
            </a:r>
            <a:r>
              <a:rPr lang="cs-CZ" sz="800"/>
              <a:t>1</a:t>
            </a:r>
            <a:r>
              <a:rPr lang="en-US" sz="800"/>
              <a:t> Individuals in EU countries using social networks by age; 2017</a:t>
            </a:r>
            <a:r>
              <a:rPr lang="cs-CZ" sz="800" baseline="0"/>
              <a:t> (</a:t>
            </a:r>
            <a:r>
              <a:rPr lang="en-US" sz="800"/>
              <a:t>%)</a:t>
            </a:r>
            <a:r>
              <a:rPr lang="cs-CZ" sz="800"/>
              <a:t>*</a:t>
            </a:r>
            <a:endParaRPr lang="en-US" sz="800"/>
          </a:p>
        </c:rich>
      </c:tx>
      <c:layout>
        <c:manualLayout>
          <c:xMode val="edge"/>
          <c:yMode val="edge"/>
          <c:x val="0.1952888171564138"/>
          <c:y val="3.2139629263626547E-2"/>
        </c:manualLayout>
      </c:layout>
      <c:overlay val="0"/>
    </c:title>
    <c:autoTitleDeleted val="0"/>
    <c:plotArea>
      <c:layout>
        <c:manualLayout>
          <c:layoutTarget val="inner"/>
          <c:xMode val="edge"/>
          <c:yMode val="edge"/>
          <c:x val="6.5949831649831703E-2"/>
          <c:y val="0.121882407407407"/>
          <c:w val="0.90411750841750804"/>
          <c:h val="0.58466080246913599"/>
        </c:manualLayout>
      </c:layout>
      <c:barChart>
        <c:barDir val="col"/>
        <c:grouping val="clustered"/>
        <c:varyColors val="0"/>
        <c:ser>
          <c:idx val="0"/>
          <c:order val="0"/>
          <c:tx>
            <c:strRef>
              <c:f>C_ENG!$B$402</c:f>
              <c:strCache>
                <c:ptCount val="1"/>
                <c:pt idx="0">
                  <c:v> 16-29 years</c:v>
                </c:pt>
              </c:strCache>
            </c:strRef>
          </c:tx>
          <c:spPr>
            <a:solidFill>
              <a:srgbClr val="47E5FF"/>
            </a:solidFill>
            <a:ln>
              <a:noFill/>
            </a:ln>
          </c:spPr>
          <c:invertIfNegative val="0"/>
          <c:dPt>
            <c:idx val="8"/>
            <c:invertIfNegative val="0"/>
            <c:bubble3D val="0"/>
            <c:spPr>
              <a:solidFill>
                <a:srgbClr val="47E5FF"/>
              </a:solidFill>
              <a:ln w="19050">
                <a:noFill/>
              </a:ln>
            </c:spPr>
            <c:extLst>
              <c:ext xmlns:c16="http://schemas.microsoft.com/office/drawing/2014/chart" uri="{C3380CC4-5D6E-409C-BE32-E72D297353CC}">
                <c16:uniqueId val="{00000001-8E0F-4469-B630-935F8DC7C620}"/>
              </c:ext>
            </c:extLst>
          </c:dPt>
          <c:dPt>
            <c:idx val="13"/>
            <c:invertIfNegative val="0"/>
            <c:bubble3D val="0"/>
            <c:spPr>
              <a:solidFill>
                <a:srgbClr val="47E5FF"/>
              </a:solidFill>
              <a:ln w="19050">
                <a:noFill/>
              </a:ln>
            </c:spPr>
            <c:extLst>
              <c:ext xmlns:c16="http://schemas.microsoft.com/office/drawing/2014/chart" uri="{C3380CC4-5D6E-409C-BE32-E72D297353CC}">
                <c16:uniqueId val="{00000003-8E0F-4469-B630-935F8DC7C620}"/>
              </c:ext>
            </c:extLst>
          </c:dPt>
          <c:dPt>
            <c:idx val="15"/>
            <c:invertIfNegative val="0"/>
            <c:bubble3D val="0"/>
            <c:spPr>
              <a:solidFill>
                <a:srgbClr val="47E5FF"/>
              </a:solidFill>
              <a:ln>
                <a:solidFill>
                  <a:srgbClr val="FF0000"/>
                </a:solidFill>
              </a:ln>
            </c:spPr>
            <c:extLst>
              <c:ext xmlns:c16="http://schemas.microsoft.com/office/drawing/2014/chart" uri="{C3380CC4-5D6E-409C-BE32-E72D297353CC}">
                <c16:uniqueId val="{00000005-8E0F-4469-B630-935F8DC7C620}"/>
              </c:ext>
            </c:extLst>
          </c:dPt>
          <c:dPt>
            <c:idx val="28"/>
            <c:invertIfNegative val="0"/>
            <c:bubble3D val="0"/>
            <c:spPr>
              <a:solidFill>
                <a:srgbClr val="47E5FF"/>
              </a:solidFill>
              <a:ln>
                <a:solidFill>
                  <a:srgbClr val="FF0000"/>
                </a:solidFill>
              </a:ln>
            </c:spPr>
            <c:extLst>
              <c:ext xmlns:c16="http://schemas.microsoft.com/office/drawing/2014/chart" uri="{C3380CC4-5D6E-409C-BE32-E72D297353CC}">
                <c16:uniqueId val="{00000007-8E0F-4469-B630-935F8DC7C620}"/>
              </c:ext>
            </c:extLst>
          </c:dPt>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C_ENG!$A$403:$A$431</c:f>
              <c:strCache>
                <c:ptCount val="29"/>
                <c:pt idx="0">
                  <c:v>Denmark</c:v>
                </c:pt>
                <c:pt idx="1">
                  <c:v>Belgium</c:v>
                </c:pt>
                <c:pt idx="2">
                  <c:v>Sweden</c:v>
                </c:pt>
                <c:pt idx="3">
                  <c:v>Netherlands</c:v>
                </c:pt>
                <c:pt idx="4">
                  <c:v>United Kingdom</c:v>
                </c:pt>
                <c:pt idx="5">
                  <c:v>Luxembourg </c:v>
                </c:pt>
                <c:pt idx="6">
                  <c:v>Malta</c:v>
                </c:pt>
                <c:pt idx="7">
                  <c:v>Finland</c:v>
                </c:pt>
                <c:pt idx="8">
                  <c:v>Hungary</c:v>
                </c:pt>
                <c:pt idx="9">
                  <c:v>Ireland</c:v>
                </c:pt>
                <c:pt idx="10">
                  <c:v>Cyprus</c:v>
                </c:pt>
                <c:pt idx="11">
                  <c:v>Latvia</c:v>
                </c:pt>
                <c:pt idx="12">
                  <c:v>Estonia</c:v>
                </c:pt>
                <c:pt idx="13">
                  <c:v>Spain</c:v>
                </c:pt>
                <c:pt idx="14">
                  <c:v>Portugal</c:v>
                </c:pt>
                <c:pt idx="15">
                  <c:v>EU28</c:v>
                </c:pt>
                <c:pt idx="16">
                  <c:v>Germany</c:v>
                </c:pt>
                <c:pt idx="17">
                  <c:v>Slovakia</c:v>
                </c:pt>
                <c:pt idx="18">
                  <c:v>Romania</c:v>
                </c:pt>
                <c:pt idx="19">
                  <c:v>Lithuania</c:v>
                </c:pt>
                <c:pt idx="20">
                  <c:v>Italy</c:v>
                </c:pt>
                <c:pt idx="21">
                  <c:v>France</c:v>
                </c:pt>
                <c:pt idx="22">
                  <c:v>Croatia</c:v>
                </c:pt>
                <c:pt idx="23">
                  <c:v>Austria</c:v>
                </c:pt>
                <c:pt idx="24">
                  <c:v>Bulgaria</c:v>
                </c:pt>
                <c:pt idx="25">
                  <c:v>Slovenia</c:v>
                </c:pt>
                <c:pt idx="26">
                  <c:v>Greece</c:v>
                </c:pt>
                <c:pt idx="27">
                  <c:v>Poland</c:v>
                </c:pt>
                <c:pt idx="28">
                  <c:v>Czech Republic</c:v>
                </c:pt>
              </c:strCache>
            </c:strRef>
          </c:cat>
          <c:val>
            <c:numRef>
              <c:f>C_ENG!$B$403:$B$431</c:f>
              <c:numCache>
                <c:formatCode>0%</c:formatCode>
                <c:ptCount val="29"/>
                <c:pt idx="0">
                  <c:v>0.95775699999999997</c:v>
                </c:pt>
                <c:pt idx="1">
                  <c:v>0.93384699999999998</c:v>
                </c:pt>
                <c:pt idx="2">
                  <c:v>0.91347100000000003</c:v>
                </c:pt>
                <c:pt idx="3">
                  <c:v>0.89603100000000002</c:v>
                </c:pt>
                <c:pt idx="4">
                  <c:v>0.91658300000000004</c:v>
                </c:pt>
                <c:pt idx="5">
                  <c:v>0.93074400000000002</c:v>
                </c:pt>
                <c:pt idx="6">
                  <c:v>0.97501800000000005</c:v>
                </c:pt>
                <c:pt idx="7">
                  <c:v>0.94840400000000002</c:v>
                </c:pt>
                <c:pt idx="8">
                  <c:v>0.93931699999999996</c:v>
                </c:pt>
                <c:pt idx="9">
                  <c:v>0.86739999999999995</c:v>
                </c:pt>
                <c:pt idx="10">
                  <c:v>0.89398200000000005</c:v>
                </c:pt>
                <c:pt idx="11">
                  <c:v>0.91871499999999995</c:v>
                </c:pt>
                <c:pt idx="12">
                  <c:v>0.94017399999999995</c:v>
                </c:pt>
                <c:pt idx="13">
                  <c:v>0.865595</c:v>
                </c:pt>
                <c:pt idx="14">
                  <c:v>0.93683099999999997</c:v>
                </c:pt>
                <c:pt idx="15">
                  <c:v>0.84964799999999996</c:v>
                </c:pt>
                <c:pt idx="16">
                  <c:v>0.85415300000000005</c:v>
                </c:pt>
                <c:pt idx="17">
                  <c:v>0.91062699999999996</c:v>
                </c:pt>
                <c:pt idx="18">
                  <c:v>0.79811100000000001</c:v>
                </c:pt>
                <c:pt idx="19">
                  <c:v>0.89206600000000003</c:v>
                </c:pt>
                <c:pt idx="20">
                  <c:v>0.73761900000000002</c:v>
                </c:pt>
                <c:pt idx="21">
                  <c:v>0.74353999999999998</c:v>
                </c:pt>
                <c:pt idx="22">
                  <c:v>0.94346600000000003</c:v>
                </c:pt>
                <c:pt idx="23">
                  <c:v>0.86162700000000003</c:v>
                </c:pt>
                <c:pt idx="24">
                  <c:v>0.80889900000000003</c:v>
                </c:pt>
                <c:pt idx="25">
                  <c:v>0.85100799999999999</c:v>
                </c:pt>
                <c:pt idx="26">
                  <c:v>0.905752</c:v>
                </c:pt>
                <c:pt idx="27">
                  <c:v>0.859039</c:v>
                </c:pt>
                <c:pt idx="28">
                  <c:v>0.886876</c:v>
                </c:pt>
              </c:numCache>
            </c:numRef>
          </c:val>
          <c:extLst>
            <c:ext xmlns:c16="http://schemas.microsoft.com/office/drawing/2014/chart" uri="{C3380CC4-5D6E-409C-BE32-E72D297353CC}">
              <c16:uniqueId val="{00000008-8E0F-4469-B630-935F8DC7C620}"/>
            </c:ext>
          </c:extLst>
        </c:ser>
        <c:ser>
          <c:idx val="1"/>
          <c:order val="1"/>
          <c:tx>
            <c:strRef>
              <c:f>C_ENG!$C$402</c:f>
              <c:strCache>
                <c:ptCount val="1"/>
                <c:pt idx="0">
                  <c:v> 55-74 years</c:v>
                </c:pt>
              </c:strCache>
            </c:strRef>
          </c:tx>
          <c:spPr>
            <a:solidFill>
              <a:srgbClr val="009BB4"/>
            </a:solidFill>
            <a:ln>
              <a:noFill/>
            </a:ln>
          </c:spPr>
          <c:invertIfNegative val="0"/>
          <c:dPt>
            <c:idx val="0"/>
            <c:invertIfNegative val="0"/>
            <c:bubble3D val="0"/>
            <c:extLst>
              <c:ext xmlns:c16="http://schemas.microsoft.com/office/drawing/2014/chart" uri="{C3380CC4-5D6E-409C-BE32-E72D297353CC}">
                <c16:uniqueId val="{00000009-8E0F-4469-B630-935F8DC7C620}"/>
              </c:ext>
            </c:extLst>
          </c:dPt>
          <c:dPt>
            <c:idx val="13"/>
            <c:invertIfNegative val="0"/>
            <c:bubble3D val="0"/>
            <c:extLst>
              <c:ext xmlns:c16="http://schemas.microsoft.com/office/drawing/2014/chart" uri="{C3380CC4-5D6E-409C-BE32-E72D297353CC}">
                <c16:uniqueId val="{0000000A-8E0F-4469-B630-935F8DC7C620}"/>
              </c:ext>
            </c:extLst>
          </c:dPt>
          <c:dPt>
            <c:idx val="15"/>
            <c:invertIfNegative val="0"/>
            <c:bubble3D val="0"/>
            <c:spPr>
              <a:solidFill>
                <a:srgbClr val="009BB4"/>
              </a:solidFill>
              <a:ln>
                <a:solidFill>
                  <a:srgbClr val="FF0000"/>
                </a:solidFill>
              </a:ln>
            </c:spPr>
            <c:extLst>
              <c:ext xmlns:c16="http://schemas.microsoft.com/office/drawing/2014/chart" uri="{C3380CC4-5D6E-409C-BE32-E72D297353CC}">
                <c16:uniqueId val="{0000000C-8E0F-4469-B630-935F8DC7C620}"/>
              </c:ext>
            </c:extLst>
          </c:dPt>
          <c:dPt>
            <c:idx val="28"/>
            <c:invertIfNegative val="0"/>
            <c:bubble3D val="0"/>
            <c:spPr>
              <a:solidFill>
                <a:srgbClr val="009BB4"/>
              </a:solidFill>
              <a:ln>
                <a:solidFill>
                  <a:srgbClr val="FF0000"/>
                </a:solidFill>
              </a:ln>
            </c:spPr>
            <c:extLst>
              <c:ext xmlns:c16="http://schemas.microsoft.com/office/drawing/2014/chart" uri="{C3380CC4-5D6E-409C-BE32-E72D297353CC}">
                <c16:uniqueId val="{0000000E-8E0F-4469-B630-935F8DC7C620}"/>
              </c:ext>
            </c:extLst>
          </c:dPt>
          <c:dLbls>
            <c:dLbl>
              <c:idx val="20"/>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5-9F46-4B3A-80FF-938E980E145B}"/>
                </c:ext>
              </c:extLst>
            </c:dLbl>
            <c:dLbl>
              <c:idx val="21"/>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4-9F46-4B3A-80FF-938E980E145B}"/>
                </c:ext>
              </c:extLst>
            </c:dLbl>
            <c:dLbl>
              <c:idx val="22"/>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3-9F46-4B3A-80FF-938E980E145B}"/>
                </c:ext>
              </c:extLst>
            </c:dLbl>
            <c:dLbl>
              <c:idx val="23"/>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2-9F46-4B3A-80FF-938E980E145B}"/>
                </c:ext>
              </c:extLst>
            </c:dLbl>
            <c:dLbl>
              <c:idx val="24"/>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1-9F46-4B3A-80FF-938E980E145B}"/>
                </c:ext>
              </c:extLst>
            </c:dLbl>
            <c:dLbl>
              <c:idx val="25"/>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0-9F46-4B3A-80FF-938E980E145B}"/>
                </c:ext>
              </c:extLst>
            </c:dLbl>
            <c:dLbl>
              <c:idx val="26"/>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F-9F46-4B3A-80FF-938E980E145B}"/>
                </c:ext>
              </c:extLst>
            </c:dLbl>
            <c:dLbl>
              <c:idx val="27"/>
              <c:spPr>
                <a:noFill/>
                <a:ln>
                  <a:noFill/>
                </a:ln>
                <a:effectLst/>
              </c:spPr>
              <c:txPr>
                <a:bodyPr rot="-5400000" vert="horz"/>
                <a:lstStyle/>
                <a:p>
                  <a:pPr>
                    <a:defRPr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E-9F46-4B3A-80FF-938E980E145B}"/>
                </c:ext>
              </c:extLst>
            </c:dLbl>
            <c:dLbl>
              <c:idx val="28"/>
              <c:layout>
                <c:manualLayout>
                  <c:x val="2.0742411747979401E-3"/>
                  <c:y val="9.2946320408834507E-2"/>
                </c:manualLayout>
              </c:layout>
              <c:spPr>
                <a:noFill/>
                <a:ln>
                  <a:noFill/>
                </a:ln>
                <a:effectLst/>
              </c:spPr>
              <c:txPr>
                <a:bodyPr rot="-5400000" vert="horz"/>
                <a:lstStyle/>
                <a:p>
                  <a:pPr>
                    <a:defRPr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0F-4469-B630-935F8DC7C620}"/>
                </c:ext>
              </c:extLst>
            </c:dLbl>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C_ENG!$A$403:$A$431</c:f>
              <c:strCache>
                <c:ptCount val="29"/>
                <c:pt idx="0">
                  <c:v>Denmark</c:v>
                </c:pt>
                <c:pt idx="1">
                  <c:v>Belgium</c:v>
                </c:pt>
                <c:pt idx="2">
                  <c:v>Sweden</c:v>
                </c:pt>
                <c:pt idx="3">
                  <c:v>Netherlands</c:v>
                </c:pt>
                <c:pt idx="4">
                  <c:v>United Kingdom</c:v>
                </c:pt>
                <c:pt idx="5">
                  <c:v>Luxembourg </c:v>
                </c:pt>
                <c:pt idx="6">
                  <c:v>Malta</c:v>
                </c:pt>
                <c:pt idx="7">
                  <c:v>Finland</c:v>
                </c:pt>
                <c:pt idx="8">
                  <c:v>Hungary</c:v>
                </c:pt>
                <c:pt idx="9">
                  <c:v>Ireland</c:v>
                </c:pt>
                <c:pt idx="10">
                  <c:v>Cyprus</c:v>
                </c:pt>
                <c:pt idx="11">
                  <c:v>Latvia</c:v>
                </c:pt>
                <c:pt idx="12">
                  <c:v>Estonia</c:v>
                </c:pt>
                <c:pt idx="13">
                  <c:v>Spain</c:v>
                </c:pt>
                <c:pt idx="14">
                  <c:v>Portugal</c:v>
                </c:pt>
                <c:pt idx="15">
                  <c:v>EU28</c:v>
                </c:pt>
                <c:pt idx="16">
                  <c:v>Germany</c:v>
                </c:pt>
                <c:pt idx="17">
                  <c:v>Slovakia</c:v>
                </c:pt>
                <c:pt idx="18">
                  <c:v>Romania</c:v>
                </c:pt>
                <c:pt idx="19">
                  <c:v>Lithuania</c:v>
                </c:pt>
                <c:pt idx="20">
                  <c:v>Italy</c:v>
                </c:pt>
                <c:pt idx="21">
                  <c:v>France</c:v>
                </c:pt>
                <c:pt idx="22">
                  <c:v>Croatia</c:v>
                </c:pt>
                <c:pt idx="23">
                  <c:v>Austria</c:v>
                </c:pt>
                <c:pt idx="24">
                  <c:v>Bulgaria</c:v>
                </c:pt>
                <c:pt idx="25">
                  <c:v>Slovenia</c:v>
                </c:pt>
                <c:pt idx="26">
                  <c:v>Greece</c:v>
                </c:pt>
                <c:pt idx="27">
                  <c:v>Poland</c:v>
                </c:pt>
                <c:pt idx="28">
                  <c:v>Czech Republic</c:v>
                </c:pt>
              </c:strCache>
            </c:strRef>
          </c:cat>
          <c:val>
            <c:numRef>
              <c:f>C_ENG!$C$403:$C$431</c:f>
              <c:numCache>
                <c:formatCode>0%</c:formatCode>
                <c:ptCount val="29"/>
                <c:pt idx="0">
                  <c:v>0.49472100000000002</c:v>
                </c:pt>
                <c:pt idx="1">
                  <c:v>0.47195399999999998</c:v>
                </c:pt>
                <c:pt idx="2">
                  <c:v>0.443853</c:v>
                </c:pt>
                <c:pt idx="3">
                  <c:v>0.44094899999999998</c:v>
                </c:pt>
                <c:pt idx="4">
                  <c:v>0.44065399999999999</c:v>
                </c:pt>
                <c:pt idx="5">
                  <c:v>0.40326400000000001</c:v>
                </c:pt>
                <c:pt idx="6">
                  <c:v>0.36666900000000002</c:v>
                </c:pt>
                <c:pt idx="7">
                  <c:v>0.35423700000000002</c:v>
                </c:pt>
                <c:pt idx="8">
                  <c:v>0.31651000000000001</c:v>
                </c:pt>
                <c:pt idx="9">
                  <c:v>0.30319099999999999</c:v>
                </c:pt>
                <c:pt idx="10">
                  <c:v>0.28759299999999999</c:v>
                </c:pt>
                <c:pt idx="11">
                  <c:v>0.27516699999999999</c:v>
                </c:pt>
                <c:pt idx="12">
                  <c:v>0.26566200000000001</c:v>
                </c:pt>
                <c:pt idx="13">
                  <c:v>0.26519799999999999</c:v>
                </c:pt>
                <c:pt idx="14">
                  <c:v>0.26222000000000001</c:v>
                </c:pt>
                <c:pt idx="15">
                  <c:v>0.25316100000000002</c:v>
                </c:pt>
                <c:pt idx="16">
                  <c:v>0.21888199999999999</c:v>
                </c:pt>
                <c:pt idx="17">
                  <c:v>0.207787</c:v>
                </c:pt>
                <c:pt idx="18">
                  <c:v>0.20310600000000001</c:v>
                </c:pt>
                <c:pt idx="19">
                  <c:v>0.19541</c:v>
                </c:pt>
                <c:pt idx="20">
                  <c:v>0.175873</c:v>
                </c:pt>
                <c:pt idx="21">
                  <c:v>0.17236699999999999</c:v>
                </c:pt>
                <c:pt idx="22">
                  <c:v>0.17178599999999999</c:v>
                </c:pt>
                <c:pt idx="23">
                  <c:v>0.17108100000000001</c:v>
                </c:pt>
                <c:pt idx="24">
                  <c:v>0.167853</c:v>
                </c:pt>
                <c:pt idx="25">
                  <c:v>0.16234799999999999</c:v>
                </c:pt>
                <c:pt idx="26">
                  <c:v>0.15611700000000001</c:v>
                </c:pt>
                <c:pt idx="27">
                  <c:v>0.14641499999999999</c:v>
                </c:pt>
                <c:pt idx="28">
                  <c:v>0.13653399999999999</c:v>
                </c:pt>
              </c:numCache>
            </c:numRef>
          </c:val>
          <c:extLst>
            <c:ext xmlns:c16="http://schemas.microsoft.com/office/drawing/2014/chart" uri="{C3380CC4-5D6E-409C-BE32-E72D297353CC}">
              <c16:uniqueId val="{0000000F-8E0F-4469-B630-935F8DC7C620}"/>
            </c:ext>
          </c:extLst>
        </c:ser>
        <c:dLbls>
          <c:showLegendKey val="0"/>
          <c:showVal val="0"/>
          <c:showCatName val="0"/>
          <c:showSerName val="0"/>
          <c:showPercent val="0"/>
          <c:showBubbleSize val="0"/>
        </c:dLbls>
        <c:gapWidth val="40"/>
        <c:overlap val="40"/>
        <c:axId val="177355776"/>
        <c:axId val="175491328"/>
      </c:barChart>
      <c:catAx>
        <c:axId val="177355776"/>
        <c:scaling>
          <c:orientation val="minMax"/>
        </c:scaling>
        <c:delete val="0"/>
        <c:axPos val="b"/>
        <c:numFmt formatCode="General" sourceLinked="0"/>
        <c:majorTickMark val="out"/>
        <c:minorTickMark val="none"/>
        <c:tickLblPos val="nextTo"/>
        <c:spPr>
          <a:ln w="3175">
            <a:solidFill>
              <a:schemeClr val="tx1"/>
            </a:solidFill>
          </a:ln>
        </c:spPr>
        <c:crossAx val="175491328"/>
        <c:crosses val="autoZero"/>
        <c:auto val="1"/>
        <c:lblAlgn val="ctr"/>
        <c:lblOffset val="100"/>
        <c:noMultiLvlLbl val="0"/>
      </c:catAx>
      <c:valAx>
        <c:axId val="175491328"/>
        <c:scaling>
          <c:orientation val="minMax"/>
          <c:max val="1.1000000000000001"/>
          <c:min val="0"/>
        </c:scaling>
        <c:delete val="1"/>
        <c:axPos val="l"/>
        <c:numFmt formatCode="0%" sourceLinked="1"/>
        <c:majorTickMark val="out"/>
        <c:minorTickMark val="none"/>
        <c:tickLblPos val="nextTo"/>
        <c:crossAx val="177355776"/>
        <c:crosses val="autoZero"/>
        <c:crossBetween val="between"/>
        <c:majorUnit val="0.1"/>
        <c:minorUnit val="0.05"/>
      </c:valAx>
      <c:spPr>
        <a:ln>
          <a:solidFill>
            <a:schemeClr val="tx1">
              <a:tint val="75000"/>
              <a:shade val="95000"/>
              <a:satMod val="105000"/>
            </a:schemeClr>
          </a:solidFill>
        </a:ln>
      </c:spPr>
    </c:plotArea>
    <c:legend>
      <c:legendPos val="r"/>
      <c:layout>
        <c:manualLayout>
          <c:xMode val="edge"/>
          <c:yMode val="edge"/>
          <c:x val="0.66161045751633996"/>
          <c:y val="0.12367651535721"/>
          <c:w val="0.25489273170997201"/>
          <c:h val="6.18191623520436E-2"/>
        </c:manualLayout>
      </c:layout>
      <c:overlay val="0"/>
      <c:spPr>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C22 Individuals in the Czech Republic reading on-line news; 2017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20921792328042327"/>
          <c:y val="0.11672027777777783"/>
          <c:w val="0.75059126984126967"/>
          <c:h val="0.77867191601049868"/>
        </c:manualLayout>
      </c:layout>
      <c:barChart>
        <c:barDir val="bar"/>
        <c:grouping val="clustered"/>
        <c:varyColors val="0"/>
        <c:ser>
          <c:idx val="0"/>
          <c:order val="0"/>
          <c:tx>
            <c:strRef>
              <c:f>C_ENG!$B$434</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C_ENG!$A$435:$A$445</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C_ENG!$B$435:$B$445</c:f>
              <c:numCache>
                <c:formatCode>0%</c:formatCode>
                <c:ptCount val="11"/>
                <c:pt idx="0">
                  <c:v>0.89536446112106693</c:v>
                </c:pt>
                <c:pt idx="1">
                  <c:v>0.90997247491020627</c:v>
                </c:pt>
                <c:pt idx="2">
                  <c:v>0.92564187778544704</c:v>
                </c:pt>
                <c:pt idx="3">
                  <c:v>0.91580260156967541</c:v>
                </c:pt>
                <c:pt idx="4">
                  <c:v>0.91136489174903557</c:v>
                </c:pt>
                <c:pt idx="5">
                  <c:v>0.87382006407341251</c:v>
                </c:pt>
                <c:pt idx="7">
                  <c:v>0.90225498957314609</c:v>
                </c:pt>
                <c:pt idx="8">
                  <c:v>0.91470385618331074</c:v>
                </c:pt>
                <c:pt idx="10">
                  <c:v>0.90432375808390442</c:v>
                </c:pt>
              </c:numCache>
            </c:numRef>
          </c:val>
          <c:extLst>
            <c:ext xmlns:c16="http://schemas.microsoft.com/office/drawing/2014/chart" uri="{C3380CC4-5D6E-409C-BE32-E72D297353CC}">
              <c16:uniqueId val="{00000000-F0E5-47BD-A2EC-F96767B018FA}"/>
            </c:ext>
          </c:extLst>
        </c:ser>
        <c:ser>
          <c:idx val="1"/>
          <c:order val="1"/>
          <c:tx>
            <c:strRef>
              <c:f>C_ENG!$C$434</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5-47BD-A2EC-F96767B018FA}"/>
                </c:ext>
              </c:extLst>
            </c:dLbl>
            <c:dLbl>
              <c:idx val="1"/>
              <c:layout>
                <c:manualLayout>
                  <c:x val="-9.5025578099680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5-47BD-A2EC-F96767B018FA}"/>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C_ENG!$A$435:$A$445</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C_ENG!$C$435:$C$445</c:f>
              <c:numCache>
                <c:formatCode>0%</c:formatCode>
                <c:ptCount val="11"/>
                <c:pt idx="0">
                  <c:v>0.30121921760924492</c:v>
                </c:pt>
                <c:pt idx="1">
                  <c:v>0.68552134624098127</c:v>
                </c:pt>
                <c:pt idx="2">
                  <c:v>0.84714729639573794</c:v>
                </c:pt>
                <c:pt idx="3">
                  <c:v>0.88723688846812887</c:v>
                </c:pt>
                <c:pt idx="4">
                  <c:v>0.87813215541332368</c:v>
                </c:pt>
                <c:pt idx="5">
                  <c:v>0.86520773370041293</c:v>
                </c:pt>
                <c:pt idx="7">
                  <c:v>0.68513231932881102</c:v>
                </c:pt>
                <c:pt idx="8">
                  <c:v>0.74530283073085668</c:v>
                </c:pt>
                <c:pt idx="10">
                  <c:v>0.71187611567410736</c:v>
                </c:pt>
              </c:numCache>
            </c:numRef>
          </c:val>
          <c:extLst>
            <c:ext xmlns:c16="http://schemas.microsoft.com/office/drawing/2014/chart" uri="{C3380CC4-5D6E-409C-BE32-E72D297353CC}">
              <c16:uniqueId val="{00000003-F0E5-47BD-A2EC-F96767B018FA}"/>
            </c:ext>
          </c:extLst>
        </c:ser>
        <c:dLbls>
          <c:showLegendKey val="0"/>
          <c:showVal val="0"/>
          <c:showCatName val="0"/>
          <c:showSerName val="0"/>
          <c:showPercent val="0"/>
          <c:showBubbleSize val="0"/>
        </c:dLbls>
        <c:gapWidth val="30"/>
        <c:axId val="235130368"/>
        <c:axId val="234894400"/>
      </c:barChart>
      <c:catAx>
        <c:axId val="235130368"/>
        <c:scaling>
          <c:orientation val="minMax"/>
        </c:scaling>
        <c:delete val="0"/>
        <c:axPos val="l"/>
        <c:numFmt formatCode="General" sourceLinked="1"/>
        <c:majorTickMark val="out"/>
        <c:minorTickMark val="none"/>
        <c:tickLblPos val="nextTo"/>
        <c:spPr>
          <a:ln>
            <a:solidFill>
              <a:schemeClr val="tx1"/>
            </a:solidFill>
          </a:ln>
        </c:spPr>
        <c:crossAx val="234894400"/>
        <c:crosses val="autoZero"/>
        <c:auto val="1"/>
        <c:lblAlgn val="ctr"/>
        <c:lblOffset val="100"/>
        <c:noMultiLvlLbl val="0"/>
      </c:catAx>
      <c:valAx>
        <c:axId val="234894400"/>
        <c:scaling>
          <c:orientation val="minMax"/>
          <c:max val="1"/>
        </c:scaling>
        <c:delete val="0"/>
        <c:axPos val="b"/>
        <c:numFmt formatCode="0%" sourceLinked="1"/>
        <c:majorTickMark val="none"/>
        <c:minorTickMark val="none"/>
        <c:tickLblPos val="none"/>
        <c:crossAx val="235130368"/>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23723385624701104"/>
          <c:y val="0.20041535212138886"/>
          <c:w val="0.67751719576719571"/>
          <c:h val="5.6421078678296537E-2"/>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C23 Individuals in the Czech Republic playing on-line games; 2017 (%)</a:t>
            </a:r>
            <a:endParaRPr lang="en-US" sz="800" b="1"/>
          </a:p>
        </c:rich>
      </c:tx>
      <c:layout>
        <c:manualLayout>
          <c:xMode val="edge"/>
          <c:yMode val="edge"/>
          <c:x val="0.22276532567049825"/>
          <c:y val="2.3031028417024861E-2"/>
        </c:manualLayout>
      </c:layout>
      <c:overlay val="1"/>
    </c:title>
    <c:autoTitleDeleted val="0"/>
    <c:plotArea>
      <c:layout>
        <c:manualLayout>
          <c:layoutTarget val="inner"/>
          <c:xMode val="edge"/>
          <c:yMode val="edge"/>
          <c:x val="0.22181712962962963"/>
          <c:y val="0.11672027777777783"/>
          <c:w val="0.73799206349206348"/>
          <c:h val="0.77867191601049868"/>
        </c:manualLayout>
      </c:layout>
      <c:barChart>
        <c:barDir val="bar"/>
        <c:grouping val="clustered"/>
        <c:varyColors val="0"/>
        <c:ser>
          <c:idx val="0"/>
          <c:order val="0"/>
          <c:tx>
            <c:strRef>
              <c:f>C_ENG!$B$448</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C_ENG!$A$449:$A$459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C_ENG!$B$449:$B$459</c:f>
              <c:numCache>
                <c:formatCode>0%</c:formatCode>
                <c:ptCount val="11"/>
                <c:pt idx="0">
                  <c:v>0.1203505058887121</c:v>
                </c:pt>
                <c:pt idx="1">
                  <c:v>0.10739873091198887</c:v>
                </c:pt>
                <c:pt idx="2">
                  <c:v>0.1367668556103252</c:v>
                </c:pt>
                <c:pt idx="3">
                  <c:v>0.20214419685331383</c:v>
                </c:pt>
                <c:pt idx="4">
                  <c:v>0.31365995714759937</c:v>
                </c:pt>
                <c:pt idx="5">
                  <c:v>0.67460098553224257</c:v>
                </c:pt>
                <c:pt idx="7">
                  <c:v>0.14419019712306899</c:v>
                </c:pt>
                <c:pt idx="8">
                  <c:v>0.35523267552335402</c:v>
                </c:pt>
                <c:pt idx="10">
                  <c:v>0.249400244917766</c:v>
                </c:pt>
              </c:numCache>
            </c:numRef>
          </c:val>
          <c:extLst>
            <c:ext xmlns:c16="http://schemas.microsoft.com/office/drawing/2014/chart" uri="{C3380CC4-5D6E-409C-BE32-E72D297353CC}">
              <c16:uniqueId val="{00000000-2805-423E-8F58-A08A513F9C46}"/>
            </c:ext>
          </c:extLst>
        </c:ser>
        <c:ser>
          <c:idx val="1"/>
          <c:order val="1"/>
          <c:tx>
            <c:strRef>
              <c:f>C_ENG!$C$448</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05-423E-8F58-A08A513F9C46}"/>
                </c:ext>
              </c:extLst>
            </c:dLbl>
            <c:dLbl>
              <c:idx val="1"/>
              <c:layout>
                <c:manualLayout>
                  <c:x val="-9.5025578099680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05-423E-8F58-A08A513F9C46}"/>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C_ENG!$A$449:$A$459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C_ENG!$C$449:$C$459</c:f>
              <c:numCache>
                <c:formatCode>0%</c:formatCode>
                <c:ptCount val="11"/>
                <c:pt idx="0">
                  <c:v>4.0350855698291055E-2</c:v>
                </c:pt>
                <c:pt idx="1">
                  <c:v>8.0816060796710609E-2</c:v>
                </c:pt>
                <c:pt idx="2">
                  <c:v>0.12516900406885936</c:v>
                </c:pt>
                <c:pt idx="3">
                  <c:v>0.19584815840088438</c:v>
                </c:pt>
                <c:pt idx="4">
                  <c:v>0.30213445364716074</c:v>
                </c:pt>
                <c:pt idx="5">
                  <c:v>0.66796756559116777</c:v>
                </c:pt>
                <c:pt idx="7">
                  <c:v>0.10938937787220628</c:v>
                </c:pt>
                <c:pt idx="8">
                  <c:v>0.28943205785760029</c:v>
                </c:pt>
                <c:pt idx="10">
                  <c:v>0.196325791524497</c:v>
                </c:pt>
              </c:numCache>
            </c:numRef>
          </c:val>
          <c:extLst>
            <c:ext xmlns:c16="http://schemas.microsoft.com/office/drawing/2014/chart" uri="{C3380CC4-5D6E-409C-BE32-E72D297353CC}">
              <c16:uniqueId val="{00000003-2805-423E-8F58-A08A513F9C46}"/>
            </c:ext>
          </c:extLst>
        </c:ser>
        <c:dLbls>
          <c:showLegendKey val="0"/>
          <c:showVal val="0"/>
          <c:showCatName val="0"/>
          <c:showSerName val="0"/>
          <c:showPercent val="0"/>
          <c:showBubbleSize val="0"/>
        </c:dLbls>
        <c:gapWidth val="30"/>
        <c:axId val="235460096"/>
        <c:axId val="234896704"/>
      </c:barChart>
      <c:catAx>
        <c:axId val="235460096"/>
        <c:scaling>
          <c:orientation val="minMax"/>
        </c:scaling>
        <c:delete val="0"/>
        <c:axPos val="l"/>
        <c:numFmt formatCode="General" sourceLinked="1"/>
        <c:majorTickMark val="out"/>
        <c:minorTickMark val="none"/>
        <c:tickLblPos val="nextTo"/>
        <c:spPr>
          <a:ln>
            <a:solidFill>
              <a:schemeClr val="tx1"/>
            </a:solidFill>
          </a:ln>
        </c:spPr>
        <c:crossAx val="234896704"/>
        <c:crosses val="autoZero"/>
        <c:auto val="1"/>
        <c:lblAlgn val="ctr"/>
        <c:lblOffset val="100"/>
        <c:noMultiLvlLbl val="0"/>
      </c:catAx>
      <c:valAx>
        <c:axId val="234896704"/>
        <c:scaling>
          <c:orientation val="minMax"/>
          <c:max val="1"/>
        </c:scaling>
        <c:delete val="0"/>
        <c:axPos val="b"/>
        <c:numFmt formatCode="0%" sourceLinked="1"/>
        <c:majorTickMark val="none"/>
        <c:minorTickMark val="none"/>
        <c:tickLblPos val="none"/>
        <c:crossAx val="235460096"/>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46821924603174603"/>
          <c:y val="0.75449938271604944"/>
          <c:w val="0.4717301587301585"/>
          <c:h val="0.11239845679012345"/>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625683048882E-2"/>
          <c:y val="0.12188240740740741"/>
          <c:w val="0.92290466614123923"/>
          <c:h val="0.58466080246913621"/>
        </c:manualLayout>
      </c:layout>
      <c:barChart>
        <c:barDir val="col"/>
        <c:grouping val="clustered"/>
        <c:varyColors val="0"/>
        <c:ser>
          <c:idx val="0"/>
          <c:order val="0"/>
          <c:tx>
            <c:strRef>
              <c:f>C_ENG!$B$466</c:f>
              <c:strCache>
                <c:ptCount val="1"/>
                <c:pt idx="0">
                  <c:v> All individuals aged 16–74</c:v>
                </c:pt>
              </c:strCache>
            </c:strRef>
          </c:tx>
          <c:spPr>
            <a:solidFill>
              <a:srgbClr val="009BB4"/>
            </a:solidFill>
            <a:ln>
              <a:noFill/>
            </a:ln>
          </c:spPr>
          <c:invertIfNegative val="0"/>
          <c:dPt>
            <c:idx val="0"/>
            <c:invertIfNegative val="0"/>
            <c:bubble3D val="0"/>
            <c:extLst>
              <c:ext xmlns:c16="http://schemas.microsoft.com/office/drawing/2014/chart" uri="{C3380CC4-5D6E-409C-BE32-E72D297353CC}">
                <c16:uniqueId val="{00000000-DFE8-4443-8414-204369AF2E12}"/>
              </c:ext>
            </c:extLst>
          </c:dPt>
          <c:dPt>
            <c:idx val="8"/>
            <c:invertIfNegative val="0"/>
            <c:bubble3D val="0"/>
            <c:spPr>
              <a:solidFill>
                <a:srgbClr val="009BB4"/>
              </a:solidFill>
              <a:ln w="19050">
                <a:noFill/>
              </a:ln>
            </c:spPr>
            <c:extLst>
              <c:ext xmlns:c16="http://schemas.microsoft.com/office/drawing/2014/chart" uri="{C3380CC4-5D6E-409C-BE32-E72D297353CC}">
                <c16:uniqueId val="{00000002-DFE8-4443-8414-204369AF2E12}"/>
              </c:ext>
            </c:extLst>
          </c:dPt>
          <c:dPt>
            <c:idx val="11"/>
            <c:invertIfNegative val="0"/>
            <c:bubble3D val="0"/>
            <c:spPr>
              <a:solidFill>
                <a:srgbClr val="009BB4"/>
              </a:solidFill>
              <a:ln>
                <a:solidFill>
                  <a:srgbClr val="FF0000"/>
                </a:solidFill>
              </a:ln>
            </c:spPr>
            <c:extLst>
              <c:ext xmlns:c16="http://schemas.microsoft.com/office/drawing/2014/chart" uri="{C3380CC4-5D6E-409C-BE32-E72D297353CC}">
                <c16:uniqueId val="{00000004-DFE8-4443-8414-204369AF2E12}"/>
              </c:ext>
            </c:extLst>
          </c:dPt>
          <c:dPt>
            <c:idx val="13"/>
            <c:invertIfNegative val="0"/>
            <c:bubble3D val="0"/>
            <c:spPr>
              <a:solidFill>
                <a:srgbClr val="009BB4"/>
              </a:solidFill>
              <a:ln w="19050">
                <a:noFill/>
              </a:ln>
            </c:spPr>
            <c:extLst>
              <c:ext xmlns:c16="http://schemas.microsoft.com/office/drawing/2014/chart" uri="{C3380CC4-5D6E-409C-BE32-E72D297353CC}">
                <c16:uniqueId val="{00000006-DFE8-4443-8414-204369AF2E12}"/>
              </c:ext>
            </c:extLst>
          </c:dPt>
          <c:dPt>
            <c:idx val="17"/>
            <c:invertIfNegative val="0"/>
            <c:bubble3D val="0"/>
            <c:extLst>
              <c:ext xmlns:c16="http://schemas.microsoft.com/office/drawing/2014/chart" uri="{C3380CC4-5D6E-409C-BE32-E72D297353CC}">
                <c16:uniqueId val="{00000007-DFE8-4443-8414-204369AF2E12}"/>
              </c:ext>
            </c:extLst>
          </c:dPt>
          <c:dPt>
            <c:idx val="28"/>
            <c:invertIfNegative val="0"/>
            <c:bubble3D val="0"/>
            <c:spPr>
              <a:solidFill>
                <a:srgbClr val="009BB4"/>
              </a:solidFill>
              <a:ln>
                <a:solidFill>
                  <a:srgbClr val="FF0000"/>
                </a:solidFill>
              </a:ln>
            </c:spPr>
            <c:extLst>
              <c:ext xmlns:c16="http://schemas.microsoft.com/office/drawing/2014/chart" uri="{C3380CC4-5D6E-409C-BE32-E72D297353CC}">
                <c16:uniqueId val="{00000009-DFE8-4443-8414-204369AF2E12}"/>
              </c:ext>
            </c:extLst>
          </c:dPt>
          <c:dLbls>
            <c:dLbl>
              <c:idx val="22"/>
              <c:spPr>
                <a:noFill/>
                <a:ln>
                  <a:noFill/>
                </a:ln>
                <a:effectLst/>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A-DFE8-4443-8414-204369AF2E12}"/>
                </c:ext>
              </c:extLst>
            </c:dLbl>
            <c:dLbl>
              <c:idx val="23"/>
              <c:spPr>
                <a:noFill/>
                <a:ln>
                  <a:noFill/>
                </a:ln>
                <a:effectLst/>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B-DFE8-4443-8414-204369AF2E12}"/>
                </c:ext>
              </c:extLst>
            </c:dLbl>
            <c:dLbl>
              <c:idx val="24"/>
              <c:spPr>
                <a:noFill/>
                <a:ln>
                  <a:noFill/>
                </a:ln>
                <a:effectLst/>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C-DFE8-4443-8414-204369AF2E12}"/>
                </c:ext>
              </c:extLst>
            </c:dLbl>
            <c:dLbl>
              <c:idx val="25"/>
              <c:spPr>
                <a:noFill/>
                <a:ln>
                  <a:noFill/>
                </a:ln>
                <a:effectLst/>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D-DFE8-4443-8414-204369AF2E12}"/>
                </c:ext>
              </c:extLst>
            </c:dLbl>
            <c:dLbl>
              <c:idx val="26"/>
              <c:spPr>
                <a:noFill/>
                <a:ln>
                  <a:noFill/>
                </a:ln>
                <a:effectLst/>
              </c:spPr>
              <c:txPr>
                <a:bodyPr rot="-5400000" vert="horz"/>
                <a:lstStyle/>
                <a:p>
                  <a:pPr>
                    <a:defRPr sz="800" b="1">
                      <a:solidFill>
                        <a:sysClr val="windowText" lastClr="000000"/>
                      </a:solidFill>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E-DFE8-4443-8414-204369AF2E12}"/>
                </c:ext>
              </c:extLst>
            </c:dLbl>
            <c:dLbl>
              <c:idx val="27"/>
              <c:layout>
                <c:manualLayout>
                  <c:x val="-4.1749295480638764E-3"/>
                  <c:y val="-9.2590869253003274E-3"/>
                </c:manualLayout>
              </c:layout>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FE8-4443-8414-204369AF2E12}"/>
                </c:ext>
              </c:extLst>
            </c:dLbl>
            <c:dLbl>
              <c:idx val="28"/>
              <c:layout>
                <c:manualLayout>
                  <c:x val="-4.1749295480638764E-3"/>
                  <c:y val="-6.9650801499521508E-3"/>
                </c:manualLayout>
              </c:layout>
              <c:spPr>
                <a:noFill/>
                <a:ln>
                  <a:noFill/>
                </a:ln>
                <a:effectLs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E8-4443-8414-204369AF2E12}"/>
                </c:ext>
              </c:extLst>
            </c:dLbl>
            <c:spPr>
              <a:noFill/>
              <a:ln>
                <a:noFill/>
              </a:ln>
              <a:effectLst/>
            </c:spPr>
            <c:txPr>
              <a:bodyPr rot="-5400000" vert="horz"/>
              <a:lstStyle/>
              <a:p>
                <a:pPr>
                  <a:defRPr sz="800" b="1">
                    <a:solidFill>
                      <a:schemeClr val="bg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C_ENG!$A$467:$A$495</c:f>
              <c:strCache>
                <c:ptCount val="29"/>
                <c:pt idx="0">
                  <c:v>Denmark</c:v>
                </c:pt>
                <c:pt idx="1">
                  <c:v>Sweden</c:v>
                </c:pt>
                <c:pt idx="2">
                  <c:v>Netherlands</c:v>
                </c:pt>
                <c:pt idx="3">
                  <c:v>Finland</c:v>
                </c:pt>
                <c:pt idx="4">
                  <c:v>United Kingdom</c:v>
                </c:pt>
                <c:pt idx="5">
                  <c:v>Luxembourg </c:v>
                </c:pt>
                <c:pt idx="6">
                  <c:v>Spain</c:v>
                </c:pt>
                <c:pt idx="7">
                  <c:v>Estonia</c:v>
                </c:pt>
                <c:pt idx="8">
                  <c:v>Germany</c:v>
                </c:pt>
                <c:pt idx="9">
                  <c:v>Malta</c:v>
                </c:pt>
                <c:pt idx="10">
                  <c:v>Ireland</c:v>
                </c:pt>
                <c:pt idx="11">
                  <c:v>EU28</c:v>
                </c:pt>
                <c:pt idx="12">
                  <c:v>Slovenia</c:v>
                </c:pt>
                <c:pt idx="13">
                  <c:v>Croatia</c:v>
                </c:pt>
                <c:pt idx="14">
                  <c:v>Austria</c:v>
                </c:pt>
                <c:pt idx="15">
                  <c:v>Latvia</c:v>
                </c:pt>
                <c:pt idx="16">
                  <c:v>Belgium</c:v>
                </c:pt>
                <c:pt idx="17">
                  <c:v>France</c:v>
                </c:pt>
                <c:pt idx="18">
                  <c:v>Italy</c:v>
                </c:pt>
                <c:pt idx="19">
                  <c:v>Cyprus</c:v>
                </c:pt>
                <c:pt idx="20">
                  <c:v>Lithuania</c:v>
                </c:pt>
                <c:pt idx="21">
                  <c:v>Greece</c:v>
                </c:pt>
                <c:pt idx="22">
                  <c:v>Hungary</c:v>
                </c:pt>
                <c:pt idx="23">
                  <c:v>Portugal</c:v>
                </c:pt>
                <c:pt idx="24">
                  <c:v>Slovakia</c:v>
                </c:pt>
                <c:pt idx="25">
                  <c:v>Bulgaria</c:v>
                </c:pt>
                <c:pt idx="26">
                  <c:v>Poland</c:v>
                </c:pt>
                <c:pt idx="27">
                  <c:v>Romania</c:v>
                </c:pt>
                <c:pt idx="28">
                  <c:v>Czech Republic</c:v>
                </c:pt>
              </c:strCache>
            </c:strRef>
          </c:cat>
          <c:val>
            <c:numRef>
              <c:f>C_ENG!$B$467:$B$495</c:f>
              <c:numCache>
                <c:formatCode>0%</c:formatCode>
                <c:ptCount val="29"/>
                <c:pt idx="0">
                  <c:v>0.47548800000000002</c:v>
                </c:pt>
                <c:pt idx="1">
                  <c:v>0.45409899999999997</c:v>
                </c:pt>
                <c:pt idx="2">
                  <c:v>0.36115000000000003</c:v>
                </c:pt>
                <c:pt idx="3">
                  <c:v>0.34428199999999998</c:v>
                </c:pt>
                <c:pt idx="4">
                  <c:v>0.32029299999999999</c:v>
                </c:pt>
                <c:pt idx="5">
                  <c:v>0.28289500000000001</c:v>
                </c:pt>
                <c:pt idx="6">
                  <c:v>0.21720200000000001</c:v>
                </c:pt>
                <c:pt idx="7">
                  <c:v>0.211701</c:v>
                </c:pt>
                <c:pt idx="8">
                  <c:v>0.21025099999999999</c:v>
                </c:pt>
                <c:pt idx="9">
                  <c:v>0.200568</c:v>
                </c:pt>
                <c:pt idx="10">
                  <c:v>0.19803100000000001</c:v>
                </c:pt>
                <c:pt idx="11">
                  <c:v>0.169457</c:v>
                </c:pt>
                <c:pt idx="12">
                  <c:v>0.13243099999999999</c:v>
                </c:pt>
                <c:pt idx="13">
                  <c:v>0.12239899999999999</c:v>
                </c:pt>
                <c:pt idx="14">
                  <c:v>0.121471</c:v>
                </c:pt>
                <c:pt idx="15">
                  <c:v>0.116961</c:v>
                </c:pt>
                <c:pt idx="16">
                  <c:v>0.10655199999999999</c:v>
                </c:pt>
                <c:pt idx="17">
                  <c:v>0.103284</c:v>
                </c:pt>
                <c:pt idx="18">
                  <c:v>0.101391</c:v>
                </c:pt>
                <c:pt idx="19">
                  <c:v>8.7458999999999995E-2</c:v>
                </c:pt>
                <c:pt idx="20">
                  <c:v>8.2076999999999997E-2</c:v>
                </c:pt>
                <c:pt idx="21">
                  <c:v>8.1927E-2</c:v>
                </c:pt>
                <c:pt idx="22">
                  <c:v>6.1048999999999999E-2</c:v>
                </c:pt>
                <c:pt idx="23">
                  <c:v>6.0183E-2</c:v>
                </c:pt>
                <c:pt idx="24">
                  <c:v>5.8645999999999997E-2</c:v>
                </c:pt>
                <c:pt idx="25">
                  <c:v>4.8168999999999997E-2</c:v>
                </c:pt>
                <c:pt idx="26">
                  <c:v>4.1119000000000003E-2</c:v>
                </c:pt>
                <c:pt idx="27">
                  <c:v>3.3378999999999999E-2</c:v>
                </c:pt>
                <c:pt idx="28">
                  <c:v>3.1795999999999998E-2</c:v>
                </c:pt>
              </c:numCache>
            </c:numRef>
          </c:val>
          <c:extLst>
            <c:ext xmlns:c16="http://schemas.microsoft.com/office/drawing/2014/chart" uri="{C3380CC4-5D6E-409C-BE32-E72D297353CC}">
              <c16:uniqueId val="{00000010-DFE8-4443-8414-204369AF2E12}"/>
            </c:ext>
          </c:extLst>
        </c:ser>
        <c:ser>
          <c:idx val="1"/>
          <c:order val="1"/>
          <c:tx>
            <c:strRef>
              <c:f>C_ENG!$C$466</c:f>
              <c:strCache>
                <c:ptCount val="1"/>
                <c:pt idx="0">
                  <c:v> Individuals aged 16–29</c:v>
                </c:pt>
              </c:strCache>
            </c:strRef>
          </c:tx>
          <c:spPr>
            <a:solidFill>
              <a:srgbClr val="47E5FF"/>
            </a:solidFill>
            <a:ln>
              <a:noFill/>
            </a:ln>
          </c:spPr>
          <c:invertIfNegative val="0"/>
          <c:dPt>
            <c:idx val="0"/>
            <c:invertIfNegative val="0"/>
            <c:bubble3D val="0"/>
            <c:extLst>
              <c:ext xmlns:c16="http://schemas.microsoft.com/office/drawing/2014/chart" uri="{C3380CC4-5D6E-409C-BE32-E72D297353CC}">
                <c16:uniqueId val="{00000011-DFE8-4443-8414-204369AF2E12}"/>
              </c:ext>
            </c:extLst>
          </c:dPt>
          <c:dPt>
            <c:idx val="11"/>
            <c:invertIfNegative val="0"/>
            <c:bubble3D val="0"/>
            <c:spPr>
              <a:solidFill>
                <a:srgbClr val="47E5FF"/>
              </a:solidFill>
              <a:ln>
                <a:solidFill>
                  <a:srgbClr val="FF0000"/>
                </a:solidFill>
              </a:ln>
            </c:spPr>
            <c:extLst>
              <c:ext xmlns:c16="http://schemas.microsoft.com/office/drawing/2014/chart" uri="{C3380CC4-5D6E-409C-BE32-E72D297353CC}">
                <c16:uniqueId val="{00000013-DFE8-4443-8414-204369AF2E12}"/>
              </c:ext>
            </c:extLst>
          </c:dPt>
          <c:dPt>
            <c:idx val="13"/>
            <c:invertIfNegative val="0"/>
            <c:bubble3D val="0"/>
            <c:extLst>
              <c:ext xmlns:c16="http://schemas.microsoft.com/office/drawing/2014/chart" uri="{C3380CC4-5D6E-409C-BE32-E72D297353CC}">
                <c16:uniqueId val="{00000014-DFE8-4443-8414-204369AF2E12}"/>
              </c:ext>
            </c:extLst>
          </c:dPt>
          <c:dPt>
            <c:idx val="17"/>
            <c:invertIfNegative val="0"/>
            <c:bubble3D val="0"/>
            <c:extLst>
              <c:ext xmlns:c16="http://schemas.microsoft.com/office/drawing/2014/chart" uri="{C3380CC4-5D6E-409C-BE32-E72D297353CC}">
                <c16:uniqueId val="{00000015-DFE8-4443-8414-204369AF2E12}"/>
              </c:ext>
            </c:extLst>
          </c:dPt>
          <c:dPt>
            <c:idx val="28"/>
            <c:invertIfNegative val="0"/>
            <c:bubble3D val="0"/>
            <c:spPr>
              <a:solidFill>
                <a:srgbClr val="47E5FF"/>
              </a:solidFill>
              <a:ln>
                <a:solidFill>
                  <a:srgbClr val="FF0000"/>
                </a:solidFill>
              </a:ln>
            </c:spPr>
            <c:extLst>
              <c:ext xmlns:c16="http://schemas.microsoft.com/office/drawing/2014/chart" uri="{C3380CC4-5D6E-409C-BE32-E72D297353CC}">
                <c16:uniqueId val="{00000017-DFE8-4443-8414-204369AF2E12}"/>
              </c:ext>
            </c:extLst>
          </c:dPt>
          <c:dLbls>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C_ENG!$A$467:$A$495</c:f>
              <c:strCache>
                <c:ptCount val="29"/>
                <c:pt idx="0">
                  <c:v>Denmark</c:v>
                </c:pt>
                <c:pt idx="1">
                  <c:v>Sweden</c:v>
                </c:pt>
                <c:pt idx="2">
                  <c:v>Netherlands</c:v>
                </c:pt>
                <c:pt idx="3">
                  <c:v>Finland</c:v>
                </c:pt>
                <c:pt idx="4">
                  <c:v>United Kingdom</c:v>
                </c:pt>
                <c:pt idx="5">
                  <c:v>Luxembourg </c:v>
                </c:pt>
                <c:pt idx="6">
                  <c:v>Spain</c:v>
                </c:pt>
                <c:pt idx="7">
                  <c:v>Estonia</c:v>
                </c:pt>
                <c:pt idx="8">
                  <c:v>Germany</c:v>
                </c:pt>
                <c:pt idx="9">
                  <c:v>Malta</c:v>
                </c:pt>
                <c:pt idx="10">
                  <c:v>Ireland</c:v>
                </c:pt>
                <c:pt idx="11">
                  <c:v>EU28</c:v>
                </c:pt>
                <c:pt idx="12">
                  <c:v>Slovenia</c:v>
                </c:pt>
                <c:pt idx="13">
                  <c:v>Croatia</c:v>
                </c:pt>
                <c:pt idx="14">
                  <c:v>Austria</c:v>
                </c:pt>
                <c:pt idx="15">
                  <c:v>Latvia</c:v>
                </c:pt>
                <c:pt idx="16">
                  <c:v>Belgium</c:v>
                </c:pt>
                <c:pt idx="17">
                  <c:v>France</c:v>
                </c:pt>
                <c:pt idx="18">
                  <c:v>Italy</c:v>
                </c:pt>
                <c:pt idx="19">
                  <c:v>Cyprus</c:v>
                </c:pt>
                <c:pt idx="20">
                  <c:v>Lithuania</c:v>
                </c:pt>
                <c:pt idx="21">
                  <c:v>Greece</c:v>
                </c:pt>
                <c:pt idx="22">
                  <c:v>Hungary</c:v>
                </c:pt>
                <c:pt idx="23">
                  <c:v>Portugal</c:v>
                </c:pt>
                <c:pt idx="24">
                  <c:v>Slovakia</c:v>
                </c:pt>
                <c:pt idx="25">
                  <c:v>Bulgaria</c:v>
                </c:pt>
                <c:pt idx="26">
                  <c:v>Poland</c:v>
                </c:pt>
                <c:pt idx="27">
                  <c:v>Romania</c:v>
                </c:pt>
                <c:pt idx="28">
                  <c:v>Czech Republic</c:v>
                </c:pt>
              </c:strCache>
            </c:strRef>
          </c:cat>
          <c:val>
            <c:numRef>
              <c:f>C_ENG!$C$467:$C$495</c:f>
              <c:numCache>
                <c:formatCode>0%</c:formatCode>
                <c:ptCount val="29"/>
                <c:pt idx="0">
                  <c:v>0.72498799999999997</c:v>
                </c:pt>
                <c:pt idx="1">
                  <c:v>0.59340300000000001</c:v>
                </c:pt>
                <c:pt idx="2">
                  <c:v>0.60194199999999998</c:v>
                </c:pt>
                <c:pt idx="3">
                  <c:v>0.65639599999999998</c:v>
                </c:pt>
                <c:pt idx="4">
                  <c:v>0.52584500000000001</c:v>
                </c:pt>
                <c:pt idx="5">
                  <c:v>0.37435800000000002</c:v>
                </c:pt>
                <c:pt idx="6">
                  <c:v>0.39543800000000001</c:v>
                </c:pt>
                <c:pt idx="7">
                  <c:v>0.40043899999999999</c:v>
                </c:pt>
                <c:pt idx="8">
                  <c:v>0.40734700000000001</c:v>
                </c:pt>
                <c:pt idx="9">
                  <c:v>0.38484299999999999</c:v>
                </c:pt>
                <c:pt idx="10">
                  <c:v>0.366506</c:v>
                </c:pt>
                <c:pt idx="11">
                  <c:v>0.30843700000000002</c:v>
                </c:pt>
                <c:pt idx="12">
                  <c:v>0.31092500000000001</c:v>
                </c:pt>
                <c:pt idx="13">
                  <c:v>0.19800200000000001</c:v>
                </c:pt>
                <c:pt idx="14">
                  <c:v>0.23258000000000001</c:v>
                </c:pt>
                <c:pt idx="15">
                  <c:v>0.24082200000000001</c:v>
                </c:pt>
                <c:pt idx="16">
                  <c:v>0.223936</c:v>
                </c:pt>
                <c:pt idx="17">
                  <c:v>0.212313</c:v>
                </c:pt>
                <c:pt idx="18">
                  <c:v>0.18743099999999999</c:v>
                </c:pt>
                <c:pt idx="19">
                  <c:v>0.136493</c:v>
                </c:pt>
                <c:pt idx="20">
                  <c:v>0.17920900000000001</c:v>
                </c:pt>
                <c:pt idx="21">
                  <c:v>0.197104</c:v>
                </c:pt>
                <c:pt idx="22">
                  <c:v>0.119156</c:v>
                </c:pt>
                <c:pt idx="23">
                  <c:v>0.17002300000000001</c:v>
                </c:pt>
                <c:pt idx="24">
                  <c:v>0.10279000000000001</c:v>
                </c:pt>
                <c:pt idx="25">
                  <c:v>9.7646999999999998E-2</c:v>
                </c:pt>
                <c:pt idx="26">
                  <c:v>7.8290999999999999E-2</c:v>
                </c:pt>
                <c:pt idx="27">
                  <c:v>6.4852000000000007E-2</c:v>
                </c:pt>
                <c:pt idx="28">
                  <c:v>7.1549000000000001E-2</c:v>
                </c:pt>
              </c:numCache>
            </c:numRef>
          </c:val>
          <c:extLst>
            <c:ext xmlns:c16="http://schemas.microsoft.com/office/drawing/2014/chart" uri="{C3380CC4-5D6E-409C-BE32-E72D297353CC}">
              <c16:uniqueId val="{00000018-DFE8-4443-8414-204369AF2E12}"/>
            </c:ext>
          </c:extLst>
        </c:ser>
        <c:dLbls>
          <c:showLegendKey val="0"/>
          <c:showVal val="0"/>
          <c:showCatName val="0"/>
          <c:showSerName val="0"/>
          <c:showPercent val="0"/>
          <c:showBubbleSize val="0"/>
        </c:dLbls>
        <c:gapWidth val="30"/>
        <c:axId val="199110656"/>
        <c:axId val="235169472"/>
      </c:barChart>
      <c:catAx>
        <c:axId val="199110656"/>
        <c:scaling>
          <c:orientation val="minMax"/>
        </c:scaling>
        <c:delete val="0"/>
        <c:axPos val="b"/>
        <c:numFmt formatCode="General" sourceLinked="0"/>
        <c:majorTickMark val="out"/>
        <c:minorTickMark val="none"/>
        <c:tickLblPos val="nextTo"/>
        <c:spPr>
          <a:ln w="3175">
            <a:solidFill>
              <a:schemeClr val="tx1"/>
            </a:solidFill>
          </a:ln>
        </c:spPr>
        <c:crossAx val="235169472"/>
        <c:crosses val="autoZero"/>
        <c:auto val="1"/>
        <c:lblAlgn val="ctr"/>
        <c:lblOffset val="100"/>
        <c:noMultiLvlLbl val="0"/>
      </c:catAx>
      <c:valAx>
        <c:axId val="235169472"/>
        <c:scaling>
          <c:orientation val="minMax"/>
          <c:max val="0.75000000000000056"/>
          <c:min val="0"/>
        </c:scaling>
        <c:delete val="1"/>
        <c:axPos val="l"/>
        <c:numFmt formatCode="0%" sourceLinked="1"/>
        <c:majorTickMark val="out"/>
        <c:minorTickMark val="none"/>
        <c:tickLblPos val="nextTo"/>
        <c:crossAx val="199110656"/>
        <c:crosses val="autoZero"/>
        <c:crossBetween val="between"/>
        <c:majorUnit val="0.1"/>
        <c:minorUnit val="5.0000000000000024E-2"/>
      </c:valAx>
      <c:spPr>
        <a:ln>
          <a:solidFill>
            <a:schemeClr val="tx1">
              <a:tint val="75000"/>
              <a:shade val="95000"/>
              <a:satMod val="105000"/>
            </a:schemeClr>
          </a:solidFill>
        </a:ln>
      </c:spPr>
    </c:plotArea>
    <c:legend>
      <c:legendPos val="r"/>
      <c:layout>
        <c:manualLayout>
          <c:xMode val="edge"/>
          <c:yMode val="edge"/>
          <c:x val="0.6636856209150328"/>
          <c:y val="0.17310388537229135"/>
          <c:w val="0.24182532679738561"/>
          <c:h val="0.11433151219042567"/>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Figure C25 Individuals in the Czech Republic aged 16+ looking for information about travelling or accommodation</a:t>
            </a:r>
            <a:endParaRPr lang="en-US" sz="800" b="1"/>
          </a:p>
        </c:rich>
      </c:tx>
      <c:layout>
        <c:manualLayout>
          <c:xMode val="edge"/>
          <c:yMode val="edge"/>
          <c:x val="0.13270223577235801"/>
          <c:y val="1.8814814814814802E-2"/>
        </c:manualLayout>
      </c:layout>
      <c:overlay val="1"/>
    </c:title>
    <c:autoTitleDeleted val="0"/>
    <c:plotArea>
      <c:layout>
        <c:manualLayout>
          <c:layoutTarget val="inner"/>
          <c:xMode val="edge"/>
          <c:yMode val="edge"/>
          <c:x val="1.38135167981066E-2"/>
          <c:y val="0.160399382716049"/>
          <c:w val="0.96523326639892904"/>
          <c:h val="0.67266790123456799"/>
        </c:manualLayout>
      </c:layout>
      <c:barChart>
        <c:barDir val="col"/>
        <c:grouping val="clustered"/>
        <c:varyColors val="0"/>
        <c:ser>
          <c:idx val="2"/>
          <c:order val="0"/>
          <c:tx>
            <c:strRef>
              <c:f>C_ENG!$A$500</c:f>
              <c:strCache>
                <c:ptCount val="1"/>
                <c:pt idx="0">
                  <c:v> Millions</c:v>
                </c:pt>
              </c:strCache>
            </c:strRef>
          </c:tx>
          <c:spPr>
            <a:solidFill>
              <a:srgbClr val="009BB4"/>
            </a:solidFill>
            <a:ln w="25400">
              <a:noFill/>
            </a:ln>
          </c:spPr>
          <c:invertIfNegative val="0"/>
          <c:dLbls>
            <c:dLbl>
              <c:idx val="0"/>
              <c:layout>
                <c:manualLayout>
                  <c:x val="0"/>
                  <c:y val="5.8272544283413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1C-4696-9F79-EEA1E1F12FB0}"/>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C_ENG!$B$499:$F$499</c:f>
              <c:numCache>
                <c:formatCode>0</c:formatCode>
                <c:ptCount val="5"/>
                <c:pt idx="0">
                  <c:v>2009</c:v>
                </c:pt>
                <c:pt idx="1">
                  <c:v>2011</c:v>
                </c:pt>
                <c:pt idx="2">
                  <c:v>2013</c:v>
                </c:pt>
                <c:pt idx="3">
                  <c:v>2015</c:v>
                </c:pt>
                <c:pt idx="4">
                  <c:v>2017</c:v>
                </c:pt>
              </c:numCache>
            </c:numRef>
          </c:cat>
          <c:val>
            <c:numRef>
              <c:f>C_ENG!$B$500:$F$500</c:f>
              <c:numCache>
                <c:formatCode>#,##0.0</c:formatCode>
                <c:ptCount val="5"/>
                <c:pt idx="0">
                  <c:v>2.2187923828710039</c:v>
                </c:pt>
                <c:pt idx="1">
                  <c:v>3.0908756729595832</c:v>
                </c:pt>
                <c:pt idx="2">
                  <c:v>3.54735440024265</c:v>
                </c:pt>
                <c:pt idx="3">
                  <c:v>3.909090374975742</c:v>
                </c:pt>
                <c:pt idx="4" formatCode="0.0">
                  <c:v>3.8733422310115402</c:v>
                </c:pt>
              </c:numCache>
            </c:numRef>
          </c:val>
          <c:extLst>
            <c:ext xmlns:c16="http://schemas.microsoft.com/office/drawing/2014/chart" uri="{C3380CC4-5D6E-409C-BE32-E72D297353CC}">
              <c16:uniqueId val="{00000001-A51C-4696-9F79-EEA1E1F12FB0}"/>
            </c:ext>
          </c:extLst>
        </c:ser>
        <c:dLbls>
          <c:showLegendKey val="0"/>
          <c:showVal val="0"/>
          <c:showCatName val="0"/>
          <c:showSerName val="0"/>
          <c:showPercent val="0"/>
          <c:showBubbleSize val="0"/>
        </c:dLbls>
        <c:gapWidth val="50"/>
        <c:axId val="178145792"/>
        <c:axId val="177579712"/>
      </c:barChart>
      <c:lineChart>
        <c:grouping val="standard"/>
        <c:varyColors val="0"/>
        <c:ser>
          <c:idx val="0"/>
          <c:order val="1"/>
          <c:tx>
            <c:strRef>
              <c:f>C_ENG!$A$501</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1C-4696-9F79-EEA1E1F12FB0}"/>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C_ENG!$B$499:$F$499</c:f>
              <c:numCache>
                <c:formatCode>0</c:formatCode>
                <c:ptCount val="5"/>
                <c:pt idx="0">
                  <c:v>2009</c:v>
                </c:pt>
                <c:pt idx="1">
                  <c:v>2011</c:v>
                </c:pt>
                <c:pt idx="2">
                  <c:v>2013</c:v>
                </c:pt>
                <c:pt idx="3">
                  <c:v>2015</c:v>
                </c:pt>
                <c:pt idx="4">
                  <c:v>2017</c:v>
                </c:pt>
              </c:numCache>
            </c:numRef>
          </c:cat>
          <c:val>
            <c:numRef>
              <c:f>C_ENG!$B$501:$F$501</c:f>
              <c:numCache>
                <c:formatCode>0.0%</c:formatCode>
                <c:ptCount val="5"/>
                <c:pt idx="0">
                  <c:v>0.24971940602418</c:v>
                </c:pt>
                <c:pt idx="1">
                  <c:v>0.35002823474143502</c:v>
                </c:pt>
                <c:pt idx="2">
                  <c:v>0.40347901337058301</c:v>
                </c:pt>
                <c:pt idx="3">
                  <c:v>0.44557975778481701</c:v>
                </c:pt>
                <c:pt idx="4">
                  <c:v>0.442429934573221</c:v>
                </c:pt>
              </c:numCache>
            </c:numRef>
          </c:val>
          <c:smooth val="0"/>
          <c:extLst>
            <c:ext xmlns:c16="http://schemas.microsoft.com/office/drawing/2014/chart" uri="{C3380CC4-5D6E-409C-BE32-E72D297353CC}">
              <c16:uniqueId val="{00000003-A51C-4696-9F79-EEA1E1F12FB0}"/>
            </c:ext>
          </c:extLst>
        </c:ser>
        <c:ser>
          <c:idx val="1"/>
          <c:order val="2"/>
          <c:tx>
            <c:strRef>
              <c:f>C_ENG!$A$502</c:f>
              <c:strCache>
                <c:ptCount val="1"/>
                <c:pt idx="0">
                  <c:v>  % of internet users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C_ENG!$B$499:$F$499</c:f>
              <c:numCache>
                <c:formatCode>0</c:formatCode>
                <c:ptCount val="5"/>
                <c:pt idx="0">
                  <c:v>2009</c:v>
                </c:pt>
                <c:pt idx="1">
                  <c:v>2011</c:v>
                </c:pt>
                <c:pt idx="2">
                  <c:v>2013</c:v>
                </c:pt>
                <c:pt idx="3">
                  <c:v>2015</c:v>
                </c:pt>
                <c:pt idx="4">
                  <c:v>2017</c:v>
                </c:pt>
              </c:numCache>
            </c:numRef>
          </c:cat>
          <c:val>
            <c:numRef>
              <c:f>C_ENG!$B$502:$F$502</c:f>
              <c:numCache>
                <c:formatCode>0.0%</c:formatCode>
                <c:ptCount val="5"/>
                <c:pt idx="0">
                  <c:v>0.44639951224612401</c:v>
                </c:pt>
                <c:pt idx="1">
                  <c:v>0.53477124814324895</c:v>
                </c:pt>
                <c:pt idx="2">
                  <c:v>0.58658015736327296</c:v>
                </c:pt>
                <c:pt idx="3">
                  <c:v>0.58885517916596597</c:v>
                </c:pt>
                <c:pt idx="4">
                  <c:v>0.562035854712164</c:v>
                </c:pt>
              </c:numCache>
            </c:numRef>
          </c:val>
          <c:smooth val="0"/>
          <c:extLst>
            <c:ext xmlns:c16="http://schemas.microsoft.com/office/drawing/2014/chart" uri="{C3380CC4-5D6E-409C-BE32-E72D297353CC}">
              <c16:uniqueId val="{00000004-A51C-4696-9F79-EEA1E1F12FB0}"/>
            </c:ext>
          </c:extLst>
        </c:ser>
        <c:dLbls>
          <c:showLegendKey val="0"/>
          <c:showVal val="0"/>
          <c:showCatName val="0"/>
          <c:showSerName val="0"/>
          <c:showPercent val="0"/>
          <c:showBubbleSize val="0"/>
        </c:dLbls>
        <c:marker val="1"/>
        <c:smooth val="0"/>
        <c:axId val="178146304"/>
        <c:axId val="177580288"/>
      </c:lineChart>
      <c:catAx>
        <c:axId val="178145792"/>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7579712"/>
        <c:crosses val="autoZero"/>
        <c:auto val="1"/>
        <c:lblAlgn val="ctr"/>
        <c:lblOffset val="140"/>
        <c:tickLblSkip val="1"/>
        <c:tickMarkSkip val="1"/>
        <c:noMultiLvlLbl val="0"/>
      </c:catAx>
      <c:valAx>
        <c:axId val="177579712"/>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178145792"/>
        <c:crosses val="autoZero"/>
        <c:crossBetween val="between"/>
        <c:majorUnit val="1"/>
        <c:minorUnit val="0.02"/>
      </c:valAx>
      <c:catAx>
        <c:axId val="178146304"/>
        <c:scaling>
          <c:orientation val="minMax"/>
        </c:scaling>
        <c:delete val="1"/>
        <c:axPos val="b"/>
        <c:numFmt formatCode="0" sourceLinked="1"/>
        <c:majorTickMark val="out"/>
        <c:minorTickMark val="none"/>
        <c:tickLblPos val="none"/>
        <c:crossAx val="177580288"/>
        <c:crosses val="autoZero"/>
        <c:auto val="1"/>
        <c:lblAlgn val="ctr"/>
        <c:lblOffset val="100"/>
        <c:noMultiLvlLbl val="0"/>
      </c:catAx>
      <c:valAx>
        <c:axId val="177580288"/>
        <c:scaling>
          <c:orientation val="minMax"/>
          <c:max val="0.9"/>
          <c:min val="0"/>
        </c:scaling>
        <c:delete val="0"/>
        <c:axPos val="r"/>
        <c:numFmt formatCode="0.0%" sourceLinked="1"/>
        <c:majorTickMark val="none"/>
        <c:minorTickMark val="none"/>
        <c:tickLblPos val="none"/>
        <c:spPr>
          <a:ln>
            <a:solidFill>
              <a:schemeClr val="bg1">
                <a:lumMod val="65000"/>
              </a:schemeClr>
            </a:solidFill>
          </a:ln>
        </c:spPr>
        <c:crossAx val="178146304"/>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23159303901E-2"/>
          <c:y val="0.18529135802469099"/>
          <c:w val="0.52594579945799502"/>
          <c:h val="0.13343425925925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C26 Individuals in the Czech Republic purchasing accommodation or travel/flight tickets; 2017 (%)*</a:t>
            </a:r>
            <a:endParaRPr lang="en-US" sz="800" b="1"/>
          </a:p>
        </c:rich>
      </c:tx>
      <c:layout>
        <c:manualLayout>
          <c:xMode val="edge"/>
          <c:yMode val="edge"/>
          <c:x val="0.16943830749354"/>
          <c:y val="1.5191666666666701E-2"/>
        </c:manualLayout>
      </c:layout>
      <c:overlay val="1"/>
    </c:title>
    <c:autoTitleDeleted val="0"/>
    <c:plotArea>
      <c:layout>
        <c:manualLayout>
          <c:layoutTarget val="inner"/>
          <c:xMode val="edge"/>
          <c:yMode val="edge"/>
          <c:x val="0.163020833333333"/>
          <c:y val="0.15983765432098801"/>
          <c:w val="0.79678839940588297"/>
          <c:h val="0.66499351851851995"/>
        </c:manualLayout>
      </c:layout>
      <c:barChart>
        <c:barDir val="bar"/>
        <c:grouping val="clustered"/>
        <c:varyColors val="0"/>
        <c:ser>
          <c:idx val="0"/>
          <c:order val="0"/>
          <c:tx>
            <c:strRef>
              <c:f>C_ENG!$B$505</c:f>
              <c:strCache>
                <c:ptCount val="1"/>
                <c:pt idx="0">
                  <c:v> Travel or flight tickets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C_ENG!$A$506:$A$516</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C_ENG!$B$506:$B$516</c:f>
              <c:numCache>
                <c:formatCode>0%</c:formatCode>
                <c:ptCount val="11"/>
                <c:pt idx="0">
                  <c:v>1.20326646764262E-2</c:v>
                </c:pt>
                <c:pt idx="1">
                  <c:v>5.0203293949050799E-2</c:v>
                </c:pt>
                <c:pt idx="2">
                  <c:v>9.0130848845407494E-2</c:v>
                </c:pt>
                <c:pt idx="3">
                  <c:v>0.129141365870967</c:v>
                </c:pt>
                <c:pt idx="4">
                  <c:v>0.16902401263914199</c:v>
                </c:pt>
                <c:pt idx="5">
                  <c:v>0.16012293311208001</c:v>
                </c:pt>
                <c:pt idx="7">
                  <c:v>8.1353534268163802E-2</c:v>
                </c:pt>
                <c:pt idx="8">
                  <c:v>0.107367308535045</c:v>
                </c:pt>
                <c:pt idx="10">
                  <c:v>9.3844042179179396E-2</c:v>
                </c:pt>
              </c:numCache>
            </c:numRef>
          </c:val>
          <c:extLst>
            <c:ext xmlns:c16="http://schemas.microsoft.com/office/drawing/2014/chart" uri="{C3380CC4-5D6E-409C-BE32-E72D297353CC}">
              <c16:uniqueId val="{00000000-8C4D-46CA-AC9F-53F7CEACE129}"/>
            </c:ext>
          </c:extLst>
        </c:ser>
        <c:ser>
          <c:idx val="1"/>
          <c:order val="1"/>
          <c:tx>
            <c:strRef>
              <c:f>C_ENG!$C$505</c:f>
              <c:strCache>
                <c:ptCount val="1"/>
                <c:pt idx="0">
                  <c:v> Accomodation</c:v>
                </c:pt>
              </c:strCache>
            </c:strRef>
          </c:tx>
          <c:spPr>
            <a:solidFill>
              <a:srgbClr val="009BB4"/>
            </a:solidFill>
          </c:spPr>
          <c:invertIfNegative val="0"/>
          <c:dLbls>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4D-46CA-AC9F-53F7CEACE129}"/>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C_ENG!$A$506:$A$516</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C_ENG!$C$506:$C$516</c:f>
              <c:numCache>
                <c:formatCode>0%</c:formatCode>
                <c:ptCount val="11"/>
                <c:pt idx="0">
                  <c:v>4.3713772307391298E-2</c:v>
                </c:pt>
                <c:pt idx="1">
                  <c:v>0.138111180188737</c:v>
                </c:pt>
                <c:pt idx="2">
                  <c:v>0.23384239514312899</c:v>
                </c:pt>
                <c:pt idx="3">
                  <c:v>0.29314128967310299</c:v>
                </c:pt>
                <c:pt idx="4">
                  <c:v>0.293826892905793</c:v>
                </c:pt>
                <c:pt idx="5">
                  <c:v>0.16857302566459301</c:v>
                </c:pt>
                <c:pt idx="7">
                  <c:v>0.163725362005438</c:v>
                </c:pt>
                <c:pt idx="8">
                  <c:v>0.22017097447404599</c:v>
                </c:pt>
                <c:pt idx="10">
                  <c:v>0.191197662362599</c:v>
                </c:pt>
              </c:numCache>
            </c:numRef>
          </c:val>
          <c:extLst>
            <c:ext xmlns:c16="http://schemas.microsoft.com/office/drawing/2014/chart" uri="{C3380CC4-5D6E-409C-BE32-E72D297353CC}">
              <c16:uniqueId val="{00000002-8C4D-46CA-AC9F-53F7CEACE129}"/>
            </c:ext>
          </c:extLst>
        </c:ser>
        <c:dLbls>
          <c:showLegendKey val="0"/>
          <c:showVal val="0"/>
          <c:showCatName val="0"/>
          <c:showSerName val="0"/>
          <c:showPercent val="0"/>
          <c:showBubbleSize val="0"/>
        </c:dLbls>
        <c:gapWidth val="30"/>
        <c:axId val="178145280"/>
        <c:axId val="177582016"/>
      </c:barChart>
      <c:catAx>
        <c:axId val="178145280"/>
        <c:scaling>
          <c:orientation val="minMax"/>
        </c:scaling>
        <c:delete val="0"/>
        <c:axPos val="l"/>
        <c:numFmt formatCode="General" sourceLinked="1"/>
        <c:majorTickMark val="out"/>
        <c:minorTickMark val="none"/>
        <c:tickLblPos val="nextTo"/>
        <c:spPr>
          <a:ln w="3175">
            <a:solidFill>
              <a:schemeClr val="tx1"/>
            </a:solidFill>
          </a:ln>
        </c:spPr>
        <c:crossAx val="177582016"/>
        <c:crosses val="autoZero"/>
        <c:auto val="1"/>
        <c:lblAlgn val="ctr"/>
        <c:lblOffset val="100"/>
        <c:noMultiLvlLbl val="0"/>
      </c:catAx>
      <c:valAx>
        <c:axId val="177582016"/>
        <c:scaling>
          <c:orientation val="minMax"/>
          <c:max val="0.4"/>
        </c:scaling>
        <c:delete val="0"/>
        <c:axPos val="b"/>
        <c:numFmt formatCode="0%" sourceLinked="1"/>
        <c:majorTickMark val="none"/>
        <c:minorTickMark val="none"/>
        <c:tickLblPos val="none"/>
        <c:crossAx val="178145280"/>
        <c:crosses val="autoZero"/>
        <c:crossBetween val="between"/>
        <c:majorUnit val="0.05"/>
        <c:minorUnit val="5.0000000000000001E-3"/>
      </c:valAx>
      <c:spPr>
        <a:ln w="12700">
          <a:solidFill>
            <a:schemeClr val="bg1">
              <a:lumMod val="65000"/>
            </a:schemeClr>
          </a:solidFill>
        </a:ln>
      </c:spPr>
    </c:plotArea>
    <c:legend>
      <c:legendPos val="r"/>
      <c:layout>
        <c:manualLayout>
          <c:xMode val="edge"/>
          <c:yMode val="edge"/>
          <c:x val="0.46001518087855298"/>
          <c:y val="0.20181419753086399"/>
          <c:w val="0.46753042328042299"/>
          <c:h val="7.3200925925925905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21882407407407"/>
          <c:w val="0.90411750841750804"/>
          <c:h val="0.55168081021674398"/>
        </c:manualLayout>
      </c:layout>
      <c:barChart>
        <c:barDir val="col"/>
        <c:grouping val="clustered"/>
        <c:varyColors val="0"/>
        <c:ser>
          <c:idx val="0"/>
          <c:order val="0"/>
          <c:tx>
            <c:strRef>
              <c:f>C_ENG!$B$529</c:f>
              <c:strCache>
                <c:ptCount val="1"/>
                <c:pt idx="0">
                  <c:v> 2017</c:v>
                </c:pt>
              </c:strCache>
            </c:strRef>
          </c:tx>
          <c:spPr>
            <a:solidFill>
              <a:srgbClr val="009BB4"/>
            </a:solidFill>
            <a:ln>
              <a:noFill/>
            </a:ln>
          </c:spPr>
          <c:invertIfNegative val="0"/>
          <c:dPt>
            <c:idx val="0"/>
            <c:invertIfNegative val="0"/>
            <c:bubble3D val="0"/>
            <c:extLst>
              <c:ext xmlns:c16="http://schemas.microsoft.com/office/drawing/2014/chart" uri="{C3380CC4-5D6E-409C-BE32-E72D297353CC}">
                <c16:uniqueId val="{00000000-BC56-4E02-ADC1-ACD785CAA656}"/>
              </c:ext>
            </c:extLst>
          </c:dPt>
          <c:dPt>
            <c:idx val="8"/>
            <c:invertIfNegative val="0"/>
            <c:bubble3D val="0"/>
            <c:spPr>
              <a:solidFill>
                <a:srgbClr val="009BB4"/>
              </a:solidFill>
              <a:ln w="19050">
                <a:noFill/>
              </a:ln>
            </c:spPr>
            <c:extLst>
              <c:ext xmlns:c16="http://schemas.microsoft.com/office/drawing/2014/chart" uri="{C3380CC4-5D6E-409C-BE32-E72D297353CC}">
                <c16:uniqueId val="{00000002-BC56-4E02-ADC1-ACD785CAA656}"/>
              </c:ext>
            </c:extLst>
          </c:dPt>
          <c:dPt>
            <c:idx val="11"/>
            <c:invertIfNegative val="0"/>
            <c:bubble3D val="0"/>
            <c:extLst>
              <c:ext xmlns:c16="http://schemas.microsoft.com/office/drawing/2014/chart" uri="{C3380CC4-5D6E-409C-BE32-E72D297353CC}">
                <c16:uniqueId val="{00000003-BC56-4E02-ADC1-ACD785CAA656}"/>
              </c:ext>
            </c:extLst>
          </c:dPt>
          <c:dPt>
            <c:idx val="12"/>
            <c:invertIfNegative val="0"/>
            <c:bubble3D val="0"/>
            <c:spPr>
              <a:solidFill>
                <a:srgbClr val="009BB4"/>
              </a:solidFill>
              <a:ln>
                <a:solidFill>
                  <a:srgbClr val="FF0000"/>
                </a:solidFill>
              </a:ln>
            </c:spPr>
            <c:extLst>
              <c:ext xmlns:c16="http://schemas.microsoft.com/office/drawing/2014/chart" uri="{C3380CC4-5D6E-409C-BE32-E72D297353CC}">
                <c16:uniqueId val="{00000005-BC56-4E02-ADC1-ACD785CAA656}"/>
              </c:ext>
            </c:extLst>
          </c:dPt>
          <c:dPt>
            <c:idx val="13"/>
            <c:invertIfNegative val="0"/>
            <c:bubble3D val="0"/>
            <c:spPr>
              <a:solidFill>
                <a:srgbClr val="009BB4"/>
              </a:solidFill>
              <a:ln w="19050">
                <a:noFill/>
              </a:ln>
            </c:spPr>
            <c:extLst>
              <c:ext xmlns:c16="http://schemas.microsoft.com/office/drawing/2014/chart" uri="{C3380CC4-5D6E-409C-BE32-E72D297353CC}">
                <c16:uniqueId val="{00000007-BC56-4E02-ADC1-ACD785CAA656}"/>
              </c:ext>
            </c:extLst>
          </c:dPt>
          <c:dPt>
            <c:idx val="15"/>
            <c:invertIfNegative val="0"/>
            <c:bubble3D val="0"/>
            <c:spPr>
              <a:solidFill>
                <a:srgbClr val="009BB4"/>
              </a:solidFill>
              <a:ln>
                <a:solidFill>
                  <a:srgbClr val="FF0000"/>
                </a:solidFill>
              </a:ln>
            </c:spPr>
            <c:extLst>
              <c:ext xmlns:c16="http://schemas.microsoft.com/office/drawing/2014/chart" uri="{C3380CC4-5D6E-409C-BE32-E72D297353CC}">
                <c16:uniqueId val="{00000009-BC56-4E02-ADC1-ACD785CAA656}"/>
              </c:ext>
            </c:extLst>
          </c:dPt>
          <c:dPt>
            <c:idx val="17"/>
            <c:invertIfNegative val="0"/>
            <c:bubble3D val="0"/>
            <c:extLst>
              <c:ext xmlns:c16="http://schemas.microsoft.com/office/drawing/2014/chart" uri="{C3380CC4-5D6E-409C-BE32-E72D297353CC}">
                <c16:uniqueId val="{0000000A-BC56-4E02-ADC1-ACD785CAA656}"/>
              </c:ext>
            </c:extLst>
          </c:dPt>
          <c:dPt>
            <c:idx val="28"/>
            <c:invertIfNegative val="0"/>
            <c:bubble3D val="0"/>
            <c:extLst>
              <c:ext xmlns:c16="http://schemas.microsoft.com/office/drawing/2014/chart" uri="{C3380CC4-5D6E-409C-BE32-E72D297353CC}">
                <c16:uniqueId val="{0000000B-BC56-4E02-ADC1-ACD785CAA656}"/>
              </c:ext>
            </c:extLst>
          </c:dPt>
          <c:dLbls>
            <c:dLbl>
              <c:idx val="26"/>
              <c:layout>
                <c:manualLayout>
                  <c:x val="-4.2530568846358323E-3"/>
                  <c:y val="-6.4143681847338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77-4BE2-A9BB-387B4782D212}"/>
                </c:ext>
              </c:extLst>
            </c:dLbl>
            <c:dLbl>
              <c:idx val="28"/>
              <c:layout>
                <c:manualLayout>
                  <c:x val="-1.5594361762933581E-16"/>
                  <c:y val="-3.8486209108402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56-4E02-ADC1-ACD785CAA656}"/>
                </c:ext>
              </c:extLst>
            </c:dLbl>
            <c:spPr>
              <a:noFill/>
              <a:ln>
                <a:noFill/>
              </a:ln>
              <a:effectLst/>
            </c:spPr>
            <c:txPr>
              <a:bodyPr rot="-5400000" vert="horz"/>
              <a:lstStyle/>
              <a:p>
                <a:pPr>
                  <a:defRPr sz="800"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C_ENG!$A$530:$A$558</c:f>
              <c:strCache>
                <c:ptCount val="29"/>
                <c:pt idx="0">
                  <c:v>Luxembourg </c:v>
                </c:pt>
                <c:pt idx="1">
                  <c:v>Netherlands</c:v>
                </c:pt>
                <c:pt idx="2">
                  <c:v>United Kingdom</c:v>
                </c:pt>
                <c:pt idx="3">
                  <c:v>Denmark</c:v>
                </c:pt>
                <c:pt idx="4">
                  <c:v>Sweden</c:v>
                </c:pt>
                <c:pt idx="5">
                  <c:v>Finland</c:v>
                </c:pt>
                <c:pt idx="6">
                  <c:v>Germany</c:v>
                </c:pt>
                <c:pt idx="7">
                  <c:v>Ireland</c:v>
                </c:pt>
                <c:pt idx="8">
                  <c:v>Austria</c:v>
                </c:pt>
                <c:pt idx="9">
                  <c:v>Malta</c:v>
                </c:pt>
                <c:pt idx="10">
                  <c:v>Spain</c:v>
                </c:pt>
                <c:pt idx="11">
                  <c:v>France</c:v>
                </c:pt>
                <c:pt idx="12">
                  <c:v>EU28</c:v>
                </c:pt>
                <c:pt idx="13">
                  <c:v>Belgium</c:v>
                </c:pt>
                <c:pt idx="14">
                  <c:v>Estonia</c:v>
                </c:pt>
                <c:pt idx="15">
                  <c:v>Czech Republic</c:v>
                </c:pt>
                <c:pt idx="16">
                  <c:v>Hungary</c:v>
                </c:pt>
                <c:pt idx="17">
                  <c:v>Portugal</c:v>
                </c:pt>
                <c:pt idx="18">
                  <c:v>Slovakia</c:v>
                </c:pt>
                <c:pt idx="19">
                  <c:v>Slovenia</c:v>
                </c:pt>
                <c:pt idx="20">
                  <c:v>Cyprus</c:v>
                </c:pt>
                <c:pt idx="21">
                  <c:v>Italy</c:v>
                </c:pt>
                <c:pt idx="22">
                  <c:v>Lithuania</c:v>
                </c:pt>
                <c:pt idx="23">
                  <c:v>Latvia</c:v>
                </c:pt>
                <c:pt idx="24">
                  <c:v>Greece</c:v>
                </c:pt>
                <c:pt idx="25">
                  <c:v>Poland</c:v>
                </c:pt>
                <c:pt idx="26">
                  <c:v>Bulgaria</c:v>
                </c:pt>
                <c:pt idx="27">
                  <c:v>Croatia</c:v>
                </c:pt>
                <c:pt idx="28">
                  <c:v>Romania</c:v>
                </c:pt>
              </c:strCache>
            </c:strRef>
          </c:cat>
          <c:val>
            <c:numRef>
              <c:f>C_ENG!$B$530:$B$558</c:f>
              <c:numCache>
                <c:formatCode>0%</c:formatCode>
                <c:ptCount val="29"/>
                <c:pt idx="0">
                  <c:v>0.51680800000000005</c:v>
                </c:pt>
                <c:pt idx="1">
                  <c:v>0.49442900000000001</c:v>
                </c:pt>
                <c:pt idx="2">
                  <c:v>0.47498899999999999</c:v>
                </c:pt>
                <c:pt idx="3">
                  <c:v>0.457924</c:v>
                </c:pt>
                <c:pt idx="4">
                  <c:v>0.40381299999999998</c:v>
                </c:pt>
                <c:pt idx="5">
                  <c:v>0.35863800000000001</c:v>
                </c:pt>
                <c:pt idx="6">
                  <c:v>0.32286500000000001</c:v>
                </c:pt>
                <c:pt idx="7">
                  <c:v>0.307056</c:v>
                </c:pt>
                <c:pt idx="8">
                  <c:v>0.29353099999999999</c:v>
                </c:pt>
                <c:pt idx="9">
                  <c:v>0.28314699999999998</c:v>
                </c:pt>
                <c:pt idx="10">
                  <c:v>0.26991799999999999</c:v>
                </c:pt>
                <c:pt idx="11">
                  <c:v>0.25355699999999998</c:v>
                </c:pt>
                <c:pt idx="12">
                  <c:v>0.24893000000000001</c:v>
                </c:pt>
                <c:pt idx="13">
                  <c:v>0.23250599999999999</c:v>
                </c:pt>
                <c:pt idx="14">
                  <c:v>0.22459899999999999</c:v>
                </c:pt>
                <c:pt idx="15">
                  <c:v>0.208819</c:v>
                </c:pt>
                <c:pt idx="16">
                  <c:v>0.149065</c:v>
                </c:pt>
                <c:pt idx="17">
                  <c:v>0.142321</c:v>
                </c:pt>
                <c:pt idx="18">
                  <c:v>0.131552</c:v>
                </c:pt>
                <c:pt idx="19">
                  <c:v>0.113237</c:v>
                </c:pt>
                <c:pt idx="20">
                  <c:v>0.109336</c:v>
                </c:pt>
                <c:pt idx="21">
                  <c:v>9.0378E-2</c:v>
                </c:pt>
                <c:pt idx="22">
                  <c:v>8.8750999999999997E-2</c:v>
                </c:pt>
                <c:pt idx="23">
                  <c:v>8.4665000000000004E-2</c:v>
                </c:pt>
                <c:pt idx="24">
                  <c:v>7.2280999999999998E-2</c:v>
                </c:pt>
                <c:pt idx="25">
                  <c:v>6.5965999999999997E-2</c:v>
                </c:pt>
                <c:pt idx="26">
                  <c:v>3.6250999999999999E-2</c:v>
                </c:pt>
                <c:pt idx="27">
                  <c:v>3.0707000000000002E-2</c:v>
                </c:pt>
                <c:pt idx="28">
                  <c:v>2.3937E-2</c:v>
                </c:pt>
              </c:numCache>
            </c:numRef>
          </c:val>
          <c:extLst>
            <c:ext xmlns:c16="http://schemas.microsoft.com/office/drawing/2014/chart" uri="{C3380CC4-5D6E-409C-BE32-E72D297353CC}">
              <c16:uniqueId val="{0000000C-BC56-4E02-ADC1-ACD785CAA656}"/>
            </c:ext>
          </c:extLst>
        </c:ser>
        <c:dLbls>
          <c:showLegendKey val="0"/>
          <c:showVal val="0"/>
          <c:showCatName val="0"/>
          <c:showSerName val="0"/>
          <c:showPercent val="0"/>
          <c:showBubbleSize val="0"/>
        </c:dLbls>
        <c:gapWidth val="51"/>
        <c:axId val="177470976"/>
        <c:axId val="177583744"/>
      </c:barChart>
      <c:barChart>
        <c:barDir val="col"/>
        <c:grouping val="clustered"/>
        <c:varyColors val="0"/>
        <c:ser>
          <c:idx val="1"/>
          <c:order val="1"/>
          <c:tx>
            <c:strRef>
              <c:f>C_ENG!$C$529</c:f>
              <c:strCache>
                <c:ptCount val="1"/>
                <c:pt idx="0">
                  <c:v> 2012</c:v>
                </c:pt>
              </c:strCache>
            </c:strRef>
          </c:tx>
          <c:spPr>
            <a:solidFill>
              <a:srgbClr val="47E5FF"/>
            </a:solidFill>
            <a:ln>
              <a:noFill/>
            </a:ln>
          </c:spPr>
          <c:invertIfNegative val="0"/>
          <c:dPt>
            <c:idx val="0"/>
            <c:invertIfNegative val="0"/>
            <c:bubble3D val="0"/>
            <c:extLst>
              <c:ext xmlns:c16="http://schemas.microsoft.com/office/drawing/2014/chart" uri="{C3380CC4-5D6E-409C-BE32-E72D297353CC}">
                <c16:uniqueId val="{0000000D-BC56-4E02-ADC1-ACD785CAA656}"/>
              </c:ext>
            </c:extLst>
          </c:dPt>
          <c:dPt>
            <c:idx val="11"/>
            <c:invertIfNegative val="0"/>
            <c:bubble3D val="0"/>
            <c:extLst>
              <c:ext xmlns:c16="http://schemas.microsoft.com/office/drawing/2014/chart" uri="{C3380CC4-5D6E-409C-BE32-E72D297353CC}">
                <c16:uniqueId val="{0000000E-BC56-4E02-ADC1-ACD785CAA656}"/>
              </c:ext>
            </c:extLst>
          </c:dPt>
          <c:dPt>
            <c:idx val="13"/>
            <c:invertIfNegative val="0"/>
            <c:bubble3D val="0"/>
            <c:extLst>
              <c:ext xmlns:c16="http://schemas.microsoft.com/office/drawing/2014/chart" uri="{C3380CC4-5D6E-409C-BE32-E72D297353CC}">
                <c16:uniqueId val="{0000000F-BC56-4E02-ADC1-ACD785CAA656}"/>
              </c:ext>
            </c:extLst>
          </c:dPt>
          <c:dPt>
            <c:idx val="17"/>
            <c:invertIfNegative val="0"/>
            <c:bubble3D val="0"/>
            <c:extLst>
              <c:ext xmlns:c16="http://schemas.microsoft.com/office/drawing/2014/chart" uri="{C3380CC4-5D6E-409C-BE32-E72D297353CC}">
                <c16:uniqueId val="{00000010-BC56-4E02-ADC1-ACD785CAA656}"/>
              </c:ext>
            </c:extLst>
          </c:dPt>
          <c:dPt>
            <c:idx val="28"/>
            <c:invertIfNegative val="0"/>
            <c:bubble3D val="0"/>
            <c:extLst>
              <c:ext xmlns:c16="http://schemas.microsoft.com/office/drawing/2014/chart" uri="{C3380CC4-5D6E-409C-BE32-E72D297353CC}">
                <c16:uniqueId val="{00000011-BC56-4E02-ADC1-ACD785CAA656}"/>
              </c:ext>
            </c:extLst>
          </c:dPt>
          <c:dLbls>
            <c:dLbl>
              <c:idx val="26"/>
              <c:layout>
                <c:manualLayout>
                  <c:x val="0"/>
                  <c:y val="-1.603592046183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C56-4E02-ADC1-ACD785CAA656}"/>
                </c:ext>
              </c:extLst>
            </c:dLbl>
            <c:dLbl>
              <c:idx val="2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C56-4E02-ADC1-ACD785CAA656}"/>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C_ENG!$A$530:$A$558</c:f>
              <c:strCache>
                <c:ptCount val="29"/>
                <c:pt idx="0">
                  <c:v>Luxembourg </c:v>
                </c:pt>
                <c:pt idx="1">
                  <c:v>Netherlands</c:v>
                </c:pt>
                <c:pt idx="2">
                  <c:v>United Kingdom</c:v>
                </c:pt>
                <c:pt idx="3">
                  <c:v>Denmark</c:v>
                </c:pt>
                <c:pt idx="4">
                  <c:v>Sweden</c:v>
                </c:pt>
                <c:pt idx="5">
                  <c:v>Finland</c:v>
                </c:pt>
                <c:pt idx="6">
                  <c:v>Germany</c:v>
                </c:pt>
                <c:pt idx="7">
                  <c:v>Ireland</c:v>
                </c:pt>
                <c:pt idx="8">
                  <c:v>Austria</c:v>
                </c:pt>
                <c:pt idx="9">
                  <c:v>Malta</c:v>
                </c:pt>
                <c:pt idx="10">
                  <c:v>Spain</c:v>
                </c:pt>
                <c:pt idx="11">
                  <c:v>France</c:v>
                </c:pt>
                <c:pt idx="12">
                  <c:v>EU28</c:v>
                </c:pt>
                <c:pt idx="13">
                  <c:v>Belgium</c:v>
                </c:pt>
                <c:pt idx="14">
                  <c:v>Estonia</c:v>
                </c:pt>
                <c:pt idx="15">
                  <c:v>Czech Republic</c:v>
                </c:pt>
                <c:pt idx="16">
                  <c:v>Hungary</c:v>
                </c:pt>
                <c:pt idx="17">
                  <c:v>Portugal</c:v>
                </c:pt>
                <c:pt idx="18">
                  <c:v>Slovakia</c:v>
                </c:pt>
                <c:pt idx="19">
                  <c:v>Slovenia</c:v>
                </c:pt>
                <c:pt idx="20">
                  <c:v>Cyprus</c:v>
                </c:pt>
                <c:pt idx="21">
                  <c:v>Italy</c:v>
                </c:pt>
                <c:pt idx="22">
                  <c:v>Lithuania</c:v>
                </c:pt>
                <c:pt idx="23">
                  <c:v>Latvia</c:v>
                </c:pt>
                <c:pt idx="24">
                  <c:v>Greece</c:v>
                </c:pt>
                <c:pt idx="25">
                  <c:v>Poland</c:v>
                </c:pt>
                <c:pt idx="26">
                  <c:v>Bulgaria</c:v>
                </c:pt>
                <c:pt idx="27">
                  <c:v>Croatia</c:v>
                </c:pt>
                <c:pt idx="28">
                  <c:v>Romania</c:v>
                </c:pt>
              </c:strCache>
            </c:strRef>
          </c:cat>
          <c:val>
            <c:numRef>
              <c:f>C_ENG!$C$530:$C$558</c:f>
              <c:numCache>
                <c:formatCode>0%</c:formatCode>
                <c:ptCount val="29"/>
                <c:pt idx="0">
                  <c:v>0.407362</c:v>
                </c:pt>
                <c:pt idx="1">
                  <c:v>0.339777</c:v>
                </c:pt>
                <c:pt idx="2">
                  <c:v>0.34303800000000001</c:v>
                </c:pt>
                <c:pt idx="3">
                  <c:v>0.41116200000000003</c:v>
                </c:pt>
                <c:pt idx="4">
                  <c:v>0.37624600000000002</c:v>
                </c:pt>
                <c:pt idx="6">
                  <c:v>0.281169</c:v>
                </c:pt>
                <c:pt idx="7">
                  <c:v>0.27837200000000001</c:v>
                </c:pt>
                <c:pt idx="8">
                  <c:v>0.230659</c:v>
                </c:pt>
                <c:pt idx="9">
                  <c:v>0.13728299999999999</c:v>
                </c:pt>
                <c:pt idx="10">
                  <c:v>0.164045</c:v>
                </c:pt>
                <c:pt idx="11">
                  <c:v>0.212753</c:v>
                </c:pt>
                <c:pt idx="12">
                  <c:v>0.184225</c:v>
                </c:pt>
                <c:pt idx="13">
                  <c:v>0.18848899999999999</c:v>
                </c:pt>
                <c:pt idx="14">
                  <c:v>6.4191999999999999E-2</c:v>
                </c:pt>
                <c:pt idx="15">
                  <c:v>3.5284999999999997E-2</c:v>
                </c:pt>
                <c:pt idx="16">
                  <c:v>7.3429999999999995E-2</c:v>
                </c:pt>
                <c:pt idx="17">
                  <c:v>8.3914000000000002E-2</c:v>
                </c:pt>
                <c:pt idx="18">
                  <c:v>9.7062999999999997E-2</c:v>
                </c:pt>
                <c:pt idx="20">
                  <c:v>9.4836000000000004E-2</c:v>
                </c:pt>
                <c:pt idx="21">
                  <c:v>6.0564E-2</c:v>
                </c:pt>
                <c:pt idx="22">
                  <c:v>2.5149000000000001E-2</c:v>
                </c:pt>
                <c:pt idx="23">
                  <c:v>3.6247000000000001E-2</c:v>
                </c:pt>
                <c:pt idx="24">
                  <c:v>5.4313E-2</c:v>
                </c:pt>
                <c:pt idx="25">
                  <c:v>3.6336E-2</c:v>
                </c:pt>
                <c:pt idx="26">
                  <c:v>2.2509000000000001E-2</c:v>
                </c:pt>
                <c:pt idx="28">
                  <c:v>1.2463E-2</c:v>
                </c:pt>
              </c:numCache>
            </c:numRef>
          </c:val>
          <c:extLst>
            <c:ext xmlns:c16="http://schemas.microsoft.com/office/drawing/2014/chart" uri="{C3380CC4-5D6E-409C-BE32-E72D297353CC}">
              <c16:uniqueId val="{00000013-BC56-4E02-ADC1-ACD785CAA656}"/>
            </c:ext>
          </c:extLst>
        </c:ser>
        <c:dLbls>
          <c:showLegendKey val="0"/>
          <c:showVal val="0"/>
          <c:showCatName val="0"/>
          <c:showSerName val="0"/>
          <c:showPercent val="0"/>
          <c:showBubbleSize val="0"/>
        </c:dLbls>
        <c:gapWidth val="199"/>
        <c:axId val="177920512"/>
        <c:axId val="177584320"/>
      </c:barChart>
      <c:catAx>
        <c:axId val="177470976"/>
        <c:scaling>
          <c:orientation val="minMax"/>
        </c:scaling>
        <c:delete val="0"/>
        <c:axPos val="b"/>
        <c:numFmt formatCode="General" sourceLinked="0"/>
        <c:majorTickMark val="out"/>
        <c:minorTickMark val="none"/>
        <c:tickLblPos val="nextTo"/>
        <c:spPr>
          <a:ln w="3175">
            <a:solidFill>
              <a:schemeClr val="tx1"/>
            </a:solidFill>
          </a:ln>
        </c:spPr>
        <c:crossAx val="177583744"/>
        <c:crosses val="autoZero"/>
        <c:auto val="1"/>
        <c:lblAlgn val="ctr"/>
        <c:lblOffset val="100"/>
        <c:noMultiLvlLbl val="0"/>
      </c:catAx>
      <c:valAx>
        <c:axId val="177583744"/>
        <c:scaling>
          <c:orientation val="minMax"/>
          <c:max val="0.6"/>
          <c:min val="0"/>
        </c:scaling>
        <c:delete val="1"/>
        <c:axPos val="l"/>
        <c:numFmt formatCode="0%" sourceLinked="1"/>
        <c:majorTickMark val="out"/>
        <c:minorTickMark val="none"/>
        <c:tickLblPos val="nextTo"/>
        <c:crossAx val="177470976"/>
        <c:crosses val="autoZero"/>
        <c:crossBetween val="between"/>
        <c:majorUnit val="0.1"/>
        <c:minorUnit val="0.1"/>
      </c:valAx>
      <c:valAx>
        <c:axId val="177584320"/>
        <c:scaling>
          <c:orientation val="minMax"/>
          <c:max val="0.6"/>
          <c:min val="0"/>
        </c:scaling>
        <c:delete val="1"/>
        <c:axPos val="r"/>
        <c:numFmt formatCode="0%" sourceLinked="1"/>
        <c:majorTickMark val="out"/>
        <c:minorTickMark val="none"/>
        <c:tickLblPos val="nextTo"/>
        <c:crossAx val="177920512"/>
        <c:crosses val="max"/>
        <c:crossBetween val="between"/>
      </c:valAx>
      <c:catAx>
        <c:axId val="177920512"/>
        <c:scaling>
          <c:orientation val="minMax"/>
        </c:scaling>
        <c:delete val="1"/>
        <c:axPos val="b"/>
        <c:numFmt formatCode="General" sourceLinked="0"/>
        <c:majorTickMark val="out"/>
        <c:minorTickMark val="none"/>
        <c:tickLblPos val="nextTo"/>
        <c:crossAx val="177584320"/>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5875098039215703"/>
          <c:y val="0.16495286689611499"/>
          <c:w val="8.4112908496732003E-2"/>
          <c:h val="0.114331512190426"/>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C29 Individuals in the Czech Republic</a:t>
            </a:r>
            <a:r>
              <a:rPr lang="cs-CZ" sz="800" b="1" baseline="0"/>
              <a:t> </a:t>
            </a:r>
            <a:r>
              <a:rPr lang="cs-CZ" sz="800" b="1"/>
              <a:t>using storage space on the internet, 2017 (%)</a:t>
            </a:r>
            <a:endParaRPr lang="en-US" sz="800" b="1"/>
          </a:p>
        </c:rich>
      </c:tx>
      <c:layout>
        <c:manualLayout>
          <c:xMode val="edge"/>
          <c:yMode val="edge"/>
          <c:x val="0.13457076719576722"/>
          <c:y val="1.9109464258144204E-2"/>
        </c:manualLayout>
      </c:layout>
      <c:overlay val="1"/>
    </c:title>
    <c:autoTitleDeleted val="0"/>
    <c:plotArea>
      <c:layout>
        <c:manualLayout>
          <c:layoutTarget val="inner"/>
          <c:xMode val="edge"/>
          <c:yMode val="edge"/>
          <c:x val="0.20921792328042327"/>
          <c:y val="0.18983862501058335"/>
          <c:w val="0.7337914659029654"/>
          <c:h val="0.69378884091101523"/>
        </c:manualLayout>
      </c:layout>
      <c:barChart>
        <c:barDir val="bar"/>
        <c:grouping val="clustered"/>
        <c:varyColors val="0"/>
        <c:ser>
          <c:idx val="0"/>
          <c:order val="0"/>
          <c:tx>
            <c:strRef>
              <c:f>C_ENG!$B$567</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C_ENG!$A$568:$A$578</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C_ENG!$B$568:$B$578</c:f>
              <c:numCache>
                <c:formatCode>0%</c:formatCode>
                <c:ptCount val="11"/>
                <c:pt idx="0">
                  <c:v>9.7068497025008776E-2</c:v>
                </c:pt>
                <c:pt idx="1">
                  <c:v>0.1578293899367981</c:v>
                </c:pt>
                <c:pt idx="2">
                  <c:v>0.20556148721628109</c:v>
                </c:pt>
                <c:pt idx="3">
                  <c:v>0.27485091590420574</c:v>
                </c:pt>
                <c:pt idx="4">
                  <c:v>0.40854477286598656</c:v>
                </c:pt>
                <c:pt idx="5">
                  <c:v>0.48184277886014903</c:v>
                </c:pt>
                <c:pt idx="7">
                  <c:v>0.24740271550041379</c:v>
                </c:pt>
                <c:pt idx="8">
                  <c:v>0.31178256425962081</c:v>
                </c:pt>
                <c:pt idx="10">
                  <c:v>0.27718818258988298</c:v>
                </c:pt>
              </c:numCache>
            </c:numRef>
          </c:val>
          <c:extLst>
            <c:ext xmlns:c16="http://schemas.microsoft.com/office/drawing/2014/chart" uri="{C3380CC4-5D6E-409C-BE32-E72D297353CC}">
              <c16:uniqueId val="{00000000-44A9-4AAE-AF93-4753AE91EE51}"/>
            </c:ext>
          </c:extLst>
        </c:ser>
        <c:ser>
          <c:idx val="1"/>
          <c:order val="1"/>
          <c:tx>
            <c:strRef>
              <c:f>C_ENG!$C$567</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A9-4AAE-AF93-4753AE91EE51}"/>
                </c:ext>
              </c:extLst>
            </c:dLbl>
            <c:dLbl>
              <c:idx val="1"/>
              <c:layout>
                <c:manualLayout>
                  <c:x val="-9.5025578099680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A9-4AAE-AF93-4753AE91EE51}"/>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C_ENG!$A$568:$A$578</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C_ENG!$C$568:$C$578</c:f>
              <c:numCache>
                <c:formatCode>0%</c:formatCode>
                <c:ptCount val="11"/>
                <c:pt idx="0">
                  <c:v>3.2574019569823122E-2</c:v>
                </c:pt>
                <c:pt idx="1">
                  <c:v>0.11881179156111905</c:v>
                </c:pt>
                <c:pt idx="2">
                  <c:v>0.18812693496256649</c:v>
                </c:pt>
                <c:pt idx="3">
                  <c:v>0.26626210671007872</c:v>
                </c:pt>
                <c:pt idx="4">
                  <c:v>0.39346096160783001</c:v>
                </c:pt>
                <c:pt idx="5">
                  <c:v>0.47704283583117729</c:v>
                </c:pt>
                <c:pt idx="7">
                  <c:v>0.18765665427362294</c:v>
                </c:pt>
                <c:pt idx="8">
                  <c:v>0.2537710749035883</c:v>
                </c:pt>
                <c:pt idx="10">
                  <c:v>0.218200224166336</c:v>
                </c:pt>
              </c:numCache>
            </c:numRef>
          </c:val>
          <c:extLst>
            <c:ext xmlns:c16="http://schemas.microsoft.com/office/drawing/2014/chart" uri="{C3380CC4-5D6E-409C-BE32-E72D297353CC}">
              <c16:uniqueId val="{00000003-44A9-4AAE-AF93-4753AE91EE51}"/>
            </c:ext>
          </c:extLst>
        </c:ser>
        <c:dLbls>
          <c:showLegendKey val="0"/>
          <c:showVal val="0"/>
          <c:showCatName val="0"/>
          <c:showSerName val="0"/>
          <c:showPercent val="0"/>
          <c:showBubbleSize val="0"/>
        </c:dLbls>
        <c:gapWidth val="30"/>
        <c:axId val="239324672"/>
        <c:axId val="238118592"/>
      </c:barChart>
      <c:catAx>
        <c:axId val="239324672"/>
        <c:scaling>
          <c:orientation val="minMax"/>
        </c:scaling>
        <c:delete val="0"/>
        <c:axPos val="l"/>
        <c:numFmt formatCode="General" sourceLinked="1"/>
        <c:majorTickMark val="out"/>
        <c:minorTickMark val="none"/>
        <c:tickLblPos val="nextTo"/>
        <c:spPr>
          <a:ln w="3175">
            <a:solidFill>
              <a:schemeClr val="tx1"/>
            </a:solidFill>
          </a:ln>
        </c:spPr>
        <c:crossAx val="238118592"/>
        <c:crosses val="autoZero"/>
        <c:auto val="1"/>
        <c:lblAlgn val="ctr"/>
        <c:lblOffset val="100"/>
        <c:noMultiLvlLbl val="0"/>
      </c:catAx>
      <c:valAx>
        <c:axId val="238118592"/>
        <c:scaling>
          <c:orientation val="minMax"/>
          <c:max val="0.60000000000000053"/>
        </c:scaling>
        <c:delete val="0"/>
        <c:axPos val="b"/>
        <c:numFmt formatCode="0%" sourceLinked="1"/>
        <c:majorTickMark val="none"/>
        <c:minorTickMark val="none"/>
        <c:tickLblPos val="none"/>
        <c:crossAx val="239324672"/>
        <c:crosses val="autoZero"/>
        <c:crossBetween val="between"/>
        <c:majorUnit val="5.0000000000000024E-2"/>
        <c:minorUnit val="1.0000000000000005E-2"/>
      </c:valAx>
      <c:spPr>
        <a:ln w="12700">
          <a:solidFill>
            <a:schemeClr val="bg1">
              <a:lumMod val="65000"/>
            </a:schemeClr>
          </a:solidFill>
        </a:ln>
      </c:spPr>
    </c:plotArea>
    <c:legend>
      <c:legendPos val="r"/>
      <c:layout>
        <c:manualLayout>
          <c:xMode val="edge"/>
          <c:yMode val="edge"/>
          <c:x val="0.50601686507936428"/>
          <c:y val="0.73096989346919983"/>
          <c:w val="0.43393253968253981"/>
          <c:h val="0.1359277443260769"/>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Figure C28 Individuals in the Czech Republic aged 16+ using internet banking</a:t>
            </a:r>
            <a:endParaRPr lang="en-US" sz="800" b="1"/>
          </a:p>
        </c:rich>
      </c:tx>
      <c:layout>
        <c:manualLayout>
          <c:xMode val="edge"/>
          <c:yMode val="edge"/>
          <c:x val="0.153953826972479"/>
          <c:y val="1.8803803973738899E-2"/>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C_ENG!$A$562</c:f>
              <c:strCache>
                <c:ptCount val="1"/>
                <c:pt idx="0">
                  <c:v> Million</c:v>
                </c:pt>
              </c:strCache>
            </c:strRef>
          </c:tx>
          <c:spPr>
            <a:solidFill>
              <a:srgbClr val="009BB4"/>
            </a:solidFill>
            <a:ln w="25400">
              <a:noFill/>
            </a:ln>
          </c:spPr>
          <c:invertIfNegative val="0"/>
          <c:dLbls>
            <c:dLbl>
              <c:idx val="0"/>
              <c:numFmt formatCode="#,##0.0" sourceLinked="0"/>
              <c:spPr/>
              <c:txPr>
                <a:bodyPr/>
                <a:lstStyle/>
                <a:p>
                  <a:pPr>
                    <a:defRPr b="1">
                      <a:solidFill>
                        <a:sysClr val="windowText" lastClr="000000"/>
                      </a:solidFill>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46-4A2D-B695-C1E3240713BB}"/>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46-4A2D-B695-C1E3240713BB}"/>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C_ENG!$B$561:$H$561</c:f>
              <c:numCache>
                <c:formatCode>0</c:formatCode>
                <c:ptCount val="7"/>
                <c:pt idx="0">
                  <c:v>2005</c:v>
                </c:pt>
                <c:pt idx="1">
                  <c:v>2007</c:v>
                </c:pt>
                <c:pt idx="2">
                  <c:v>2009</c:v>
                </c:pt>
                <c:pt idx="3">
                  <c:v>2011</c:v>
                </c:pt>
                <c:pt idx="4">
                  <c:v>2013</c:v>
                </c:pt>
                <c:pt idx="5">
                  <c:v>2015</c:v>
                </c:pt>
                <c:pt idx="6">
                  <c:v>2017</c:v>
                </c:pt>
              </c:numCache>
            </c:numRef>
          </c:cat>
          <c:val>
            <c:numRef>
              <c:f>C_ENG!$B$562:$H$562</c:f>
              <c:numCache>
                <c:formatCode>#,##0.0</c:formatCode>
                <c:ptCount val="7"/>
                <c:pt idx="0">
                  <c:v>0.44811757581</c:v>
                </c:pt>
                <c:pt idx="1">
                  <c:v>0.92945517273200196</c:v>
                </c:pt>
                <c:pt idx="2">
                  <c:v>1.51462669728</c:v>
                </c:pt>
                <c:pt idx="3">
                  <c:v>2.422934301481201</c:v>
                </c:pt>
                <c:pt idx="4">
                  <c:v>3.3744733123746622</c:v>
                </c:pt>
                <c:pt idx="5" formatCode="0.0">
                  <c:v>3.941366981629713</c:v>
                </c:pt>
                <c:pt idx="6" formatCode="0.0">
                  <c:v>4.5323066844575699</c:v>
                </c:pt>
              </c:numCache>
            </c:numRef>
          </c:val>
          <c:extLst>
            <c:ext xmlns:c16="http://schemas.microsoft.com/office/drawing/2014/chart" uri="{C3380CC4-5D6E-409C-BE32-E72D297353CC}">
              <c16:uniqueId val="{00000002-8946-4A2D-B695-C1E3240713BB}"/>
            </c:ext>
          </c:extLst>
        </c:ser>
        <c:dLbls>
          <c:showLegendKey val="0"/>
          <c:showVal val="0"/>
          <c:showCatName val="0"/>
          <c:showSerName val="0"/>
          <c:showPercent val="0"/>
          <c:showBubbleSize val="0"/>
        </c:dLbls>
        <c:gapWidth val="50"/>
        <c:axId val="177919488"/>
        <c:axId val="64256768"/>
      </c:barChart>
      <c:lineChart>
        <c:grouping val="standard"/>
        <c:varyColors val="0"/>
        <c:ser>
          <c:idx val="0"/>
          <c:order val="1"/>
          <c:tx>
            <c:strRef>
              <c:f>C_ENG!$A$563</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46-4A2D-B695-C1E3240713BB}"/>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C_ENG!$B$561:$H$561</c:f>
              <c:numCache>
                <c:formatCode>0</c:formatCode>
                <c:ptCount val="7"/>
                <c:pt idx="0">
                  <c:v>2005</c:v>
                </c:pt>
                <c:pt idx="1">
                  <c:v>2007</c:v>
                </c:pt>
                <c:pt idx="2">
                  <c:v>2009</c:v>
                </c:pt>
                <c:pt idx="3">
                  <c:v>2011</c:v>
                </c:pt>
                <c:pt idx="4">
                  <c:v>2013</c:v>
                </c:pt>
                <c:pt idx="5">
                  <c:v>2015</c:v>
                </c:pt>
                <c:pt idx="6">
                  <c:v>2017</c:v>
                </c:pt>
              </c:numCache>
            </c:numRef>
          </c:cat>
          <c:val>
            <c:numRef>
              <c:f>C_ENG!$B$563:$H$563</c:f>
              <c:numCache>
                <c:formatCode>0.0%</c:formatCode>
                <c:ptCount val="7"/>
                <c:pt idx="0">
                  <c:v>5.1553573090380299E-2</c:v>
                </c:pt>
                <c:pt idx="1">
                  <c:v>0.106711063183973</c:v>
                </c:pt>
                <c:pt idx="2">
                  <c:v>0.17046735968316001</c:v>
                </c:pt>
                <c:pt idx="3">
                  <c:v>0.27438677778645998</c:v>
                </c:pt>
                <c:pt idx="4">
                  <c:v>0.38381537594020998</c:v>
                </c:pt>
                <c:pt idx="5">
                  <c:v>0.44925882406249501</c:v>
                </c:pt>
                <c:pt idx="6">
                  <c:v>0.517699710037412</c:v>
                </c:pt>
              </c:numCache>
            </c:numRef>
          </c:val>
          <c:smooth val="0"/>
          <c:extLst>
            <c:ext xmlns:c16="http://schemas.microsoft.com/office/drawing/2014/chart" uri="{C3380CC4-5D6E-409C-BE32-E72D297353CC}">
              <c16:uniqueId val="{00000004-8946-4A2D-B695-C1E3240713BB}"/>
            </c:ext>
          </c:extLst>
        </c:ser>
        <c:ser>
          <c:idx val="1"/>
          <c:order val="2"/>
          <c:tx>
            <c:strRef>
              <c:f>C_ENG!$A$564</c:f>
              <c:strCache>
                <c:ptCount val="1"/>
                <c:pt idx="0">
                  <c:v> % of internet users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C_ENG!$B$561:$H$561</c:f>
              <c:numCache>
                <c:formatCode>0</c:formatCode>
                <c:ptCount val="7"/>
                <c:pt idx="0">
                  <c:v>2005</c:v>
                </c:pt>
                <c:pt idx="1">
                  <c:v>2007</c:v>
                </c:pt>
                <c:pt idx="2">
                  <c:v>2009</c:v>
                </c:pt>
                <c:pt idx="3">
                  <c:v>2011</c:v>
                </c:pt>
                <c:pt idx="4">
                  <c:v>2013</c:v>
                </c:pt>
                <c:pt idx="5">
                  <c:v>2015</c:v>
                </c:pt>
                <c:pt idx="6">
                  <c:v>2017</c:v>
                </c:pt>
              </c:numCache>
            </c:numRef>
          </c:cat>
          <c:val>
            <c:numRef>
              <c:f>C_ENG!$B$564:$H$564</c:f>
              <c:numCache>
                <c:formatCode>0.0%</c:formatCode>
                <c:ptCount val="7"/>
                <c:pt idx="0">
                  <c:v>0.160574516297258</c:v>
                </c:pt>
                <c:pt idx="1">
                  <c:v>0.237033440380745</c:v>
                </c:pt>
                <c:pt idx="2">
                  <c:v>0.30472820445952398</c:v>
                </c:pt>
                <c:pt idx="3">
                  <c:v>0.41920663839950401</c:v>
                </c:pt>
                <c:pt idx="4">
                  <c:v>0.557993045875399</c:v>
                </c:pt>
                <c:pt idx="5">
                  <c:v>0.59371724301482598</c:v>
                </c:pt>
                <c:pt idx="6">
                  <c:v>0.65765396117644903</c:v>
                </c:pt>
              </c:numCache>
            </c:numRef>
          </c:val>
          <c:smooth val="0"/>
          <c:extLst>
            <c:ext xmlns:c16="http://schemas.microsoft.com/office/drawing/2014/chart" uri="{C3380CC4-5D6E-409C-BE32-E72D297353CC}">
              <c16:uniqueId val="{00000005-8946-4A2D-B695-C1E3240713BB}"/>
            </c:ext>
          </c:extLst>
        </c:ser>
        <c:dLbls>
          <c:showLegendKey val="0"/>
          <c:showVal val="0"/>
          <c:showCatName val="0"/>
          <c:showSerName val="0"/>
          <c:showPercent val="0"/>
          <c:showBubbleSize val="0"/>
        </c:dLbls>
        <c:marker val="1"/>
        <c:smooth val="0"/>
        <c:axId val="178292224"/>
        <c:axId val="178200576"/>
      </c:lineChart>
      <c:catAx>
        <c:axId val="17791948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64256768"/>
        <c:crosses val="autoZero"/>
        <c:auto val="1"/>
        <c:lblAlgn val="ctr"/>
        <c:lblOffset val="140"/>
        <c:tickLblSkip val="1"/>
        <c:tickMarkSkip val="1"/>
        <c:noMultiLvlLbl val="0"/>
      </c:catAx>
      <c:valAx>
        <c:axId val="64256768"/>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177919488"/>
        <c:crosses val="autoZero"/>
        <c:crossBetween val="between"/>
        <c:majorUnit val="1"/>
        <c:minorUnit val="0.02"/>
      </c:valAx>
      <c:catAx>
        <c:axId val="178292224"/>
        <c:scaling>
          <c:orientation val="minMax"/>
        </c:scaling>
        <c:delete val="1"/>
        <c:axPos val="b"/>
        <c:numFmt formatCode="0" sourceLinked="1"/>
        <c:majorTickMark val="out"/>
        <c:minorTickMark val="none"/>
        <c:tickLblPos val="none"/>
        <c:crossAx val="178200576"/>
        <c:crosses val="autoZero"/>
        <c:auto val="1"/>
        <c:lblAlgn val="ctr"/>
        <c:lblOffset val="100"/>
        <c:noMultiLvlLbl val="0"/>
      </c:catAx>
      <c:valAx>
        <c:axId val="178200576"/>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178292224"/>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898E-2"/>
          <c:y val="0.150013580246914"/>
          <c:w val="0.52594579945799502"/>
          <c:h val="0.133434259259259"/>
        </c:manualLayout>
      </c:layout>
      <c:overlay val="0"/>
      <c:spPr>
        <a:ln>
          <a:solidFill>
            <a:schemeClr val="bg1">
              <a:lumMod val="65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a:t>
            </a:r>
            <a:r>
              <a:rPr lang="en-US" sz="800" b="1" i="0" baseline="0">
                <a:effectLst/>
              </a:rPr>
              <a:t> </a:t>
            </a:r>
            <a:r>
              <a:rPr lang="cs-CZ" sz="800" b="1" i="0" baseline="0">
                <a:effectLst/>
              </a:rPr>
              <a:t>A7 SIM cards used in the Czech Republic  in M2M network</a:t>
            </a:r>
            <a:endParaRPr lang="en-US" sz="800" b="1"/>
          </a:p>
        </c:rich>
      </c:tx>
      <c:layout/>
      <c:overlay val="1"/>
    </c:title>
    <c:autoTitleDeleted val="0"/>
    <c:plotArea>
      <c:layout>
        <c:manualLayout>
          <c:layoutTarget val="inner"/>
          <c:xMode val="edge"/>
          <c:yMode val="edge"/>
          <c:x val="2.2538872296135399E-2"/>
          <c:y val="0.16301230158730201"/>
          <c:w val="0.95492225540772901"/>
          <c:h val="0.637262698412698"/>
        </c:manualLayout>
      </c:layout>
      <c:barChart>
        <c:barDir val="col"/>
        <c:grouping val="clustered"/>
        <c:varyColors val="0"/>
        <c:ser>
          <c:idx val="2"/>
          <c:order val="0"/>
          <c:tx>
            <c:strRef>
              <c:f>A_EN!$A$105</c:f>
              <c:strCache>
                <c:ptCount val="1"/>
                <c:pt idx="0">
                  <c:v> thousands</c:v>
                </c:pt>
              </c:strCache>
            </c:strRef>
          </c:tx>
          <c:spPr>
            <a:solidFill>
              <a:srgbClr val="009BB4"/>
            </a:solidFill>
            <a:ln w="25400">
              <a:noFill/>
            </a:ln>
          </c:spPr>
          <c:invertIfNegative val="0"/>
          <c:dLbls>
            <c:dLbl>
              <c:idx val="0"/>
              <c:layout>
                <c:manualLayout>
                  <c:x val="8.3994708994708997E-3"/>
                  <c:y val="7.35845238095237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A2-4C5E-87D7-42F35A50C6E3}"/>
                </c:ext>
              </c:extLst>
            </c:dLbl>
            <c:numFmt formatCode="#,##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A_EN!$B$104:$I$104</c:f>
              <c:numCache>
                <c:formatCode>General</c:formatCode>
                <c:ptCount val="8"/>
                <c:pt idx="0">
                  <c:v>2009</c:v>
                </c:pt>
                <c:pt idx="1">
                  <c:v>2010</c:v>
                </c:pt>
                <c:pt idx="2">
                  <c:v>2011</c:v>
                </c:pt>
                <c:pt idx="3">
                  <c:v>2012</c:v>
                </c:pt>
                <c:pt idx="4">
                  <c:v>2013</c:v>
                </c:pt>
                <c:pt idx="5">
                  <c:v>2014</c:v>
                </c:pt>
                <c:pt idx="6">
                  <c:v>2015</c:v>
                </c:pt>
                <c:pt idx="7">
                  <c:v>2016</c:v>
                </c:pt>
              </c:numCache>
            </c:numRef>
          </c:cat>
          <c:val>
            <c:numRef>
              <c:f>A_EN!$B$105:$I$105</c:f>
              <c:numCache>
                <c:formatCode>0.0</c:formatCode>
                <c:ptCount val="8"/>
                <c:pt idx="0">
                  <c:v>106.499</c:v>
                </c:pt>
                <c:pt idx="1">
                  <c:v>178.596</c:v>
                </c:pt>
                <c:pt idx="2">
                  <c:v>322.83699999999902</c:v>
                </c:pt>
                <c:pt idx="3">
                  <c:v>533.20000000000005</c:v>
                </c:pt>
                <c:pt idx="4">
                  <c:v>613.91300000000001</c:v>
                </c:pt>
                <c:pt idx="5">
                  <c:v>688.21400000000006</c:v>
                </c:pt>
                <c:pt idx="6">
                  <c:v>744.05599999999936</c:v>
                </c:pt>
                <c:pt idx="7">
                  <c:v>837.85599999999874</c:v>
                </c:pt>
              </c:numCache>
            </c:numRef>
          </c:val>
          <c:extLst>
            <c:ext xmlns:c16="http://schemas.microsoft.com/office/drawing/2014/chart" uri="{C3380CC4-5D6E-409C-BE32-E72D297353CC}">
              <c16:uniqueId val="{00000001-44A2-4C5E-87D7-42F35A50C6E3}"/>
            </c:ext>
          </c:extLst>
        </c:ser>
        <c:dLbls>
          <c:showLegendKey val="0"/>
          <c:showVal val="0"/>
          <c:showCatName val="0"/>
          <c:showSerName val="0"/>
          <c:showPercent val="0"/>
          <c:showBubbleSize val="0"/>
        </c:dLbls>
        <c:gapWidth val="40"/>
        <c:axId val="151237120"/>
        <c:axId val="145192576"/>
      </c:barChart>
      <c:lineChart>
        <c:grouping val="standard"/>
        <c:varyColors val="0"/>
        <c:ser>
          <c:idx val="0"/>
          <c:order val="1"/>
          <c:tx>
            <c:strRef>
              <c:f>A_EN!$A$106</c:f>
              <c:strCache>
                <c:ptCount val="1"/>
                <c:pt idx="0">
                  <c:v> per 100 inhabitants</c:v>
                </c:pt>
              </c:strCache>
            </c:strRef>
          </c:tx>
          <c:spPr>
            <a:ln w="12700">
              <a:solidFill>
                <a:srgbClr val="009BB4"/>
              </a:solidFill>
            </a:ln>
          </c:spPr>
          <c:marker>
            <c:symbol val="diamond"/>
            <c:size val="4"/>
            <c:spPr>
              <a:solidFill>
                <a:srgbClr val="47E5FF"/>
              </a:solidFill>
              <a:ln w="12700">
                <a:solidFill>
                  <a:srgbClr val="009BB4"/>
                </a:solidFill>
              </a:ln>
            </c:spPr>
          </c:marker>
          <c:dLbls>
            <c:numFmt formatCode="#,##0.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A_EN!$B$104:$I$104</c:f>
              <c:numCache>
                <c:formatCode>General</c:formatCode>
                <c:ptCount val="8"/>
                <c:pt idx="0">
                  <c:v>2009</c:v>
                </c:pt>
                <c:pt idx="1">
                  <c:v>2010</c:v>
                </c:pt>
                <c:pt idx="2">
                  <c:v>2011</c:v>
                </c:pt>
                <c:pt idx="3">
                  <c:v>2012</c:v>
                </c:pt>
                <c:pt idx="4">
                  <c:v>2013</c:v>
                </c:pt>
                <c:pt idx="5">
                  <c:v>2014</c:v>
                </c:pt>
                <c:pt idx="6">
                  <c:v>2015</c:v>
                </c:pt>
                <c:pt idx="7">
                  <c:v>2016</c:v>
                </c:pt>
              </c:numCache>
            </c:numRef>
          </c:cat>
          <c:val>
            <c:numRef>
              <c:f>A_EN!$B$106:$I$106</c:f>
              <c:numCache>
                <c:formatCode>0.0</c:formatCode>
                <c:ptCount val="8"/>
                <c:pt idx="0">
                  <c:v>1.0136184968743609</c:v>
                </c:pt>
                <c:pt idx="1">
                  <c:v>1.6956223291688699</c:v>
                </c:pt>
                <c:pt idx="2">
                  <c:v>3.0730445021605459</c:v>
                </c:pt>
                <c:pt idx="3">
                  <c:v>5.0703086926030299</c:v>
                </c:pt>
                <c:pt idx="4">
                  <c:v>5.8398832847130704</c:v>
                </c:pt>
                <c:pt idx="5">
                  <c:v>6.5306134068431509</c:v>
                </c:pt>
                <c:pt idx="6">
                  <c:v>7.0500954012675763</c:v>
                </c:pt>
                <c:pt idx="7">
                  <c:v>7.9201271975513334</c:v>
                </c:pt>
              </c:numCache>
            </c:numRef>
          </c:val>
          <c:smooth val="0"/>
          <c:extLst>
            <c:ext xmlns:c16="http://schemas.microsoft.com/office/drawing/2014/chart" uri="{C3380CC4-5D6E-409C-BE32-E72D297353CC}">
              <c16:uniqueId val="{00000002-44A2-4C5E-87D7-42F35A50C6E3}"/>
            </c:ext>
          </c:extLst>
        </c:ser>
        <c:dLbls>
          <c:showLegendKey val="0"/>
          <c:showVal val="0"/>
          <c:showCatName val="0"/>
          <c:showSerName val="0"/>
          <c:showPercent val="0"/>
          <c:showBubbleSize val="0"/>
        </c:dLbls>
        <c:marker val="1"/>
        <c:smooth val="0"/>
        <c:axId val="151238144"/>
        <c:axId val="145193152"/>
      </c:lineChart>
      <c:catAx>
        <c:axId val="151237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45192576"/>
        <c:crosses val="autoZero"/>
        <c:auto val="1"/>
        <c:lblAlgn val="ctr"/>
        <c:lblOffset val="140"/>
        <c:tickLblSkip val="1"/>
        <c:tickMarkSkip val="1"/>
        <c:noMultiLvlLbl val="0"/>
      </c:catAx>
      <c:valAx>
        <c:axId val="145192576"/>
        <c:scaling>
          <c:orientation val="minMax"/>
          <c:max val="1200"/>
          <c:min val="0"/>
        </c:scaling>
        <c:delete val="0"/>
        <c:axPos val="l"/>
        <c:numFmt formatCode="0.0" sourceLinked="1"/>
        <c:majorTickMark val="none"/>
        <c:minorTickMark val="none"/>
        <c:tickLblPos val="none"/>
        <c:spPr>
          <a:ln w="9525">
            <a:noFill/>
          </a:ln>
        </c:spPr>
        <c:crossAx val="151237120"/>
        <c:crosses val="autoZero"/>
        <c:crossBetween val="between"/>
        <c:majorUnit val="1"/>
        <c:minorUnit val="0.1"/>
      </c:valAx>
      <c:catAx>
        <c:axId val="151238144"/>
        <c:scaling>
          <c:orientation val="minMax"/>
        </c:scaling>
        <c:delete val="1"/>
        <c:axPos val="b"/>
        <c:numFmt formatCode="General" sourceLinked="1"/>
        <c:majorTickMark val="out"/>
        <c:minorTickMark val="none"/>
        <c:tickLblPos val="none"/>
        <c:crossAx val="145193152"/>
        <c:crosses val="autoZero"/>
        <c:auto val="1"/>
        <c:lblAlgn val="ctr"/>
        <c:lblOffset val="100"/>
        <c:noMultiLvlLbl val="0"/>
      </c:catAx>
      <c:valAx>
        <c:axId val="145193152"/>
        <c:scaling>
          <c:orientation val="minMax"/>
          <c:max val="10"/>
          <c:min val="0"/>
        </c:scaling>
        <c:delete val="0"/>
        <c:axPos val="r"/>
        <c:numFmt formatCode="0.0" sourceLinked="1"/>
        <c:majorTickMark val="none"/>
        <c:minorTickMark val="none"/>
        <c:tickLblPos val="none"/>
        <c:crossAx val="151238144"/>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4.0776785714285703E-2"/>
          <c:y val="0.185463492063492"/>
          <c:w val="0.35096362433862399"/>
          <c:h val="0.20258809523809501"/>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21882407407407"/>
          <c:w val="0.90411750841750804"/>
          <c:h val="0.58466080246913599"/>
        </c:manualLayout>
      </c:layout>
      <c:barChart>
        <c:barDir val="col"/>
        <c:grouping val="clustered"/>
        <c:varyColors val="0"/>
        <c:ser>
          <c:idx val="0"/>
          <c:order val="0"/>
          <c:tx>
            <c:strRef>
              <c:f>C_ENG!$B$585</c:f>
              <c:strCache>
                <c:ptCount val="1"/>
                <c:pt idx="0">
                  <c:v> 2017</c:v>
                </c:pt>
              </c:strCache>
            </c:strRef>
          </c:tx>
          <c:spPr>
            <a:solidFill>
              <a:srgbClr val="009BB4"/>
            </a:solidFill>
            <a:ln>
              <a:noFill/>
            </a:ln>
          </c:spPr>
          <c:invertIfNegative val="0"/>
          <c:dPt>
            <c:idx val="0"/>
            <c:invertIfNegative val="0"/>
            <c:bubble3D val="0"/>
            <c:extLst>
              <c:ext xmlns:c16="http://schemas.microsoft.com/office/drawing/2014/chart" uri="{C3380CC4-5D6E-409C-BE32-E72D297353CC}">
                <c16:uniqueId val="{00000000-3C89-4C0C-9A90-4AB3D23AE3B5}"/>
              </c:ext>
            </c:extLst>
          </c:dPt>
          <c:dPt>
            <c:idx val="8"/>
            <c:invertIfNegative val="0"/>
            <c:bubble3D val="0"/>
            <c:spPr>
              <a:solidFill>
                <a:srgbClr val="009BB4"/>
              </a:solidFill>
              <a:ln w="19050">
                <a:noFill/>
              </a:ln>
            </c:spPr>
            <c:extLst>
              <c:ext xmlns:c16="http://schemas.microsoft.com/office/drawing/2014/chart" uri="{C3380CC4-5D6E-409C-BE32-E72D297353CC}">
                <c16:uniqueId val="{00000002-3C89-4C0C-9A90-4AB3D23AE3B5}"/>
              </c:ext>
            </c:extLst>
          </c:dPt>
          <c:dPt>
            <c:idx val="11"/>
            <c:invertIfNegative val="0"/>
            <c:bubble3D val="0"/>
            <c:extLst>
              <c:ext xmlns:c16="http://schemas.microsoft.com/office/drawing/2014/chart" uri="{C3380CC4-5D6E-409C-BE32-E72D297353CC}">
                <c16:uniqueId val="{00000003-3C89-4C0C-9A90-4AB3D23AE3B5}"/>
              </c:ext>
            </c:extLst>
          </c:dPt>
          <c:dPt>
            <c:idx val="12"/>
            <c:invertIfNegative val="0"/>
            <c:bubble3D val="0"/>
            <c:spPr>
              <a:solidFill>
                <a:srgbClr val="009BB4"/>
              </a:solidFill>
              <a:ln>
                <a:solidFill>
                  <a:srgbClr val="FF0000"/>
                </a:solidFill>
              </a:ln>
            </c:spPr>
            <c:extLst>
              <c:ext xmlns:c16="http://schemas.microsoft.com/office/drawing/2014/chart" uri="{C3380CC4-5D6E-409C-BE32-E72D297353CC}">
                <c16:uniqueId val="{00000005-3C89-4C0C-9A90-4AB3D23AE3B5}"/>
              </c:ext>
            </c:extLst>
          </c:dPt>
          <c:dPt>
            <c:idx val="13"/>
            <c:invertIfNegative val="0"/>
            <c:bubble3D val="0"/>
            <c:spPr>
              <a:solidFill>
                <a:srgbClr val="009BB4"/>
              </a:solidFill>
              <a:ln w="19050">
                <a:noFill/>
              </a:ln>
            </c:spPr>
            <c:extLst>
              <c:ext xmlns:c16="http://schemas.microsoft.com/office/drawing/2014/chart" uri="{C3380CC4-5D6E-409C-BE32-E72D297353CC}">
                <c16:uniqueId val="{00000007-3C89-4C0C-9A90-4AB3D23AE3B5}"/>
              </c:ext>
            </c:extLst>
          </c:dPt>
          <c:dPt>
            <c:idx val="15"/>
            <c:invertIfNegative val="0"/>
            <c:bubble3D val="0"/>
            <c:spPr>
              <a:solidFill>
                <a:srgbClr val="009BB4"/>
              </a:solidFill>
              <a:ln>
                <a:solidFill>
                  <a:srgbClr val="FF0000"/>
                </a:solidFill>
              </a:ln>
            </c:spPr>
            <c:extLst>
              <c:ext xmlns:c16="http://schemas.microsoft.com/office/drawing/2014/chart" uri="{C3380CC4-5D6E-409C-BE32-E72D297353CC}">
                <c16:uniqueId val="{00000009-3C89-4C0C-9A90-4AB3D23AE3B5}"/>
              </c:ext>
            </c:extLst>
          </c:dPt>
          <c:dPt>
            <c:idx val="17"/>
            <c:invertIfNegative val="0"/>
            <c:bubble3D val="0"/>
            <c:extLst>
              <c:ext xmlns:c16="http://schemas.microsoft.com/office/drawing/2014/chart" uri="{C3380CC4-5D6E-409C-BE32-E72D297353CC}">
                <c16:uniqueId val="{0000000A-3C89-4C0C-9A90-4AB3D23AE3B5}"/>
              </c:ext>
            </c:extLst>
          </c:dPt>
          <c:dPt>
            <c:idx val="28"/>
            <c:invertIfNegative val="0"/>
            <c:bubble3D val="0"/>
            <c:extLst>
              <c:ext xmlns:c16="http://schemas.microsoft.com/office/drawing/2014/chart" uri="{C3380CC4-5D6E-409C-BE32-E72D297353CC}">
                <c16:uniqueId val="{0000000B-3C89-4C0C-9A90-4AB3D23AE3B5}"/>
              </c:ext>
            </c:extLst>
          </c:dPt>
          <c:dLbls>
            <c:dLbl>
              <c:idx val="25"/>
              <c:layout>
                <c:manualLayout>
                  <c:x val="0"/>
                  <c:y val="-1.6241064766901701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9-4C0C-9A90-4AB3D23AE3B5}"/>
                </c:ext>
              </c:extLst>
            </c:dLbl>
            <c:dLbl>
              <c:idx val="26"/>
              <c:layout>
                <c:manualLayout>
                  <c:x val="0"/>
                  <c:y val="-4.0145370526367199E-3"/>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9-4C0C-9A90-4AB3D23AE3B5}"/>
                </c:ext>
              </c:extLst>
            </c:dLbl>
            <c:dLbl>
              <c:idx val="27"/>
              <c:layout>
                <c:manualLayout>
                  <c:x val="0"/>
                  <c:y val="-2.1173393663706401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9-4C0C-9A90-4AB3D23AE3B5}"/>
                </c:ext>
              </c:extLst>
            </c:dLbl>
            <c:dLbl>
              <c:idx val="28"/>
              <c:layout>
                <c:manualLayout>
                  <c:x val="0"/>
                  <c:y val="-2.4985438879395399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9-4C0C-9A90-4AB3D23AE3B5}"/>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C_ENG!$A$586:$A$614</c:f>
              <c:strCache>
                <c:ptCount val="29"/>
                <c:pt idx="0">
                  <c:v>Denmark</c:v>
                </c:pt>
                <c:pt idx="1">
                  <c:v>Netherlands</c:v>
                </c:pt>
                <c:pt idx="2">
                  <c:v>Finland</c:v>
                </c:pt>
                <c:pt idx="3">
                  <c:v>Sweden</c:v>
                </c:pt>
                <c:pt idx="4">
                  <c:v>Estonia</c:v>
                </c:pt>
                <c:pt idx="5">
                  <c:v>Luxembourg </c:v>
                </c:pt>
                <c:pt idx="6">
                  <c:v>United Kingdom</c:v>
                </c:pt>
                <c:pt idx="7">
                  <c:v>Belgium</c:v>
                </c:pt>
                <c:pt idx="8">
                  <c:v>France</c:v>
                </c:pt>
                <c:pt idx="9">
                  <c:v>Latvia</c:v>
                </c:pt>
                <c:pt idx="10">
                  <c:v>Ireland</c:v>
                </c:pt>
                <c:pt idx="11">
                  <c:v>Austria</c:v>
                </c:pt>
                <c:pt idx="12">
                  <c:v>Czech Republic</c:v>
                </c:pt>
                <c:pt idx="13">
                  <c:v>Lithuania</c:v>
                </c:pt>
                <c:pt idx="14">
                  <c:v>Germany</c:v>
                </c:pt>
                <c:pt idx="15">
                  <c:v>EU28</c:v>
                </c:pt>
                <c:pt idx="16">
                  <c:v>Slovakia</c:v>
                </c:pt>
                <c:pt idx="17">
                  <c:v>Malta</c:v>
                </c:pt>
                <c:pt idx="18">
                  <c:v>Spain</c:v>
                </c:pt>
                <c:pt idx="19">
                  <c:v>Poland</c:v>
                </c:pt>
                <c:pt idx="20">
                  <c:v>Slovenia</c:v>
                </c:pt>
                <c:pt idx="21">
                  <c:v>Hungary</c:v>
                </c:pt>
                <c:pt idx="22">
                  <c:v>Croatia</c:v>
                </c:pt>
                <c:pt idx="23">
                  <c:v>Portugal</c:v>
                </c:pt>
                <c:pt idx="24">
                  <c:v>Italy</c:v>
                </c:pt>
                <c:pt idx="25">
                  <c:v>Cyprus</c:v>
                </c:pt>
                <c:pt idx="26">
                  <c:v>Greece</c:v>
                </c:pt>
                <c:pt idx="27">
                  <c:v>Romania</c:v>
                </c:pt>
                <c:pt idx="28">
                  <c:v>Bulgaria</c:v>
                </c:pt>
              </c:strCache>
            </c:strRef>
          </c:cat>
          <c:val>
            <c:numRef>
              <c:f>C_ENG!$B$586:$B$614</c:f>
              <c:numCache>
                <c:formatCode>0%</c:formatCode>
                <c:ptCount val="29"/>
                <c:pt idx="0">
                  <c:v>0.89771999999999996</c:v>
                </c:pt>
                <c:pt idx="1">
                  <c:v>0.88912000000000002</c:v>
                </c:pt>
                <c:pt idx="2">
                  <c:v>0.87412500000000004</c:v>
                </c:pt>
                <c:pt idx="3">
                  <c:v>0.86472300000000002</c:v>
                </c:pt>
                <c:pt idx="4">
                  <c:v>0.79228299999999996</c:v>
                </c:pt>
                <c:pt idx="5">
                  <c:v>0.76420399999999999</c:v>
                </c:pt>
                <c:pt idx="6">
                  <c:v>0.68352199999999996</c:v>
                </c:pt>
                <c:pt idx="7">
                  <c:v>0.66629899999999997</c:v>
                </c:pt>
                <c:pt idx="8">
                  <c:v>0.62007800000000002</c:v>
                </c:pt>
                <c:pt idx="9">
                  <c:v>0.61187000000000002</c:v>
                </c:pt>
                <c:pt idx="10">
                  <c:v>0.57638100000000003</c:v>
                </c:pt>
                <c:pt idx="11">
                  <c:v>0.57493899999999998</c:v>
                </c:pt>
                <c:pt idx="12">
                  <c:v>0.56551499999999999</c:v>
                </c:pt>
                <c:pt idx="13">
                  <c:v>0.561886</c:v>
                </c:pt>
                <c:pt idx="14">
                  <c:v>0.55562999999999996</c:v>
                </c:pt>
                <c:pt idx="15">
                  <c:v>0.51344400000000001</c:v>
                </c:pt>
                <c:pt idx="16">
                  <c:v>0.51107400000000003</c:v>
                </c:pt>
                <c:pt idx="17">
                  <c:v>0.49118899999999999</c:v>
                </c:pt>
                <c:pt idx="18">
                  <c:v>0.46176800000000001</c:v>
                </c:pt>
                <c:pt idx="19">
                  <c:v>0.39765400000000001</c:v>
                </c:pt>
                <c:pt idx="20">
                  <c:v>0.39054</c:v>
                </c:pt>
                <c:pt idx="21">
                  <c:v>0.376994</c:v>
                </c:pt>
                <c:pt idx="22">
                  <c:v>0.33299299999999998</c:v>
                </c:pt>
                <c:pt idx="23">
                  <c:v>0.31290299999999999</c:v>
                </c:pt>
                <c:pt idx="24">
                  <c:v>0.308313</c:v>
                </c:pt>
                <c:pt idx="25">
                  <c:v>0.27587600000000001</c:v>
                </c:pt>
                <c:pt idx="26">
                  <c:v>0.251218</c:v>
                </c:pt>
                <c:pt idx="27">
                  <c:v>6.8346000000000004E-2</c:v>
                </c:pt>
                <c:pt idx="28">
                  <c:v>5.4855000000000001E-2</c:v>
                </c:pt>
              </c:numCache>
            </c:numRef>
          </c:val>
          <c:extLst>
            <c:ext xmlns:c16="http://schemas.microsoft.com/office/drawing/2014/chart" uri="{C3380CC4-5D6E-409C-BE32-E72D297353CC}">
              <c16:uniqueId val="{0000000F-3C89-4C0C-9A90-4AB3D23AE3B5}"/>
            </c:ext>
          </c:extLst>
        </c:ser>
        <c:dLbls>
          <c:showLegendKey val="0"/>
          <c:showVal val="0"/>
          <c:showCatName val="0"/>
          <c:showSerName val="0"/>
          <c:showPercent val="0"/>
          <c:showBubbleSize val="0"/>
        </c:dLbls>
        <c:gapWidth val="51"/>
        <c:axId val="177103360"/>
        <c:axId val="178204032"/>
      </c:barChart>
      <c:barChart>
        <c:barDir val="col"/>
        <c:grouping val="clustered"/>
        <c:varyColors val="0"/>
        <c:ser>
          <c:idx val="1"/>
          <c:order val="1"/>
          <c:tx>
            <c:strRef>
              <c:f>C_ENG!$C$585</c:f>
              <c:strCache>
                <c:ptCount val="1"/>
                <c:pt idx="0">
                  <c:v> 2007</c:v>
                </c:pt>
              </c:strCache>
            </c:strRef>
          </c:tx>
          <c:spPr>
            <a:solidFill>
              <a:srgbClr val="47E5FF"/>
            </a:solidFill>
            <a:ln>
              <a:noFill/>
            </a:ln>
          </c:spPr>
          <c:invertIfNegative val="0"/>
          <c:dPt>
            <c:idx val="0"/>
            <c:invertIfNegative val="0"/>
            <c:bubble3D val="0"/>
            <c:extLst>
              <c:ext xmlns:c16="http://schemas.microsoft.com/office/drawing/2014/chart" uri="{C3380CC4-5D6E-409C-BE32-E72D297353CC}">
                <c16:uniqueId val="{00000010-3C89-4C0C-9A90-4AB3D23AE3B5}"/>
              </c:ext>
            </c:extLst>
          </c:dPt>
          <c:dPt>
            <c:idx val="11"/>
            <c:invertIfNegative val="0"/>
            <c:bubble3D val="0"/>
            <c:extLst>
              <c:ext xmlns:c16="http://schemas.microsoft.com/office/drawing/2014/chart" uri="{C3380CC4-5D6E-409C-BE32-E72D297353CC}">
                <c16:uniqueId val="{00000011-3C89-4C0C-9A90-4AB3D23AE3B5}"/>
              </c:ext>
            </c:extLst>
          </c:dPt>
          <c:dPt>
            <c:idx val="13"/>
            <c:invertIfNegative val="0"/>
            <c:bubble3D val="0"/>
            <c:extLst>
              <c:ext xmlns:c16="http://schemas.microsoft.com/office/drawing/2014/chart" uri="{C3380CC4-5D6E-409C-BE32-E72D297353CC}">
                <c16:uniqueId val="{00000012-3C89-4C0C-9A90-4AB3D23AE3B5}"/>
              </c:ext>
            </c:extLst>
          </c:dPt>
          <c:dPt>
            <c:idx val="17"/>
            <c:invertIfNegative val="0"/>
            <c:bubble3D val="0"/>
            <c:extLst>
              <c:ext xmlns:c16="http://schemas.microsoft.com/office/drawing/2014/chart" uri="{C3380CC4-5D6E-409C-BE32-E72D297353CC}">
                <c16:uniqueId val="{00000013-3C89-4C0C-9A90-4AB3D23AE3B5}"/>
              </c:ext>
            </c:extLst>
          </c:dPt>
          <c:dPt>
            <c:idx val="28"/>
            <c:invertIfNegative val="0"/>
            <c:bubble3D val="0"/>
            <c:extLst>
              <c:ext xmlns:c16="http://schemas.microsoft.com/office/drawing/2014/chart" uri="{C3380CC4-5D6E-409C-BE32-E72D297353CC}">
                <c16:uniqueId val="{00000014-3C89-4C0C-9A90-4AB3D23AE3B5}"/>
              </c:ext>
            </c:extLst>
          </c:dPt>
          <c:dLbls>
            <c:dLbl>
              <c:idx val="27"/>
              <c:layout>
                <c:manualLayout>
                  <c:x val="0"/>
                  <c:y val="1.16928606384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C89-4C0C-9A90-4AB3D23AE3B5}"/>
                </c:ext>
              </c:extLst>
            </c:dLbl>
            <c:dLbl>
              <c:idx val="28"/>
              <c:layout>
                <c:manualLayout>
                  <c:x val="0"/>
                  <c:y val="1.87264835896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89-4C0C-9A90-4AB3D23AE3B5}"/>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C_ENG!$A$586:$A$614</c:f>
              <c:strCache>
                <c:ptCount val="29"/>
                <c:pt idx="0">
                  <c:v>Denmark</c:v>
                </c:pt>
                <c:pt idx="1">
                  <c:v>Netherlands</c:v>
                </c:pt>
                <c:pt idx="2">
                  <c:v>Finland</c:v>
                </c:pt>
                <c:pt idx="3">
                  <c:v>Sweden</c:v>
                </c:pt>
                <c:pt idx="4">
                  <c:v>Estonia</c:v>
                </c:pt>
                <c:pt idx="5">
                  <c:v>Luxembourg </c:v>
                </c:pt>
                <c:pt idx="6">
                  <c:v>United Kingdom</c:v>
                </c:pt>
                <c:pt idx="7">
                  <c:v>Belgium</c:v>
                </c:pt>
                <c:pt idx="8">
                  <c:v>France</c:v>
                </c:pt>
                <c:pt idx="9">
                  <c:v>Latvia</c:v>
                </c:pt>
                <c:pt idx="10">
                  <c:v>Ireland</c:v>
                </c:pt>
                <c:pt idx="11">
                  <c:v>Austria</c:v>
                </c:pt>
                <c:pt idx="12">
                  <c:v>Czech Republic</c:v>
                </c:pt>
                <c:pt idx="13">
                  <c:v>Lithuania</c:v>
                </c:pt>
                <c:pt idx="14">
                  <c:v>Germany</c:v>
                </c:pt>
                <c:pt idx="15">
                  <c:v>EU28</c:v>
                </c:pt>
                <c:pt idx="16">
                  <c:v>Slovakia</c:v>
                </c:pt>
                <c:pt idx="17">
                  <c:v>Malta</c:v>
                </c:pt>
                <c:pt idx="18">
                  <c:v>Spain</c:v>
                </c:pt>
                <c:pt idx="19">
                  <c:v>Poland</c:v>
                </c:pt>
                <c:pt idx="20">
                  <c:v>Slovenia</c:v>
                </c:pt>
                <c:pt idx="21">
                  <c:v>Hungary</c:v>
                </c:pt>
                <c:pt idx="22">
                  <c:v>Croatia</c:v>
                </c:pt>
                <c:pt idx="23">
                  <c:v>Portugal</c:v>
                </c:pt>
                <c:pt idx="24">
                  <c:v>Italy</c:v>
                </c:pt>
                <c:pt idx="25">
                  <c:v>Cyprus</c:v>
                </c:pt>
                <c:pt idx="26">
                  <c:v>Greece</c:v>
                </c:pt>
                <c:pt idx="27">
                  <c:v>Romania</c:v>
                </c:pt>
                <c:pt idx="28">
                  <c:v>Bulgaria</c:v>
                </c:pt>
              </c:strCache>
            </c:strRef>
          </c:cat>
          <c:val>
            <c:numRef>
              <c:f>C_ENG!$C$586:$C$614</c:f>
              <c:numCache>
                <c:formatCode>0%</c:formatCode>
                <c:ptCount val="29"/>
                <c:pt idx="0">
                  <c:v>0.56803700000000001</c:v>
                </c:pt>
                <c:pt idx="1">
                  <c:v>0.65059100000000003</c:v>
                </c:pt>
                <c:pt idx="2">
                  <c:v>0.66454500000000005</c:v>
                </c:pt>
                <c:pt idx="3">
                  <c:v>0.56689400000000001</c:v>
                </c:pt>
                <c:pt idx="4">
                  <c:v>0.52593599999999996</c:v>
                </c:pt>
                <c:pt idx="5">
                  <c:v>0.45614700000000002</c:v>
                </c:pt>
                <c:pt idx="6">
                  <c:v>0.321766</c:v>
                </c:pt>
                <c:pt idx="7">
                  <c:v>0.34764600000000001</c:v>
                </c:pt>
                <c:pt idx="8">
                  <c:v>0.34269899999999998</c:v>
                </c:pt>
                <c:pt idx="9">
                  <c:v>0.27844099999999999</c:v>
                </c:pt>
                <c:pt idx="10">
                  <c:v>0.245945</c:v>
                </c:pt>
                <c:pt idx="11">
                  <c:v>0.29746600000000001</c:v>
                </c:pt>
                <c:pt idx="12">
                  <c:v>0.115443</c:v>
                </c:pt>
                <c:pt idx="13">
                  <c:v>0.20959900000000001</c:v>
                </c:pt>
                <c:pt idx="14">
                  <c:v>0.35452800000000001</c:v>
                </c:pt>
                <c:pt idx="15">
                  <c:v>0.252716</c:v>
                </c:pt>
                <c:pt idx="16">
                  <c:v>0.15190100000000001</c:v>
                </c:pt>
                <c:pt idx="17">
                  <c:v>0.21845000000000001</c:v>
                </c:pt>
                <c:pt idx="18">
                  <c:v>0.15889400000000001</c:v>
                </c:pt>
                <c:pt idx="19">
                  <c:v>0.12793099999999999</c:v>
                </c:pt>
                <c:pt idx="20">
                  <c:v>0.19133800000000001</c:v>
                </c:pt>
                <c:pt idx="21">
                  <c:v>0.114236</c:v>
                </c:pt>
                <c:pt idx="22">
                  <c:v>9.0319999999999998E-2</c:v>
                </c:pt>
                <c:pt idx="23">
                  <c:v>0.116658</c:v>
                </c:pt>
                <c:pt idx="24">
                  <c:v>0.118797</c:v>
                </c:pt>
                <c:pt idx="25">
                  <c:v>0.11928800000000001</c:v>
                </c:pt>
                <c:pt idx="26">
                  <c:v>3.9031999999999997E-2</c:v>
                </c:pt>
                <c:pt idx="27">
                  <c:v>1.6853E-2</c:v>
                </c:pt>
                <c:pt idx="28">
                  <c:v>1.6563999999999999E-2</c:v>
                </c:pt>
              </c:numCache>
            </c:numRef>
          </c:val>
          <c:extLst>
            <c:ext xmlns:c16="http://schemas.microsoft.com/office/drawing/2014/chart" uri="{C3380CC4-5D6E-409C-BE32-E72D297353CC}">
              <c16:uniqueId val="{00000016-3C89-4C0C-9A90-4AB3D23AE3B5}"/>
            </c:ext>
          </c:extLst>
        </c:ser>
        <c:dLbls>
          <c:showLegendKey val="0"/>
          <c:showVal val="0"/>
          <c:showCatName val="0"/>
          <c:showSerName val="0"/>
          <c:showPercent val="0"/>
          <c:showBubbleSize val="0"/>
        </c:dLbls>
        <c:gapWidth val="199"/>
        <c:axId val="179446784"/>
        <c:axId val="178204608"/>
      </c:barChart>
      <c:catAx>
        <c:axId val="177103360"/>
        <c:scaling>
          <c:orientation val="minMax"/>
        </c:scaling>
        <c:delete val="0"/>
        <c:axPos val="b"/>
        <c:numFmt formatCode="General" sourceLinked="0"/>
        <c:majorTickMark val="out"/>
        <c:minorTickMark val="none"/>
        <c:tickLblPos val="nextTo"/>
        <c:spPr>
          <a:ln w="3175">
            <a:solidFill>
              <a:schemeClr val="tx1"/>
            </a:solidFill>
          </a:ln>
        </c:spPr>
        <c:crossAx val="178204032"/>
        <c:crosses val="autoZero"/>
        <c:auto val="1"/>
        <c:lblAlgn val="ctr"/>
        <c:lblOffset val="100"/>
        <c:noMultiLvlLbl val="0"/>
      </c:catAx>
      <c:valAx>
        <c:axId val="178204032"/>
        <c:scaling>
          <c:orientation val="minMax"/>
          <c:max val="1"/>
          <c:min val="0"/>
        </c:scaling>
        <c:delete val="1"/>
        <c:axPos val="l"/>
        <c:numFmt formatCode="0%" sourceLinked="1"/>
        <c:majorTickMark val="out"/>
        <c:minorTickMark val="none"/>
        <c:tickLblPos val="nextTo"/>
        <c:crossAx val="177103360"/>
        <c:crosses val="autoZero"/>
        <c:crossBetween val="between"/>
        <c:majorUnit val="0.1"/>
        <c:minorUnit val="0.1"/>
      </c:valAx>
      <c:valAx>
        <c:axId val="178204608"/>
        <c:scaling>
          <c:orientation val="minMax"/>
          <c:max val="1"/>
          <c:min val="0"/>
        </c:scaling>
        <c:delete val="1"/>
        <c:axPos val="r"/>
        <c:numFmt formatCode="0%" sourceLinked="1"/>
        <c:majorTickMark val="out"/>
        <c:minorTickMark val="none"/>
        <c:tickLblPos val="nextTo"/>
        <c:crossAx val="179446784"/>
        <c:crosses val="max"/>
        <c:crossBetween val="between"/>
      </c:valAx>
      <c:catAx>
        <c:axId val="179446784"/>
        <c:scaling>
          <c:orientation val="minMax"/>
        </c:scaling>
        <c:delete val="1"/>
        <c:axPos val="b"/>
        <c:numFmt formatCode="General" sourceLinked="0"/>
        <c:majorTickMark val="out"/>
        <c:minorTickMark val="none"/>
        <c:tickLblPos val="nextTo"/>
        <c:crossAx val="17820460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5875098039215703"/>
          <c:y val="0.16495286689611499"/>
          <c:w val="8.4112908496732003E-2"/>
          <c:h val="0.114331512190426"/>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CE"/>
                <a:ea typeface="Arial CE"/>
                <a:cs typeface="Arial CE"/>
              </a:defRPr>
            </a:pPr>
            <a:r>
              <a:rPr lang="cs-CZ" sz="800" b="1" i="0" baseline="0">
                <a:effectLst/>
              </a:rPr>
              <a:t>Figure C31 Individuals in the Czech Republic aged 16+ purchasing over the internet</a:t>
            </a:r>
            <a:endParaRPr lang="en-US" sz="800" b="1"/>
          </a:p>
        </c:rich>
      </c:tx>
      <c:layout>
        <c:manualLayout>
          <c:xMode val="edge"/>
          <c:yMode val="edge"/>
          <c:x val="0.15395381526104401"/>
          <c:y val="2.6654320987654401E-2"/>
        </c:manualLayout>
      </c:layout>
      <c:overlay val="1"/>
    </c:title>
    <c:autoTitleDeleted val="0"/>
    <c:plotArea>
      <c:layout>
        <c:manualLayout>
          <c:layoutTarget val="inner"/>
          <c:xMode val="edge"/>
          <c:yMode val="edge"/>
          <c:x val="1.38135167981066E-2"/>
          <c:y val="0.12904148148148201"/>
          <c:w val="0.96948369216085795"/>
          <c:h val="0.70402592592592494"/>
        </c:manualLayout>
      </c:layout>
      <c:barChart>
        <c:barDir val="col"/>
        <c:grouping val="clustered"/>
        <c:varyColors val="0"/>
        <c:ser>
          <c:idx val="2"/>
          <c:order val="0"/>
          <c:tx>
            <c:strRef>
              <c:f>C_ENG!$D$621</c:f>
              <c:strCache>
                <c:ptCount val="1"/>
                <c:pt idx="0">
                  <c:v> Millions</c:v>
                </c:pt>
              </c:strCache>
            </c:strRef>
          </c:tx>
          <c:spPr>
            <a:solidFill>
              <a:srgbClr val="009BB4"/>
            </a:solidFill>
            <a:ln w="25400">
              <a:noFill/>
            </a:ln>
          </c:spPr>
          <c:invertIfNegative val="0"/>
          <c:dLbls>
            <c:dLbl>
              <c:idx val="0"/>
              <c:numFmt formatCode="#,##0.0" sourceLinked="0"/>
              <c:spPr/>
              <c:txPr>
                <a:bodyPr/>
                <a:lstStyle/>
                <a:p>
                  <a:pPr>
                    <a:defRPr b="1">
                      <a:solidFill>
                        <a:sysClr val="windowText" lastClr="000000"/>
                      </a:solidFill>
                    </a:defRPr>
                  </a:pPr>
                  <a:endParaRPr lang="cs-CZ"/>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89-4C97-9334-0C49963C1D4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89-4C97-9334-0C49963C1D4D}"/>
                </c:ext>
              </c:extLst>
            </c:dLbl>
            <c:numFmt formatCode="#,##0.0" sourceLinked="0"/>
            <c:spPr>
              <a:noFill/>
              <a:ln>
                <a:noFill/>
              </a:ln>
              <a:effectLst/>
            </c:spPr>
            <c:txPr>
              <a:bodyPr/>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C_ENG!$E$620:$K$620</c:f>
              <c:numCache>
                <c:formatCode>0</c:formatCode>
                <c:ptCount val="7"/>
                <c:pt idx="0">
                  <c:v>2005</c:v>
                </c:pt>
                <c:pt idx="1">
                  <c:v>2007</c:v>
                </c:pt>
                <c:pt idx="2">
                  <c:v>2009</c:v>
                </c:pt>
                <c:pt idx="3">
                  <c:v>2011</c:v>
                </c:pt>
                <c:pt idx="4">
                  <c:v>2013</c:v>
                </c:pt>
                <c:pt idx="5">
                  <c:v>2015</c:v>
                </c:pt>
                <c:pt idx="6">
                  <c:v>2017</c:v>
                </c:pt>
              </c:numCache>
            </c:numRef>
          </c:cat>
          <c:val>
            <c:numRef>
              <c:f>C_ENG!$E$621:$K$621</c:f>
              <c:numCache>
                <c:formatCode>#,##0.0</c:formatCode>
                <c:ptCount val="7"/>
                <c:pt idx="0">
                  <c:v>0.47589966372599901</c:v>
                </c:pt>
                <c:pt idx="1">
                  <c:v>1.3312421759300039</c:v>
                </c:pt>
                <c:pt idx="2">
                  <c:v>1.9503761920610001</c:v>
                </c:pt>
                <c:pt idx="3">
                  <c:v>2.4687649999999999</c:v>
                </c:pt>
                <c:pt idx="4">
                  <c:v>2.9576641488246902</c:v>
                </c:pt>
                <c:pt idx="5" formatCode="0.0">
                  <c:v>3.6718000000000002</c:v>
                </c:pt>
                <c:pt idx="6" formatCode="0.0">
                  <c:v>4.4785634698510899</c:v>
                </c:pt>
              </c:numCache>
            </c:numRef>
          </c:val>
          <c:extLst>
            <c:ext xmlns:c16="http://schemas.microsoft.com/office/drawing/2014/chart" uri="{C3380CC4-5D6E-409C-BE32-E72D297353CC}">
              <c16:uniqueId val="{00000002-1189-4C97-9334-0C49963C1D4D}"/>
            </c:ext>
          </c:extLst>
        </c:ser>
        <c:dLbls>
          <c:showLegendKey val="0"/>
          <c:showVal val="0"/>
          <c:showCatName val="0"/>
          <c:showSerName val="0"/>
          <c:showPercent val="0"/>
          <c:showBubbleSize val="0"/>
        </c:dLbls>
        <c:gapWidth val="50"/>
        <c:axId val="178293248"/>
        <c:axId val="178206336"/>
      </c:barChart>
      <c:lineChart>
        <c:grouping val="standard"/>
        <c:varyColors val="0"/>
        <c:ser>
          <c:idx val="0"/>
          <c:order val="1"/>
          <c:tx>
            <c:strRef>
              <c:f>C_ENG!$D$622</c:f>
              <c:strCache>
                <c:ptCount val="1"/>
                <c:pt idx="0">
                  <c:v> % of all individuals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5.65133477633478E-2"/>
                  <c:y val="-5.95316526399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89-4C97-9334-0C49963C1D4D}"/>
                </c:ext>
              </c:extLst>
            </c:dLbl>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C_ENG!$E$620:$K$620</c:f>
              <c:numCache>
                <c:formatCode>0</c:formatCode>
                <c:ptCount val="7"/>
                <c:pt idx="0">
                  <c:v>2005</c:v>
                </c:pt>
                <c:pt idx="1">
                  <c:v>2007</c:v>
                </c:pt>
                <c:pt idx="2">
                  <c:v>2009</c:v>
                </c:pt>
                <c:pt idx="3">
                  <c:v>2011</c:v>
                </c:pt>
                <c:pt idx="4">
                  <c:v>2013</c:v>
                </c:pt>
                <c:pt idx="5">
                  <c:v>2015</c:v>
                </c:pt>
                <c:pt idx="6">
                  <c:v>2017</c:v>
                </c:pt>
              </c:numCache>
            </c:numRef>
          </c:cat>
          <c:val>
            <c:numRef>
              <c:f>C_ENG!$E$622:$K$622</c:f>
              <c:numCache>
                <c:formatCode>0.0%</c:formatCode>
                <c:ptCount val="7"/>
                <c:pt idx="0">
                  <c:v>5.4749756363022303E-2</c:v>
                </c:pt>
                <c:pt idx="1">
                  <c:v>0.15284036510472901</c:v>
                </c:pt>
                <c:pt idx="2">
                  <c:v>0.21950985047774299</c:v>
                </c:pt>
                <c:pt idx="3">
                  <c:v>0.27957690517975398</c:v>
                </c:pt>
                <c:pt idx="4">
                  <c:v>0.33640715812541899</c:v>
                </c:pt>
                <c:pt idx="5">
                  <c:v>0.41899999999999998</c:v>
                </c:pt>
                <c:pt idx="6">
                  <c:v>0.51156092717135704</c:v>
                </c:pt>
              </c:numCache>
            </c:numRef>
          </c:val>
          <c:smooth val="0"/>
          <c:extLst>
            <c:ext xmlns:c16="http://schemas.microsoft.com/office/drawing/2014/chart" uri="{C3380CC4-5D6E-409C-BE32-E72D297353CC}">
              <c16:uniqueId val="{00000004-1189-4C97-9334-0C49963C1D4D}"/>
            </c:ext>
          </c:extLst>
        </c:ser>
        <c:ser>
          <c:idx val="1"/>
          <c:order val="2"/>
          <c:tx>
            <c:strRef>
              <c:f>C_ENG!$D$623</c:f>
              <c:strCache>
                <c:ptCount val="1"/>
                <c:pt idx="0">
                  <c:v> % of internet users</c:v>
                </c:pt>
              </c:strCache>
            </c:strRef>
          </c:tx>
          <c:spPr>
            <a:ln w="19050">
              <a:solidFill>
                <a:srgbClr val="007D92"/>
              </a:solidFill>
            </a:ln>
          </c:spPr>
          <c:marker>
            <c:symbol val="circle"/>
            <c:size val="4"/>
            <c:spPr>
              <a:solidFill>
                <a:srgbClr val="47E5FF"/>
              </a:solidFill>
              <a:ln>
                <a:solidFill>
                  <a:srgbClr val="007D92"/>
                </a:solidFill>
              </a:ln>
            </c:spPr>
          </c:marker>
          <c:dLbls>
            <c:numFmt formatCode="0%" sourceLinked="0"/>
            <c:spPr>
              <a:noFill/>
              <a:ln>
                <a:noFill/>
              </a:ln>
              <a:effectLst/>
            </c:spPr>
            <c:txPr>
              <a:bodyPr/>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C_ENG!$E$620:$K$620</c:f>
              <c:numCache>
                <c:formatCode>0</c:formatCode>
                <c:ptCount val="7"/>
                <c:pt idx="0">
                  <c:v>2005</c:v>
                </c:pt>
                <c:pt idx="1">
                  <c:v>2007</c:v>
                </c:pt>
                <c:pt idx="2">
                  <c:v>2009</c:v>
                </c:pt>
                <c:pt idx="3">
                  <c:v>2011</c:v>
                </c:pt>
                <c:pt idx="4">
                  <c:v>2013</c:v>
                </c:pt>
                <c:pt idx="5">
                  <c:v>2015</c:v>
                </c:pt>
                <c:pt idx="6">
                  <c:v>2017</c:v>
                </c:pt>
              </c:numCache>
            </c:numRef>
          </c:cat>
          <c:val>
            <c:numRef>
              <c:f>C_ENG!$E$623:$K$623</c:f>
              <c:numCache>
                <c:formatCode>0.0%</c:formatCode>
                <c:ptCount val="7"/>
                <c:pt idx="0">
                  <c:v>0.17052970567088499</c:v>
                </c:pt>
                <c:pt idx="1">
                  <c:v>0.339498796927588</c:v>
                </c:pt>
                <c:pt idx="2">
                  <c:v>0.39239677743345802</c:v>
                </c:pt>
                <c:pt idx="3">
                  <c:v>0.42713608702294498</c:v>
                </c:pt>
                <c:pt idx="4">
                  <c:v>0.48907070061187702</c:v>
                </c:pt>
                <c:pt idx="5">
                  <c:v>0.55311037593368795</c:v>
                </c:pt>
                <c:pt idx="6">
                  <c:v>0.64985562791415896</c:v>
                </c:pt>
              </c:numCache>
            </c:numRef>
          </c:val>
          <c:smooth val="0"/>
          <c:extLst>
            <c:ext xmlns:c16="http://schemas.microsoft.com/office/drawing/2014/chart" uri="{C3380CC4-5D6E-409C-BE32-E72D297353CC}">
              <c16:uniqueId val="{00000005-1189-4C97-9334-0C49963C1D4D}"/>
            </c:ext>
          </c:extLst>
        </c:ser>
        <c:dLbls>
          <c:showLegendKey val="0"/>
          <c:showVal val="0"/>
          <c:showCatName val="0"/>
          <c:showSerName val="0"/>
          <c:showPercent val="0"/>
          <c:showBubbleSize val="0"/>
        </c:dLbls>
        <c:marker val="1"/>
        <c:smooth val="0"/>
        <c:axId val="179448832"/>
        <c:axId val="178206912"/>
      </c:lineChart>
      <c:catAx>
        <c:axId val="178293248"/>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78206336"/>
        <c:crosses val="autoZero"/>
        <c:auto val="1"/>
        <c:lblAlgn val="ctr"/>
        <c:lblOffset val="140"/>
        <c:tickLblSkip val="1"/>
        <c:tickMarkSkip val="1"/>
        <c:noMultiLvlLbl val="0"/>
      </c:catAx>
      <c:valAx>
        <c:axId val="178206336"/>
        <c:scaling>
          <c:orientation val="minMax"/>
          <c:max val="8"/>
          <c:min val="0"/>
        </c:scaling>
        <c:delete val="0"/>
        <c:axPos val="l"/>
        <c:majorGridlines>
          <c:spPr>
            <a:ln w="12700">
              <a:noFill/>
              <a:prstDash val="dash"/>
            </a:ln>
          </c:spPr>
        </c:majorGridlines>
        <c:numFmt formatCode="#,##0.0" sourceLinked="1"/>
        <c:majorTickMark val="none"/>
        <c:minorTickMark val="none"/>
        <c:tickLblPos val="none"/>
        <c:spPr>
          <a:ln w="9525">
            <a:noFill/>
          </a:ln>
        </c:spPr>
        <c:crossAx val="178293248"/>
        <c:crosses val="autoZero"/>
        <c:crossBetween val="between"/>
        <c:majorUnit val="1"/>
        <c:minorUnit val="0.02"/>
      </c:valAx>
      <c:catAx>
        <c:axId val="179448832"/>
        <c:scaling>
          <c:orientation val="minMax"/>
        </c:scaling>
        <c:delete val="1"/>
        <c:axPos val="b"/>
        <c:numFmt formatCode="0" sourceLinked="1"/>
        <c:majorTickMark val="out"/>
        <c:minorTickMark val="none"/>
        <c:tickLblPos val="none"/>
        <c:crossAx val="178206912"/>
        <c:crosses val="autoZero"/>
        <c:auto val="1"/>
        <c:lblAlgn val="ctr"/>
        <c:lblOffset val="100"/>
        <c:noMultiLvlLbl val="0"/>
      </c:catAx>
      <c:valAx>
        <c:axId val="178206912"/>
        <c:scaling>
          <c:orientation val="minMax"/>
          <c:max val="0.8"/>
          <c:min val="0"/>
        </c:scaling>
        <c:delete val="0"/>
        <c:axPos val="r"/>
        <c:numFmt formatCode="0.0%" sourceLinked="1"/>
        <c:majorTickMark val="none"/>
        <c:minorTickMark val="none"/>
        <c:tickLblPos val="none"/>
        <c:spPr>
          <a:ln>
            <a:solidFill>
              <a:schemeClr val="bg1">
                <a:lumMod val="65000"/>
              </a:schemeClr>
            </a:solidFill>
          </a:ln>
        </c:spPr>
        <c:crossAx val="179448832"/>
        <c:crosses val="max"/>
        <c:crossBetween val="between"/>
        <c:majorUnit val="0.05"/>
        <c:minorUnit val="0.01"/>
      </c:valAx>
      <c:spPr>
        <a:noFill/>
        <a:ln w="12700">
          <a:solidFill>
            <a:srgbClr val="A6A6A6"/>
          </a:solidFill>
          <a:prstDash val="solid"/>
        </a:ln>
      </c:spPr>
    </c:plotArea>
    <c:legend>
      <c:legendPos val="l"/>
      <c:legendEntry>
        <c:idx val="1"/>
        <c:txPr>
          <a:bodyPr/>
          <a:lstStyle/>
          <a:p>
            <a:pPr>
              <a:defRPr i="0"/>
            </a:pPr>
            <a:endParaRPr lang="cs-CZ"/>
          </a:p>
        </c:txPr>
      </c:legendEntry>
      <c:legendEntry>
        <c:idx val="2"/>
        <c:txPr>
          <a:bodyPr/>
          <a:lstStyle/>
          <a:p>
            <a:pPr>
              <a:defRPr i="0"/>
            </a:pPr>
            <a:endParaRPr lang="cs-CZ"/>
          </a:p>
        </c:txPr>
      </c:legendEntry>
      <c:layout>
        <c:manualLayout>
          <c:xMode val="edge"/>
          <c:yMode val="edge"/>
          <c:x val="2.7864159891598898E-2"/>
          <c:y val="0.150013580246914"/>
          <c:w val="0.52594579945799502"/>
          <c:h val="0.133434259259259"/>
        </c:manualLayout>
      </c:layout>
      <c:overlay val="0"/>
      <c:spPr>
        <a:ln>
          <a:solidFill>
            <a:schemeClr val="bg1">
              <a:lumMod val="65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cs-CZ" sz="800" b="1" baseline="0"/>
              <a:t> C32</a:t>
            </a:r>
            <a:r>
              <a:rPr lang="cs-CZ" sz="800" b="1"/>
              <a:t> Individuals in the Czech</a:t>
            </a:r>
            <a:r>
              <a:rPr lang="cs-CZ" sz="800" b="1" baseline="0"/>
              <a:t> Republic </a:t>
            </a:r>
            <a:r>
              <a:rPr lang="cs-CZ" sz="800" b="1"/>
              <a:t>purchasing over the internet;</a:t>
            </a:r>
            <a:r>
              <a:rPr lang="cs-CZ" sz="800" b="1" baseline="0"/>
              <a:t> 2017</a:t>
            </a:r>
            <a:r>
              <a:rPr lang="cs-CZ" sz="800" b="1"/>
              <a:t> (%)</a:t>
            </a:r>
            <a:endParaRPr lang="en-US" sz="800" b="1"/>
          </a:p>
        </c:rich>
      </c:tx>
      <c:layout>
        <c:manualLayout>
          <c:xMode val="edge"/>
          <c:yMode val="edge"/>
          <c:x val="0.222765325670498"/>
          <c:y val="2.3031028417024899E-2"/>
        </c:manualLayout>
      </c:layout>
      <c:overlay val="1"/>
    </c:title>
    <c:autoTitleDeleted val="0"/>
    <c:plotArea>
      <c:layout>
        <c:manualLayout>
          <c:layoutTarget val="inner"/>
          <c:xMode val="edge"/>
          <c:yMode val="edge"/>
          <c:x val="0.23021660052910101"/>
          <c:y val="0.11672027777777801"/>
          <c:w val="0.72959259259259301"/>
          <c:h val="0.76690709876543295"/>
        </c:manualLayout>
      </c:layout>
      <c:barChart>
        <c:barDir val="bar"/>
        <c:grouping val="clustered"/>
        <c:varyColors val="0"/>
        <c:ser>
          <c:idx val="0"/>
          <c:order val="0"/>
          <c:tx>
            <c:strRef>
              <c:f>C_ENG!$E$638</c:f>
              <c:strCache>
                <c:ptCount val="1"/>
                <c:pt idx="0">
                  <c:v> % of internet users</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C_ENG!$D$639:$D$649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C_ENG!$E$639:$E$649</c:f>
              <c:numCache>
                <c:formatCode>0%</c:formatCode>
                <c:ptCount val="11"/>
                <c:pt idx="0">
                  <c:v>0.37545453166937098</c:v>
                </c:pt>
                <c:pt idx="1">
                  <c:v>0.51349909670536498</c:v>
                </c:pt>
                <c:pt idx="2">
                  <c:v>0.61430397399870096</c:v>
                </c:pt>
                <c:pt idx="3">
                  <c:v>0.73195221975334401</c:v>
                </c:pt>
                <c:pt idx="4">
                  <c:v>0.81981907708133195</c:v>
                </c:pt>
                <c:pt idx="5">
                  <c:v>0.70530804636325495</c:v>
                </c:pt>
                <c:pt idx="7">
                  <c:v>0.66340564273605096</c:v>
                </c:pt>
                <c:pt idx="8">
                  <c:v>0.65072433263636897</c:v>
                </c:pt>
                <c:pt idx="10">
                  <c:v>0.64968791791877201</c:v>
                </c:pt>
              </c:numCache>
            </c:numRef>
          </c:val>
          <c:extLst>
            <c:ext xmlns:c16="http://schemas.microsoft.com/office/drawing/2014/chart" uri="{C3380CC4-5D6E-409C-BE32-E72D297353CC}">
              <c16:uniqueId val="{00000000-937D-4C15-8268-E65BB0FF7ED8}"/>
            </c:ext>
          </c:extLst>
        </c:ser>
        <c:ser>
          <c:idx val="1"/>
          <c:order val="1"/>
          <c:tx>
            <c:strRef>
              <c:f>C_ENG!$F$638</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7D-4C15-8268-E65BB0FF7ED8}"/>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7D-4C15-8268-E65BB0FF7ED8}"/>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C_ENG!$D$639:$D$649</c:f>
              <c:strCache>
                <c:ptCount val="11"/>
                <c:pt idx="0">
                  <c:v>  65+</c:v>
                </c:pt>
                <c:pt idx="1">
                  <c:v>  55–64</c:v>
                </c:pt>
                <c:pt idx="2">
                  <c:v>  45–54</c:v>
                </c:pt>
                <c:pt idx="3">
                  <c:v>  35–44</c:v>
                </c:pt>
                <c:pt idx="4">
                  <c:v>  25–34</c:v>
                </c:pt>
                <c:pt idx="5">
                  <c:v>  16–24</c:v>
                </c:pt>
                <c:pt idx="7">
                  <c:v>Females</c:v>
                </c:pt>
                <c:pt idx="8">
                  <c:v>Males</c:v>
                </c:pt>
                <c:pt idx="10">
                  <c:v>Total</c:v>
                </c:pt>
              </c:strCache>
            </c:strRef>
          </c:cat>
          <c:val>
            <c:numRef>
              <c:f>C_ENG!$F$639:$F$649</c:f>
              <c:numCache>
                <c:formatCode>0%</c:formatCode>
                <c:ptCount val="11"/>
                <c:pt idx="0">
                  <c:v>0.126814996528298</c:v>
                </c:pt>
                <c:pt idx="1">
                  <c:v>0.386139235812058</c:v>
                </c:pt>
                <c:pt idx="2">
                  <c:v>0.56212544180025104</c:v>
                </c:pt>
                <c:pt idx="3">
                  <c:v>0.70900218987802499</c:v>
                </c:pt>
                <c:pt idx="4">
                  <c:v>0.79054157543648296</c:v>
                </c:pt>
                <c:pt idx="5">
                  <c:v>0.69826803871735699</c:v>
                </c:pt>
                <c:pt idx="7">
                  <c:v>0.50314063319075897</c:v>
                </c:pt>
                <c:pt idx="8">
                  <c:v>0.52981857055877801</c:v>
                </c:pt>
                <c:pt idx="10">
                  <c:v>0.51156092717135704</c:v>
                </c:pt>
              </c:numCache>
            </c:numRef>
          </c:val>
          <c:extLst>
            <c:ext xmlns:c16="http://schemas.microsoft.com/office/drawing/2014/chart" uri="{C3380CC4-5D6E-409C-BE32-E72D297353CC}">
              <c16:uniqueId val="{00000003-937D-4C15-8268-E65BB0FF7ED8}"/>
            </c:ext>
          </c:extLst>
        </c:ser>
        <c:dLbls>
          <c:showLegendKey val="0"/>
          <c:showVal val="0"/>
          <c:showCatName val="0"/>
          <c:showSerName val="0"/>
          <c:showPercent val="0"/>
          <c:showBubbleSize val="0"/>
        </c:dLbls>
        <c:gapWidth val="30"/>
        <c:axId val="178294272"/>
        <c:axId val="179208192"/>
      </c:barChart>
      <c:catAx>
        <c:axId val="178294272"/>
        <c:scaling>
          <c:orientation val="minMax"/>
        </c:scaling>
        <c:delete val="0"/>
        <c:axPos val="l"/>
        <c:numFmt formatCode="General" sourceLinked="1"/>
        <c:majorTickMark val="out"/>
        <c:minorTickMark val="none"/>
        <c:tickLblPos val="nextTo"/>
        <c:spPr>
          <a:ln w="3175">
            <a:solidFill>
              <a:schemeClr val="tx1"/>
            </a:solidFill>
          </a:ln>
        </c:spPr>
        <c:crossAx val="179208192"/>
        <c:crosses val="autoZero"/>
        <c:auto val="1"/>
        <c:lblAlgn val="ctr"/>
        <c:lblOffset val="100"/>
        <c:noMultiLvlLbl val="0"/>
      </c:catAx>
      <c:valAx>
        <c:axId val="179208192"/>
        <c:scaling>
          <c:orientation val="minMax"/>
          <c:max val="1"/>
        </c:scaling>
        <c:delete val="0"/>
        <c:axPos val="b"/>
        <c:numFmt formatCode="0%" sourceLinked="1"/>
        <c:majorTickMark val="none"/>
        <c:minorTickMark val="none"/>
        <c:tickLblPos val="none"/>
        <c:crossAx val="178294272"/>
        <c:crosses val="autoZero"/>
        <c:crossBetween val="between"/>
        <c:majorUnit val="0.1"/>
        <c:minorUnit val="0.01"/>
      </c:valAx>
      <c:spPr>
        <a:ln w="12700">
          <a:solidFill>
            <a:schemeClr val="bg1">
              <a:lumMod val="65000"/>
            </a:schemeClr>
          </a:solidFill>
        </a:ln>
      </c:spPr>
    </c:plotArea>
    <c:legend>
      <c:legendPos val="r"/>
      <c:layout>
        <c:manualLayout>
          <c:xMode val="edge"/>
          <c:yMode val="edge"/>
          <c:x val="0.690805224867725"/>
          <c:y val="0.69567577582214002"/>
          <c:w val="0.24914417989418"/>
          <c:h val="0.17514343060058701"/>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9831649831703E-2"/>
          <c:y val="0.121882407407407"/>
          <c:w val="0.90411750841750804"/>
          <c:h val="0.58466080246913599"/>
        </c:manualLayout>
      </c:layout>
      <c:barChart>
        <c:barDir val="col"/>
        <c:grouping val="clustered"/>
        <c:varyColors val="0"/>
        <c:ser>
          <c:idx val="0"/>
          <c:order val="0"/>
          <c:tx>
            <c:strRef>
              <c:f>C_ENG!$B$655</c:f>
              <c:strCache>
                <c:ptCount val="1"/>
                <c:pt idx="0">
                  <c:v> 2017</c:v>
                </c:pt>
              </c:strCache>
            </c:strRef>
          </c:tx>
          <c:spPr>
            <a:solidFill>
              <a:srgbClr val="009BB4"/>
            </a:solidFill>
            <a:ln>
              <a:noFill/>
            </a:ln>
          </c:spPr>
          <c:invertIfNegative val="0"/>
          <c:dPt>
            <c:idx val="0"/>
            <c:invertIfNegative val="0"/>
            <c:bubble3D val="0"/>
            <c:extLst>
              <c:ext xmlns:c16="http://schemas.microsoft.com/office/drawing/2014/chart" uri="{C3380CC4-5D6E-409C-BE32-E72D297353CC}">
                <c16:uniqueId val="{00000000-1570-4291-83CC-E2F1F56AF708}"/>
              </c:ext>
            </c:extLst>
          </c:dPt>
          <c:dPt>
            <c:idx val="8"/>
            <c:invertIfNegative val="0"/>
            <c:bubble3D val="0"/>
            <c:spPr>
              <a:solidFill>
                <a:srgbClr val="009BB4"/>
              </a:solidFill>
              <a:ln w="19050">
                <a:noFill/>
              </a:ln>
            </c:spPr>
            <c:extLst>
              <c:ext xmlns:c16="http://schemas.microsoft.com/office/drawing/2014/chart" uri="{C3380CC4-5D6E-409C-BE32-E72D297353CC}">
                <c16:uniqueId val="{00000002-1570-4291-83CC-E2F1F56AF708}"/>
              </c:ext>
            </c:extLst>
          </c:dPt>
          <c:dPt>
            <c:idx val="11"/>
            <c:invertIfNegative val="0"/>
            <c:bubble3D val="0"/>
            <c:extLst>
              <c:ext xmlns:c16="http://schemas.microsoft.com/office/drawing/2014/chart" uri="{C3380CC4-5D6E-409C-BE32-E72D297353CC}">
                <c16:uniqueId val="{00000003-1570-4291-83CC-E2F1F56AF708}"/>
              </c:ext>
            </c:extLst>
          </c:dPt>
          <c:dPt>
            <c:idx val="12"/>
            <c:invertIfNegative val="0"/>
            <c:bubble3D val="0"/>
            <c:spPr>
              <a:solidFill>
                <a:srgbClr val="009BB4"/>
              </a:solidFill>
              <a:ln>
                <a:solidFill>
                  <a:srgbClr val="FF0000"/>
                </a:solidFill>
              </a:ln>
            </c:spPr>
            <c:extLst>
              <c:ext xmlns:c16="http://schemas.microsoft.com/office/drawing/2014/chart" uri="{C3380CC4-5D6E-409C-BE32-E72D297353CC}">
                <c16:uniqueId val="{00000005-1570-4291-83CC-E2F1F56AF708}"/>
              </c:ext>
            </c:extLst>
          </c:dPt>
          <c:dPt>
            <c:idx val="13"/>
            <c:invertIfNegative val="0"/>
            <c:bubble3D val="0"/>
            <c:spPr>
              <a:solidFill>
                <a:srgbClr val="009BB4"/>
              </a:solidFill>
              <a:ln w="9525">
                <a:solidFill>
                  <a:srgbClr val="FF0000"/>
                </a:solidFill>
              </a:ln>
            </c:spPr>
            <c:extLst>
              <c:ext xmlns:c16="http://schemas.microsoft.com/office/drawing/2014/chart" uri="{C3380CC4-5D6E-409C-BE32-E72D297353CC}">
                <c16:uniqueId val="{00000007-1570-4291-83CC-E2F1F56AF708}"/>
              </c:ext>
            </c:extLst>
          </c:dPt>
          <c:dPt>
            <c:idx val="15"/>
            <c:invertIfNegative val="0"/>
            <c:bubble3D val="0"/>
            <c:extLst>
              <c:ext xmlns:c16="http://schemas.microsoft.com/office/drawing/2014/chart" uri="{C3380CC4-5D6E-409C-BE32-E72D297353CC}">
                <c16:uniqueId val="{00000008-1570-4291-83CC-E2F1F56AF708}"/>
              </c:ext>
            </c:extLst>
          </c:dPt>
          <c:dPt>
            <c:idx val="17"/>
            <c:invertIfNegative val="0"/>
            <c:bubble3D val="0"/>
            <c:extLst>
              <c:ext xmlns:c16="http://schemas.microsoft.com/office/drawing/2014/chart" uri="{C3380CC4-5D6E-409C-BE32-E72D297353CC}">
                <c16:uniqueId val="{00000009-1570-4291-83CC-E2F1F56AF708}"/>
              </c:ext>
            </c:extLst>
          </c:dPt>
          <c:dPt>
            <c:idx val="28"/>
            <c:invertIfNegative val="0"/>
            <c:bubble3D val="0"/>
            <c:extLst>
              <c:ext xmlns:c16="http://schemas.microsoft.com/office/drawing/2014/chart" uri="{C3380CC4-5D6E-409C-BE32-E72D297353CC}">
                <c16:uniqueId val="{0000000A-1570-4291-83CC-E2F1F56AF708}"/>
              </c:ext>
            </c:extLst>
          </c:dPt>
          <c:dLbls>
            <c:dLbl>
              <c:idx val="27"/>
              <c:layout>
                <c:manualLayout>
                  <c:x val="-2.0751633986928102E-3"/>
                  <c:y val="-1.45312763243399E-2"/>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70-4291-83CC-E2F1F56AF708}"/>
                </c:ext>
              </c:extLst>
            </c:dLbl>
            <c:dLbl>
              <c:idx val="28"/>
              <c:layout>
                <c:manualLayout>
                  <c:x val="0"/>
                  <c:y val="-7.9863935754571694E-3"/>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70-4291-83CC-E2F1F56AF708}"/>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C_ENG!$A$656:$A$684</c:f>
              <c:strCache>
                <c:ptCount val="29"/>
                <c:pt idx="0">
                  <c:v>United Kingdom</c:v>
                </c:pt>
                <c:pt idx="1">
                  <c:v>Sweden</c:v>
                </c:pt>
                <c:pt idx="2">
                  <c:v>Denmark</c:v>
                </c:pt>
                <c:pt idx="3">
                  <c:v>Luxembourg </c:v>
                </c:pt>
                <c:pt idx="4">
                  <c:v>Netherlands</c:v>
                </c:pt>
                <c:pt idx="5">
                  <c:v>Germany</c:v>
                </c:pt>
                <c:pt idx="6">
                  <c:v>Finland</c:v>
                </c:pt>
                <c:pt idx="7">
                  <c:v>France</c:v>
                </c:pt>
                <c:pt idx="8">
                  <c:v>Austria</c:v>
                </c:pt>
                <c:pt idx="9">
                  <c:v>Belgium</c:v>
                </c:pt>
                <c:pt idx="10">
                  <c:v>Slovakia</c:v>
                </c:pt>
                <c:pt idx="11">
                  <c:v>Estonia</c:v>
                </c:pt>
                <c:pt idx="12">
                  <c:v>EU28</c:v>
                </c:pt>
                <c:pt idx="13">
                  <c:v>Czech Republic</c:v>
                </c:pt>
                <c:pt idx="14">
                  <c:v>Ireland</c:v>
                </c:pt>
                <c:pt idx="15">
                  <c:v>Malta</c:v>
                </c:pt>
                <c:pt idx="16">
                  <c:v>Spain</c:v>
                </c:pt>
                <c:pt idx="17">
                  <c:v>Slovenia</c:v>
                </c:pt>
                <c:pt idx="18">
                  <c:v>Latvia</c:v>
                </c:pt>
                <c:pt idx="19">
                  <c:v>Poland</c:v>
                </c:pt>
                <c:pt idx="20">
                  <c:v>Hungary</c:v>
                </c:pt>
                <c:pt idx="21">
                  <c:v>Lithuania</c:v>
                </c:pt>
                <c:pt idx="22">
                  <c:v>Portugal</c:v>
                </c:pt>
                <c:pt idx="23">
                  <c:v>Italy</c:v>
                </c:pt>
                <c:pt idx="24">
                  <c:v>Greece</c:v>
                </c:pt>
                <c:pt idx="25">
                  <c:v>Cyprus</c:v>
                </c:pt>
                <c:pt idx="26">
                  <c:v>Croatia</c:v>
                </c:pt>
                <c:pt idx="27">
                  <c:v>Bulgaria</c:v>
                </c:pt>
                <c:pt idx="28">
                  <c:v>Romania</c:v>
                </c:pt>
              </c:strCache>
            </c:strRef>
          </c:cat>
          <c:val>
            <c:numRef>
              <c:f>C_ENG!$B$656:$B$684</c:f>
              <c:numCache>
                <c:formatCode>0%</c:formatCode>
                <c:ptCount val="29"/>
                <c:pt idx="0">
                  <c:v>0.81986999999999999</c:v>
                </c:pt>
                <c:pt idx="1">
                  <c:v>0.80881099999999995</c:v>
                </c:pt>
                <c:pt idx="2">
                  <c:v>0.80188099999999995</c:v>
                </c:pt>
                <c:pt idx="3">
                  <c:v>0.79985099999999998</c:v>
                </c:pt>
                <c:pt idx="4">
                  <c:v>0.78903199999999996</c:v>
                </c:pt>
                <c:pt idx="5">
                  <c:v>0.748641</c:v>
                </c:pt>
                <c:pt idx="6">
                  <c:v>0.70822300000000005</c:v>
                </c:pt>
                <c:pt idx="7">
                  <c:v>0.667018</c:v>
                </c:pt>
                <c:pt idx="8">
                  <c:v>0.61564700000000006</c:v>
                </c:pt>
                <c:pt idx="9">
                  <c:v>0.59627399999999997</c:v>
                </c:pt>
                <c:pt idx="10">
                  <c:v>0.58533599999999997</c:v>
                </c:pt>
                <c:pt idx="11">
                  <c:v>0.58158500000000002</c:v>
                </c:pt>
                <c:pt idx="12">
                  <c:v>0.57455900000000004</c:v>
                </c:pt>
                <c:pt idx="13">
                  <c:v>0.55584699999999998</c:v>
                </c:pt>
                <c:pt idx="14">
                  <c:v>0.53085300000000002</c:v>
                </c:pt>
                <c:pt idx="15">
                  <c:v>0.51634000000000002</c:v>
                </c:pt>
                <c:pt idx="16">
                  <c:v>0.49860300000000002</c:v>
                </c:pt>
                <c:pt idx="17">
                  <c:v>0.45827000000000001</c:v>
                </c:pt>
                <c:pt idx="18">
                  <c:v>0.45578200000000002</c:v>
                </c:pt>
                <c:pt idx="19">
                  <c:v>0.44980700000000001</c:v>
                </c:pt>
                <c:pt idx="20">
                  <c:v>0.38557200000000003</c:v>
                </c:pt>
                <c:pt idx="21">
                  <c:v>0.38143100000000002</c:v>
                </c:pt>
                <c:pt idx="22">
                  <c:v>0.34077099999999999</c:v>
                </c:pt>
                <c:pt idx="23">
                  <c:v>0.32172800000000001</c:v>
                </c:pt>
                <c:pt idx="24">
                  <c:v>0.32057000000000002</c:v>
                </c:pt>
                <c:pt idx="25">
                  <c:v>0.319073</c:v>
                </c:pt>
                <c:pt idx="26">
                  <c:v>0.28784300000000002</c:v>
                </c:pt>
                <c:pt idx="27">
                  <c:v>0.17729700000000001</c:v>
                </c:pt>
                <c:pt idx="28">
                  <c:v>0.160608</c:v>
                </c:pt>
              </c:numCache>
            </c:numRef>
          </c:val>
          <c:extLst>
            <c:ext xmlns:c16="http://schemas.microsoft.com/office/drawing/2014/chart" uri="{C3380CC4-5D6E-409C-BE32-E72D297353CC}">
              <c16:uniqueId val="{0000000C-1570-4291-83CC-E2F1F56AF708}"/>
            </c:ext>
          </c:extLst>
        </c:ser>
        <c:dLbls>
          <c:showLegendKey val="0"/>
          <c:showVal val="0"/>
          <c:showCatName val="0"/>
          <c:showSerName val="0"/>
          <c:showPercent val="0"/>
          <c:showBubbleSize val="0"/>
        </c:dLbls>
        <c:gapWidth val="51"/>
        <c:axId val="179364352"/>
        <c:axId val="179209920"/>
      </c:barChart>
      <c:barChart>
        <c:barDir val="col"/>
        <c:grouping val="clustered"/>
        <c:varyColors val="0"/>
        <c:ser>
          <c:idx val="1"/>
          <c:order val="1"/>
          <c:tx>
            <c:strRef>
              <c:f>C_ENG!$C$655</c:f>
              <c:strCache>
                <c:ptCount val="1"/>
                <c:pt idx="0">
                  <c:v> 2007</c:v>
                </c:pt>
              </c:strCache>
            </c:strRef>
          </c:tx>
          <c:spPr>
            <a:solidFill>
              <a:srgbClr val="47E5FF"/>
            </a:solidFill>
            <a:ln>
              <a:noFill/>
            </a:ln>
          </c:spPr>
          <c:invertIfNegative val="0"/>
          <c:dPt>
            <c:idx val="0"/>
            <c:invertIfNegative val="0"/>
            <c:bubble3D val="0"/>
            <c:extLst>
              <c:ext xmlns:c16="http://schemas.microsoft.com/office/drawing/2014/chart" uri="{C3380CC4-5D6E-409C-BE32-E72D297353CC}">
                <c16:uniqueId val="{0000000D-1570-4291-83CC-E2F1F56AF708}"/>
              </c:ext>
            </c:extLst>
          </c:dPt>
          <c:dPt>
            <c:idx val="11"/>
            <c:invertIfNegative val="0"/>
            <c:bubble3D val="0"/>
            <c:extLst>
              <c:ext xmlns:c16="http://schemas.microsoft.com/office/drawing/2014/chart" uri="{C3380CC4-5D6E-409C-BE32-E72D297353CC}">
                <c16:uniqueId val="{0000000E-1570-4291-83CC-E2F1F56AF708}"/>
              </c:ext>
            </c:extLst>
          </c:dPt>
          <c:dPt>
            <c:idx val="13"/>
            <c:invertIfNegative val="0"/>
            <c:bubble3D val="0"/>
            <c:extLst>
              <c:ext xmlns:c16="http://schemas.microsoft.com/office/drawing/2014/chart" uri="{C3380CC4-5D6E-409C-BE32-E72D297353CC}">
                <c16:uniqueId val="{0000000F-1570-4291-83CC-E2F1F56AF708}"/>
              </c:ext>
            </c:extLst>
          </c:dPt>
          <c:dPt>
            <c:idx val="17"/>
            <c:invertIfNegative val="0"/>
            <c:bubble3D val="0"/>
            <c:extLst>
              <c:ext xmlns:c16="http://schemas.microsoft.com/office/drawing/2014/chart" uri="{C3380CC4-5D6E-409C-BE32-E72D297353CC}">
                <c16:uniqueId val="{00000010-1570-4291-83CC-E2F1F56AF708}"/>
              </c:ext>
            </c:extLst>
          </c:dPt>
          <c:dPt>
            <c:idx val="28"/>
            <c:invertIfNegative val="0"/>
            <c:bubble3D val="0"/>
            <c:extLst>
              <c:ext xmlns:c16="http://schemas.microsoft.com/office/drawing/2014/chart" uri="{C3380CC4-5D6E-409C-BE32-E72D297353CC}">
                <c16:uniqueId val="{00000011-1570-4291-83CC-E2F1F56AF708}"/>
              </c:ext>
            </c:extLst>
          </c:dPt>
          <c:dLbls>
            <c:dLbl>
              <c:idx val="27"/>
              <c:layout>
                <c:manualLayout>
                  <c:x val="0"/>
                  <c:y val="5.77791683714810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570-4291-83CC-E2F1F56AF708}"/>
                </c:ext>
              </c:extLst>
            </c:dLbl>
            <c:dLbl>
              <c:idx val="28"/>
              <c:layout>
                <c:manualLayout>
                  <c:x val="0"/>
                  <c:y val="1.3759817725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570-4291-83CC-E2F1F56AF708}"/>
                </c:ext>
              </c:extLst>
            </c:dLbl>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C_ENG!$A$656:$A$684</c:f>
              <c:strCache>
                <c:ptCount val="29"/>
                <c:pt idx="0">
                  <c:v>United Kingdom</c:v>
                </c:pt>
                <c:pt idx="1">
                  <c:v>Sweden</c:v>
                </c:pt>
                <c:pt idx="2">
                  <c:v>Denmark</c:v>
                </c:pt>
                <c:pt idx="3">
                  <c:v>Luxembourg </c:v>
                </c:pt>
                <c:pt idx="4">
                  <c:v>Netherlands</c:v>
                </c:pt>
                <c:pt idx="5">
                  <c:v>Germany</c:v>
                </c:pt>
                <c:pt idx="6">
                  <c:v>Finland</c:v>
                </c:pt>
                <c:pt idx="7">
                  <c:v>France</c:v>
                </c:pt>
                <c:pt idx="8">
                  <c:v>Austria</c:v>
                </c:pt>
                <c:pt idx="9">
                  <c:v>Belgium</c:v>
                </c:pt>
                <c:pt idx="10">
                  <c:v>Slovakia</c:v>
                </c:pt>
                <c:pt idx="11">
                  <c:v>Estonia</c:v>
                </c:pt>
                <c:pt idx="12">
                  <c:v>EU28</c:v>
                </c:pt>
                <c:pt idx="13">
                  <c:v>Czech Republic</c:v>
                </c:pt>
                <c:pt idx="14">
                  <c:v>Ireland</c:v>
                </c:pt>
                <c:pt idx="15">
                  <c:v>Malta</c:v>
                </c:pt>
                <c:pt idx="16">
                  <c:v>Spain</c:v>
                </c:pt>
                <c:pt idx="17">
                  <c:v>Slovenia</c:v>
                </c:pt>
                <c:pt idx="18">
                  <c:v>Latvia</c:v>
                </c:pt>
                <c:pt idx="19">
                  <c:v>Poland</c:v>
                </c:pt>
                <c:pt idx="20">
                  <c:v>Hungary</c:v>
                </c:pt>
                <c:pt idx="21">
                  <c:v>Lithuania</c:v>
                </c:pt>
                <c:pt idx="22">
                  <c:v>Portugal</c:v>
                </c:pt>
                <c:pt idx="23">
                  <c:v>Italy</c:v>
                </c:pt>
                <c:pt idx="24">
                  <c:v>Greece</c:v>
                </c:pt>
                <c:pt idx="25">
                  <c:v>Cyprus</c:v>
                </c:pt>
                <c:pt idx="26">
                  <c:v>Croatia</c:v>
                </c:pt>
                <c:pt idx="27">
                  <c:v>Bulgaria</c:v>
                </c:pt>
                <c:pt idx="28">
                  <c:v>Romania</c:v>
                </c:pt>
              </c:strCache>
            </c:strRef>
          </c:cat>
          <c:val>
            <c:numRef>
              <c:f>C_ENG!$C$656:$C$684</c:f>
              <c:numCache>
                <c:formatCode>0%</c:formatCode>
                <c:ptCount val="29"/>
                <c:pt idx="0">
                  <c:v>0.52870099999999998</c:v>
                </c:pt>
                <c:pt idx="1">
                  <c:v>0.53428900000000001</c:v>
                </c:pt>
                <c:pt idx="2">
                  <c:v>0.55699600000000005</c:v>
                </c:pt>
                <c:pt idx="3">
                  <c:v>0.46750999999999998</c:v>
                </c:pt>
                <c:pt idx="4">
                  <c:v>0.548566</c:v>
                </c:pt>
                <c:pt idx="5">
                  <c:v>0.51716300000000004</c:v>
                </c:pt>
                <c:pt idx="6">
                  <c:v>0.47941699999999998</c:v>
                </c:pt>
                <c:pt idx="7">
                  <c:v>0.339476</c:v>
                </c:pt>
                <c:pt idx="8">
                  <c:v>0.35841600000000001</c:v>
                </c:pt>
                <c:pt idx="9">
                  <c:v>0.214337</c:v>
                </c:pt>
                <c:pt idx="10">
                  <c:v>0.160195</c:v>
                </c:pt>
                <c:pt idx="11">
                  <c:v>8.5609000000000005E-2</c:v>
                </c:pt>
                <c:pt idx="12">
                  <c:v>0.29719200000000001</c:v>
                </c:pt>
                <c:pt idx="13">
                  <c:v>0.165269</c:v>
                </c:pt>
                <c:pt idx="14">
                  <c:v>0.33065600000000001</c:v>
                </c:pt>
                <c:pt idx="15">
                  <c:v>0.20328199999999999</c:v>
                </c:pt>
                <c:pt idx="16">
                  <c:v>0.18093699999999999</c:v>
                </c:pt>
                <c:pt idx="17">
                  <c:v>0.163685</c:v>
                </c:pt>
                <c:pt idx="18">
                  <c:v>0.11086799999999999</c:v>
                </c:pt>
                <c:pt idx="19">
                  <c:v>0.15670899999999999</c:v>
                </c:pt>
                <c:pt idx="20">
                  <c:v>0.110651</c:v>
                </c:pt>
                <c:pt idx="21">
                  <c:v>5.5159E-2</c:v>
                </c:pt>
                <c:pt idx="22">
                  <c:v>9.4462000000000004E-2</c:v>
                </c:pt>
                <c:pt idx="23">
                  <c:v>9.5959000000000003E-2</c:v>
                </c:pt>
                <c:pt idx="24">
                  <c:v>7.6141E-2</c:v>
                </c:pt>
                <c:pt idx="25">
                  <c:v>9.8151000000000002E-2</c:v>
                </c:pt>
                <c:pt idx="26">
                  <c:v>7.3649999999999993E-2</c:v>
                </c:pt>
                <c:pt idx="27">
                  <c:v>2.6970000000000001E-2</c:v>
                </c:pt>
                <c:pt idx="28">
                  <c:v>2.5059000000000001E-2</c:v>
                </c:pt>
              </c:numCache>
            </c:numRef>
          </c:val>
          <c:extLst>
            <c:ext xmlns:c16="http://schemas.microsoft.com/office/drawing/2014/chart" uri="{C3380CC4-5D6E-409C-BE32-E72D297353CC}">
              <c16:uniqueId val="{00000013-1570-4291-83CC-E2F1F56AF708}"/>
            </c:ext>
          </c:extLst>
        </c:ser>
        <c:dLbls>
          <c:showLegendKey val="0"/>
          <c:showVal val="0"/>
          <c:showCatName val="0"/>
          <c:showSerName val="0"/>
          <c:showPercent val="0"/>
          <c:showBubbleSize val="0"/>
        </c:dLbls>
        <c:gapWidth val="199"/>
        <c:axId val="179366912"/>
        <c:axId val="179210496"/>
      </c:barChart>
      <c:catAx>
        <c:axId val="179364352"/>
        <c:scaling>
          <c:orientation val="minMax"/>
        </c:scaling>
        <c:delete val="0"/>
        <c:axPos val="b"/>
        <c:numFmt formatCode="General" sourceLinked="0"/>
        <c:majorTickMark val="out"/>
        <c:minorTickMark val="none"/>
        <c:tickLblPos val="nextTo"/>
        <c:spPr>
          <a:ln w="3175">
            <a:solidFill>
              <a:schemeClr val="tx1"/>
            </a:solidFill>
          </a:ln>
        </c:spPr>
        <c:crossAx val="179209920"/>
        <c:crosses val="autoZero"/>
        <c:auto val="1"/>
        <c:lblAlgn val="ctr"/>
        <c:lblOffset val="100"/>
        <c:noMultiLvlLbl val="0"/>
      </c:catAx>
      <c:valAx>
        <c:axId val="179209920"/>
        <c:scaling>
          <c:orientation val="minMax"/>
          <c:max val="1"/>
          <c:min val="0"/>
        </c:scaling>
        <c:delete val="1"/>
        <c:axPos val="l"/>
        <c:numFmt formatCode="0%" sourceLinked="1"/>
        <c:majorTickMark val="out"/>
        <c:minorTickMark val="none"/>
        <c:tickLblPos val="nextTo"/>
        <c:crossAx val="179364352"/>
        <c:crosses val="autoZero"/>
        <c:crossBetween val="between"/>
        <c:majorUnit val="0.1"/>
        <c:minorUnit val="0.1"/>
      </c:valAx>
      <c:valAx>
        <c:axId val="179210496"/>
        <c:scaling>
          <c:orientation val="minMax"/>
          <c:max val="1"/>
          <c:min val="0"/>
        </c:scaling>
        <c:delete val="1"/>
        <c:axPos val="r"/>
        <c:numFmt formatCode="0%" sourceLinked="1"/>
        <c:majorTickMark val="out"/>
        <c:minorTickMark val="none"/>
        <c:tickLblPos val="nextTo"/>
        <c:crossAx val="179366912"/>
        <c:crosses val="max"/>
        <c:crossBetween val="between"/>
      </c:valAx>
      <c:catAx>
        <c:axId val="179366912"/>
        <c:scaling>
          <c:orientation val="minMax"/>
        </c:scaling>
        <c:delete val="1"/>
        <c:axPos val="b"/>
        <c:numFmt formatCode="General" sourceLinked="0"/>
        <c:majorTickMark val="out"/>
        <c:minorTickMark val="none"/>
        <c:tickLblPos val="nextTo"/>
        <c:crossAx val="17921049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5875098039215703"/>
          <c:y val="0.16495286689611499"/>
          <c:w val="8.4112908496732003E-2"/>
          <c:h val="0.114331512190426"/>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no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41633597883599"/>
          <c:y val="0.11672027777777801"/>
          <c:w val="0.72539285714285695"/>
          <c:h val="0.76690709876543295"/>
        </c:manualLayout>
      </c:layout>
      <c:barChart>
        <c:barDir val="bar"/>
        <c:grouping val="clustered"/>
        <c:varyColors val="0"/>
        <c:ser>
          <c:idx val="0"/>
          <c:order val="0"/>
          <c:tx>
            <c:strRef>
              <c:f>C_ENG!$B$687</c:f>
              <c:strCache>
                <c:ptCount val="1"/>
                <c:pt idx="0">
                  <c:v> % of individuals purchasing online</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C_ENG!$A$688:$A$698</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C_ENG!$B$688:$B$698</c:f>
              <c:numCache>
                <c:formatCode>0%</c:formatCode>
                <c:ptCount val="11"/>
                <c:pt idx="0">
                  <c:v>0.29200224532630398</c:v>
                </c:pt>
                <c:pt idx="1">
                  <c:v>0.4078752898229</c:v>
                </c:pt>
                <c:pt idx="2">
                  <c:v>0.47936431550483499</c:v>
                </c:pt>
                <c:pt idx="3">
                  <c:v>0.59685297087784805</c:v>
                </c:pt>
                <c:pt idx="4">
                  <c:v>0.61993921097106097</c:v>
                </c:pt>
                <c:pt idx="5">
                  <c:v>0.63261666079230106</c:v>
                </c:pt>
                <c:pt idx="7">
                  <c:v>0.73472078490014303</c:v>
                </c:pt>
                <c:pt idx="8">
                  <c:v>0.36195722079429099</c:v>
                </c:pt>
                <c:pt idx="10">
                  <c:v>0.54427681157603502</c:v>
                </c:pt>
              </c:numCache>
            </c:numRef>
          </c:val>
          <c:extLst>
            <c:ext xmlns:c16="http://schemas.microsoft.com/office/drawing/2014/chart" uri="{C3380CC4-5D6E-409C-BE32-E72D297353CC}">
              <c16:uniqueId val="{00000000-F078-4ADD-A9F6-0DAB1F8CDFF9}"/>
            </c:ext>
          </c:extLst>
        </c:ser>
        <c:ser>
          <c:idx val="1"/>
          <c:order val="1"/>
          <c:tx>
            <c:strRef>
              <c:f>C_ENG!$C$687</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78-4ADD-A9F6-0DAB1F8CDFF9}"/>
                </c:ext>
              </c:extLst>
            </c:dLbl>
            <c:dLbl>
              <c:idx val="1"/>
              <c:layout>
                <c:manualLayout>
                  <c:x val="-9.50255780996801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8-4ADD-A9F6-0DAB1F8CDFF9}"/>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C_ENG!$A$688:$A$698</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C_ENG!$C$688:$C$698</c:f>
              <c:numCache>
                <c:formatCode>0%</c:formatCode>
                <c:ptCount val="11"/>
                <c:pt idx="0">
                  <c:v>3.6638563508221401E-2</c:v>
                </c:pt>
                <c:pt idx="1">
                  <c:v>0.15597862341041399</c:v>
                </c:pt>
                <c:pt idx="2">
                  <c:v>0.26764298630697803</c:v>
                </c:pt>
                <c:pt idx="3">
                  <c:v>0.41882759668500402</c:v>
                </c:pt>
                <c:pt idx="4">
                  <c:v>0.47981857352461299</c:v>
                </c:pt>
                <c:pt idx="5">
                  <c:v>0.42932812656453401</c:v>
                </c:pt>
                <c:pt idx="7">
                  <c:v>0.36563240637446598</c:v>
                </c:pt>
                <c:pt idx="8">
                  <c:v>0.18911432745777901</c:v>
                </c:pt>
                <c:pt idx="10">
                  <c:v>0.27843075036770498</c:v>
                </c:pt>
              </c:numCache>
            </c:numRef>
          </c:val>
          <c:extLst>
            <c:ext xmlns:c16="http://schemas.microsoft.com/office/drawing/2014/chart" uri="{C3380CC4-5D6E-409C-BE32-E72D297353CC}">
              <c16:uniqueId val="{00000003-F078-4ADD-A9F6-0DAB1F8CDFF9}"/>
            </c:ext>
          </c:extLst>
        </c:ser>
        <c:dLbls>
          <c:showLegendKey val="0"/>
          <c:showVal val="0"/>
          <c:showCatName val="0"/>
          <c:showSerName val="0"/>
          <c:showPercent val="0"/>
          <c:showBubbleSize val="0"/>
        </c:dLbls>
        <c:gapWidth val="30"/>
        <c:axId val="179365888"/>
        <c:axId val="179212224"/>
      </c:barChart>
      <c:catAx>
        <c:axId val="179365888"/>
        <c:scaling>
          <c:orientation val="minMax"/>
        </c:scaling>
        <c:delete val="0"/>
        <c:axPos val="l"/>
        <c:numFmt formatCode="General" sourceLinked="1"/>
        <c:majorTickMark val="out"/>
        <c:minorTickMark val="none"/>
        <c:tickLblPos val="nextTo"/>
        <c:spPr>
          <a:ln w="3175">
            <a:solidFill>
              <a:schemeClr val="tx1"/>
            </a:solidFill>
          </a:ln>
        </c:spPr>
        <c:crossAx val="179212224"/>
        <c:crosses val="autoZero"/>
        <c:auto val="1"/>
        <c:lblAlgn val="ctr"/>
        <c:lblOffset val="100"/>
        <c:noMultiLvlLbl val="0"/>
      </c:catAx>
      <c:valAx>
        <c:axId val="179212224"/>
        <c:scaling>
          <c:orientation val="minMax"/>
          <c:max val="0.8"/>
        </c:scaling>
        <c:delete val="0"/>
        <c:axPos val="b"/>
        <c:numFmt formatCode="0%" sourceLinked="1"/>
        <c:majorTickMark val="none"/>
        <c:minorTickMark val="none"/>
        <c:tickLblPos val="none"/>
        <c:crossAx val="179365888"/>
        <c:crosses val="autoZero"/>
        <c:crossBetween val="between"/>
        <c:majorUnit val="0.1"/>
        <c:minorUnit val="0.05"/>
      </c:valAx>
      <c:spPr>
        <a:ln w="12700">
          <a:solidFill>
            <a:schemeClr val="bg1">
              <a:lumMod val="65000"/>
            </a:schemeClr>
          </a:solidFill>
        </a:ln>
      </c:spPr>
    </c:plotArea>
    <c:legend>
      <c:legendPos val="r"/>
      <c:layout>
        <c:manualLayout>
          <c:xMode val="edge"/>
          <c:yMode val="edge"/>
          <c:x val="0.58161210317460299"/>
          <c:y val="0.20547259533734799"/>
          <c:w val="0.36253703703703699"/>
          <c:h val="0.14769986104678093"/>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 C35 Individuals</a:t>
            </a:r>
            <a:r>
              <a:rPr lang="cs-CZ" sz="800" b="1" baseline="0"/>
              <a:t> in the Czech Republic who purchased tickets for cultural or sport events over the internet; 2017 </a:t>
            </a:r>
            <a:r>
              <a:rPr lang="cs-CZ" sz="800" b="1"/>
              <a:t>(%)</a:t>
            </a:r>
            <a:endParaRPr lang="en-US" sz="800" b="1"/>
          </a:p>
        </c:rich>
      </c:tx>
      <c:layout>
        <c:manualLayout>
          <c:xMode val="edge"/>
          <c:yMode val="edge"/>
          <c:x val="0.14716997354497369"/>
          <c:y val="1.9109464258144207E-2"/>
        </c:manualLayout>
      </c:layout>
      <c:overlay val="1"/>
    </c:title>
    <c:autoTitleDeleted val="0"/>
    <c:plotArea>
      <c:layout>
        <c:manualLayout>
          <c:layoutTarget val="inner"/>
          <c:xMode val="edge"/>
          <c:yMode val="edge"/>
          <c:x val="0.19661871693121694"/>
          <c:y val="0.15201451289177087"/>
          <c:w val="0.7715899470899471"/>
          <c:h val="0.73161309248108697"/>
        </c:manualLayout>
      </c:layout>
      <c:barChart>
        <c:barDir val="bar"/>
        <c:grouping val="clustered"/>
        <c:varyColors val="0"/>
        <c:ser>
          <c:idx val="0"/>
          <c:order val="0"/>
          <c:tx>
            <c:strRef>
              <c:f>C_ENG!$B$701</c:f>
              <c:strCache>
                <c:ptCount val="1"/>
                <c:pt idx="0">
                  <c:v> % of individuals purchasing online</c:v>
                </c:pt>
              </c:strCache>
            </c:strRef>
          </c:tx>
          <c:spPr>
            <a:solidFill>
              <a:srgbClr val="47E5FF"/>
            </a:solidFill>
          </c:spPr>
          <c:invertIfNegative val="0"/>
          <c:dLbls>
            <c:spPr>
              <a:noFill/>
              <a:ln>
                <a:noFill/>
              </a:ln>
              <a:effectLst/>
            </c:spPr>
            <c:txPr>
              <a:bodyPr/>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C_ENG!$A$702:$A$712</c:f>
              <c:strCache>
                <c:ptCount val="11"/>
                <c:pt idx="0">
                  <c:v>  65+</c:v>
                </c:pt>
                <c:pt idx="1">
                  <c:v>  55–64</c:v>
                </c:pt>
                <c:pt idx="2">
                  <c:v>  45–54</c:v>
                </c:pt>
                <c:pt idx="3">
                  <c:v>  35–44</c:v>
                </c:pt>
                <c:pt idx="4">
                  <c:v>  25–34</c:v>
                </c:pt>
                <c:pt idx="5">
                  <c:v>  16–24</c:v>
                </c:pt>
                <c:pt idx="7">
                  <c:v>Females</c:v>
                </c:pt>
                <c:pt idx="8">
                  <c:v>Males</c:v>
                </c:pt>
                <c:pt idx="10">
                  <c:v>Total</c:v>
                </c:pt>
              </c:strCache>
            </c:strRef>
          </c:cat>
          <c:val>
            <c:numRef>
              <c:f>C_ENG!$B$702:$B$712</c:f>
              <c:numCache>
                <c:formatCode>0%</c:formatCode>
                <c:ptCount val="11"/>
                <c:pt idx="0">
                  <c:v>0.17399999999999999</c:v>
                </c:pt>
                <c:pt idx="1">
                  <c:v>0.24099999999999999</c:v>
                </c:pt>
                <c:pt idx="2">
                  <c:v>0.26400000000000001</c:v>
                </c:pt>
                <c:pt idx="3">
                  <c:v>0.32300000000000001</c:v>
                </c:pt>
                <c:pt idx="4">
                  <c:v>0.40600000000000003</c:v>
                </c:pt>
                <c:pt idx="5">
                  <c:v>0.44600000000000001</c:v>
                </c:pt>
                <c:pt idx="7">
                  <c:v>0.33300000000000002</c:v>
                </c:pt>
                <c:pt idx="8">
                  <c:v>0.33100000000000002</c:v>
                </c:pt>
                <c:pt idx="10">
                  <c:v>0.33200000000000002</c:v>
                </c:pt>
              </c:numCache>
            </c:numRef>
          </c:val>
          <c:extLst>
            <c:ext xmlns:c16="http://schemas.microsoft.com/office/drawing/2014/chart" uri="{C3380CC4-5D6E-409C-BE32-E72D297353CC}">
              <c16:uniqueId val="{00000000-9251-4AF8-A24B-FA6E52A678C6}"/>
            </c:ext>
          </c:extLst>
        </c:ser>
        <c:ser>
          <c:idx val="1"/>
          <c:order val="1"/>
          <c:tx>
            <c:strRef>
              <c:f>C_ENG!$C$701</c:f>
              <c:strCache>
                <c:ptCount val="1"/>
                <c:pt idx="0">
                  <c:v> % of all individuals</c:v>
                </c:pt>
              </c:strCache>
            </c:strRef>
          </c:tx>
          <c:spPr>
            <a:solidFill>
              <a:srgbClr val="009BB4"/>
            </a:solidFill>
          </c:spPr>
          <c:invertIfNegative val="0"/>
          <c:dLbls>
            <c:dLbl>
              <c:idx val="0"/>
              <c:spPr/>
              <c:txPr>
                <a:bodyPr/>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51-4AF8-A24B-FA6E52A678C6}"/>
                </c:ext>
              </c:extLst>
            </c:dLbl>
            <c:dLbl>
              <c:idx val="1"/>
              <c:layout>
                <c:manualLayout>
                  <c:x val="-9.5025578099680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51-4AF8-A24B-FA6E52A678C6}"/>
                </c:ext>
              </c:extLst>
            </c:dLbl>
            <c:spPr>
              <a:noFill/>
              <a:ln>
                <a:noFill/>
              </a:ln>
              <a:effectLst/>
            </c:spPr>
            <c:txPr>
              <a:bodyPr/>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C_ENG!$A$702:$A$712</c:f>
              <c:strCache>
                <c:ptCount val="11"/>
                <c:pt idx="0">
                  <c:v>  65+</c:v>
                </c:pt>
                <c:pt idx="1">
                  <c:v>  55–64</c:v>
                </c:pt>
                <c:pt idx="2">
                  <c:v>  45–54</c:v>
                </c:pt>
                <c:pt idx="3">
                  <c:v>  35–44</c:v>
                </c:pt>
                <c:pt idx="4">
                  <c:v>  25–34</c:v>
                </c:pt>
                <c:pt idx="5">
                  <c:v>  16–24</c:v>
                </c:pt>
                <c:pt idx="7">
                  <c:v>Females</c:v>
                </c:pt>
                <c:pt idx="8">
                  <c:v>Males</c:v>
                </c:pt>
                <c:pt idx="10">
                  <c:v>Total</c:v>
                </c:pt>
              </c:strCache>
            </c:strRef>
          </c:cat>
          <c:val>
            <c:numRef>
              <c:f>C_ENG!$C$702:$C$712</c:f>
              <c:numCache>
                <c:formatCode>0%</c:formatCode>
                <c:ptCount val="11"/>
                <c:pt idx="0">
                  <c:v>2.2116538123228429E-2</c:v>
                </c:pt>
                <c:pt idx="1">
                  <c:v>9.2723416361964087E-2</c:v>
                </c:pt>
                <c:pt idx="2">
                  <c:v>0.14712660111003689</c:v>
                </c:pt>
                <c:pt idx="3">
                  <c:v>0.22717434227469652</c:v>
                </c:pt>
                <c:pt idx="4">
                  <c:v>0.31216668121452174</c:v>
                </c:pt>
                <c:pt idx="5">
                  <c:v>0.30133676262804665</c:v>
                </c:pt>
                <c:pt idx="7">
                  <c:v>0.16542240317711676</c:v>
                </c:pt>
                <c:pt idx="8">
                  <c:v>0.1730156444933898</c:v>
                </c:pt>
                <c:pt idx="10">
                  <c:v>0.1691</c:v>
                </c:pt>
              </c:numCache>
            </c:numRef>
          </c:val>
          <c:extLst>
            <c:ext xmlns:c16="http://schemas.microsoft.com/office/drawing/2014/chart" uri="{C3380CC4-5D6E-409C-BE32-E72D297353CC}">
              <c16:uniqueId val="{00000003-9251-4AF8-A24B-FA6E52A678C6}"/>
            </c:ext>
          </c:extLst>
        </c:ser>
        <c:dLbls>
          <c:showLegendKey val="0"/>
          <c:showVal val="0"/>
          <c:showCatName val="0"/>
          <c:showSerName val="0"/>
          <c:showPercent val="0"/>
          <c:showBubbleSize val="0"/>
        </c:dLbls>
        <c:gapWidth val="30"/>
        <c:axId val="179652096"/>
        <c:axId val="179213952"/>
      </c:barChart>
      <c:catAx>
        <c:axId val="179652096"/>
        <c:scaling>
          <c:orientation val="minMax"/>
        </c:scaling>
        <c:delete val="0"/>
        <c:axPos val="l"/>
        <c:numFmt formatCode="General" sourceLinked="1"/>
        <c:majorTickMark val="out"/>
        <c:minorTickMark val="none"/>
        <c:tickLblPos val="nextTo"/>
        <c:spPr>
          <a:ln w="3175">
            <a:solidFill>
              <a:schemeClr val="tx1"/>
            </a:solidFill>
          </a:ln>
        </c:spPr>
        <c:crossAx val="179213952"/>
        <c:crosses val="autoZero"/>
        <c:auto val="1"/>
        <c:lblAlgn val="ctr"/>
        <c:lblOffset val="100"/>
        <c:noMultiLvlLbl val="0"/>
      </c:catAx>
      <c:valAx>
        <c:axId val="179213952"/>
        <c:scaling>
          <c:orientation val="minMax"/>
          <c:max val="0.70000000000000051"/>
        </c:scaling>
        <c:delete val="0"/>
        <c:axPos val="b"/>
        <c:numFmt formatCode="0%" sourceLinked="1"/>
        <c:majorTickMark val="none"/>
        <c:minorTickMark val="none"/>
        <c:tickLblPos val="none"/>
        <c:crossAx val="179652096"/>
        <c:crosses val="autoZero"/>
        <c:crossBetween val="between"/>
        <c:majorUnit val="0.1"/>
        <c:minorUnit val="5.0000000000000024E-2"/>
      </c:valAx>
      <c:spPr>
        <a:ln w="12700">
          <a:solidFill>
            <a:schemeClr val="bg1">
              <a:lumMod val="65000"/>
            </a:schemeClr>
          </a:solidFill>
        </a:ln>
      </c:spPr>
    </c:plotArea>
    <c:legend>
      <c:legendPos val="r"/>
      <c:layout>
        <c:manualLayout>
          <c:xMode val="edge"/>
          <c:yMode val="edge"/>
          <c:x val="0.62780919312169314"/>
          <c:y val="0.20547259533734755"/>
          <c:w val="0.2995410052910053"/>
          <c:h val="0.26534691987031034"/>
        </c:manualLayout>
      </c:layout>
      <c:overlay val="0"/>
      <c:spPr>
        <a:solidFill>
          <a:schemeClr val="bg1"/>
        </a:solidFill>
        <a:ln>
          <a:solidFill>
            <a:schemeClr val="bg1">
              <a:lumMod val="50000"/>
            </a:schemeClr>
          </a:solidFill>
        </a:ln>
      </c:spPr>
    </c:legend>
    <c:plotVisOnly val="1"/>
    <c:dispBlanksAs val="gap"/>
    <c:showDLblsOverMax val="0"/>
  </c:chart>
  <c:spPr>
    <a:ln>
      <a:noFill/>
    </a:ln>
  </c:spPr>
  <c:txPr>
    <a:bodyPr/>
    <a:lstStyle/>
    <a:p>
      <a:pPr>
        <a:defRPr sz="800" b="0">
          <a:latin typeface="Arial" pitchFamily="34" charset="0"/>
          <a:cs typeface="Arial" pitchFamily="34" charset="0"/>
        </a:defRPr>
      </a:pPr>
      <a:endParaRPr lang="cs-CZ"/>
    </a:p>
  </c:txPr>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3911972541893802"/>
        </c:manualLayout>
      </c:layout>
      <c:barChart>
        <c:barDir val="col"/>
        <c:grouping val="clustered"/>
        <c:varyColors val="0"/>
        <c:ser>
          <c:idx val="0"/>
          <c:order val="0"/>
          <c:tx>
            <c:strRef>
              <c:f>D_ENG!$H$1</c:f>
              <c:strCache>
                <c:ptCount val="1"/>
                <c:pt idx="0">
                  <c:v> Local Area Network</c:v>
                </c:pt>
              </c:strCache>
            </c:strRef>
          </c:tx>
          <c:spPr>
            <a:solidFill>
              <a:srgbClr val="ABF3FF"/>
            </a:solidFill>
          </c:spPr>
          <c:invertIfNegative val="0"/>
          <c:dLbls>
            <c:numFmt formatCode="0%" sourceLinked="0"/>
            <c:spPr>
              <a:noFill/>
              <a:ln>
                <a:noFill/>
              </a:ln>
              <a:effectLst/>
            </c:spPr>
            <c:txPr>
              <a:bodyPr rot="-5400000" vert="horz"/>
              <a:lstStyle/>
              <a:p>
                <a:pPr>
                  <a:defRPr sz="800"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D_ENG!$G$2:$G$5</c:f>
              <c:strCache>
                <c:ptCount val="4"/>
                <c:pt idx="0">
                  <c:v>Total</c:v>
                </c:pt>
                <c:pt idx="1">
                  <c:v>Small</c:v>
                </c:pt>
                <c:pt idx="2">
                  <c:v>Medium</c:v>
                </c:pt>
                <c:pt idx="3">
                  <c:v>Large</c:v>
                </c:pt>
              </c:strCache>
            </c:strRef>
          </c:cat>
          <c:val>
            <c:numRef>
              <c:f>D_ENG!$H$2:$H$5</c:f>
              <c:numCache>
                <c:formatCode>0%</c:formatCode>
                <c:ptCount val="4"/>
                <c:pt idx="0">
                  <c:v>0.75</c:v>
                </c:pt>
                <c:pt idx="1">
                  <c:v>0.7</c:v>
                </c:pt>
                <c:pt idx="2">
                  <c:v>0.92</c:v>
                </c:pt>
                <c:pt idx="3">
                  <c:v>0.98</c:v>
                </c:pt>
              </c:numCache>
            </c:numRef>
          </c:val>
          <c:extLst>
            <c:ext xmlns:c16="http://schemas.microsoft.com/office/drawing/2014/chart" uri="{C3380CC4-5D6E-409C-BE32-E72D297353CC}">
              <c16:uniqueId val="{00000000-5D71-4817-9AF5-61AE12A9CB81}"/>
            </c:ext>
          </c:extLst>
        </c:ser>
        <c:ser>
          <c:idx val="1"/>
          <c:order val="1"/>
          <c:tx>
            <c:strRef>
              <c:f>D_ENG!$I$1</c:f>
              <c:strCache>
                <c:ptCount val="1"/>
                <c:pt idx="0">
                  <c:v> Intranet</c:v>
                </c:pt>
              </c:strCache>
            </c:strRef>
          </c:tx>
          <c:spPr>
            <a:solidFill>
              <a:srgbClr val="47E5FF"/>
            </a:solidFill>
          </c:spPr>
          <c:invertIfNegative val="0"/>
          <c:dLbls>
            <c:numFmt formatCode="0%" sourceLinked="0"/>
            <c:spPr>
              <a:noFill/>
              <a:ln>
                <a:noFill/>
              </a:ln>
              <a:effectLst/>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D_ENG!$G$2:$G$5</c:f>
              <c:strCache>
                <c:ptCount val="4"/>
                <c:pt idx="0">
                  <c:v>Total</c:v>
                </c:pt>
                <c:pt idx="1">
                  <c:v>Small</c:v>
                </c:pt>
                <c:pt idx="2">
                  <c:v>Medium</c:v>
                </c:pt>
                <c:pt idx="3">
                  <c:v>Large</c:v>
                </c:pt>
              </c:strCache>
            </c:strRef>
          </c:cat>
          <c:val>
            <c:numRef>
              <c:f>D_ENG!$I$2:$I$5</c:f>
              <c:numCache>
                <c:formatCode>0%</c:formatCode>
                <c:ptCount val="4"/>
                <c:pt idx="0">
                  <c:v>0.31</c:v>
                </c:pt>
                <c:pt idx="1">
                  <c:v>0.25</c:v>
                </c:pt>
                <c:pt idx="2">
                  <c:v>0.48</c:v>
                </c:pt>
                <c:pt idx="3">
                  <c:v>0.8</c:v>
                </c:pt>
              </c:numCache>
            </c:numRef>
          </c:val>
          <c:extLst>
            <c:ext xmlns:c16="http://schemas.microsoft.com/office/drawing/2014/chart" uri="{C3380CC4-5D6E-409C-BE32-E72D297353CC}">
              <c16:uniqueId val="{00000001-5D71-4817-9AF5-61AE12A9CB81}"/>
            </c:ext>
          </c:extLst>
        </c:ser>
        <c:ser>
          <c:idx val="2"/>
          <c:order val="2"/>
          <c:tx>
            <c:strRef>
              <c:f>D_ENG!$J$1</c:f>
              <c:strCache>
                <c:ptCount val="1"/>
                <c:pt idx="0">
                  <c:v> Extranet</c:v>
                </c:pt>
              </c:strCache>
            </c:strRef>
          </c:tx>
          <c:spPr>
            <a:solidFill>
              <a:srgbClr val="009BB4"/>
            </a:solidFill>
          </c:spPr>
          <c:invertIfNegative val="0"/>
          <c:dLbls>
            <c:dLbl>
              <c:idx val="0"/>
              <c:numFmt formatCode="0%" sourceLinked="0"/>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02-5D71-4817-9AF5-61AE12A9CB81}"/>
                </c:ext>
              </c:extLst>
            </c:dLbl>
            <c:dLbl>
              <c:idx val="1"/>
              <c:layout>
                <c:manualLayout>
                  <c:x val="3.6934452107939301E-3"/>
                  <c:y val="8.7308701796890806E-2"/>
                </c:manualLayout>
              </c:layout>
              <c:numFmt formatCode="0%" sourceLinked="0"/>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71-4817-9AF5-61AE12A9CB81}"/>
                </c:ext>
              </c:extLst>
            </c:dLbl>
            <c:numFmt formatCode="0%" sourceLinked="0"/>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D_ENG!$G$2:$G$5</c:f>
              <c:strCache>
                <c:ptCount val="4"/>
                <c:pt idx="0">
                  <c:v>Total</c:v>
                </c:pt>
                <c:pt idx="1">
                  <c:v>Small</c:v>
                </c:pt>
                <c:pt idx="2">
                  <c:v>Medium</c:v>
                </c:pt>
                <c:pt idx="3">
                  <c:v>Large</c:v>
                </c:pt>
              </c:strCache>
            </c:strRef>
          </c:cat>
          <c:val>
            <c:numRef>
              <c:f>D_ENG!$J$2:$J$5</c:f>
              <c:numCache>
                <c:formatCode>0%</c:formatCode>
                <c:ptCount val="4"/>
                <c:pt idx="0">
                  <c:v>0.17</c:v>
                </c:pt>
                <c:pt idx="1">
                  <c:v>0.13</c:v>
                </c:pt>
                <c:pt idx="2">
                  <c:v>0.28999999999999998</c:v>
                </c:pt>
                <c:pt idx="3">
                  <c:v>0.44</c:v>
                </c:pt>
              </c:numCache>
            </c:numRef>
          </c:val>
          <c:extLst>
            <c:ext xmlns:c16="http://schemas.microsoft.com/office/drawing/2014/chart" uri="{C3380CC4-5D6E-409C-BE32-E72D297353CC}">
              <c16:uniqueId val="{00000004-5D71-4817-9AF5-61AE12A9CB81}"/>
            </c:ext>
          </c:extLst>
        </c:ser>
        <c:dLbls>
          <c:showLegendKey val="0"/>
          <c:showVal val="1"/>
          <c:showCatName val="0"/>
          <c:showSerName val="0"/>
          <c:showPercent val="0"/>
          <c:showBubbleSize val="0"/>
        </c:dLbls>
        <c:gapWidth val="50"/>
        <c:overlap val="1"/>
        <c:axId val="179794432"/>
        <c:axId val="179215680"/>
      </c:barChart>
      <c:catAx>
        <c:axId val="179794432"/>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79215680"/>
        <c:crosses val="autoZero"/>
        <c:auto val="1"/>
        <c:lblAlgn val="ctr"/>
        <c:lblOffset val="100"/>
        <c:noMultiLvlLbl val="0"/>
      </c:catAx>
      <c:valAx>
        <c:axId val="179215680"/>
        <c:scaling>
          <c:orientation val="minMax"/>
          <c:max val="1.2"/>
          <c:min val="0"/>
        </c:scaling>
        <c:delete val="0"/>
        <c:axPos val="l"/>
        <c:numFmt formatCode="0%" sourceLinked="1"/>
        <c:majorTickMark val="none"/>
        <c:minorTickMark val="none"/>
        <c:tickLblPos val="none"/>
        <c:crossAx val="179794432"/>
        <c:crosses val="autoZero"/>
        <c:crossBetween val="between"/>
      </c:valAx>
      <c:spPr>
        <a:ln w="12700">
          <a:solidFill>
            <a:srgbClr val="A6A6A6"/>
          </a:solidFill>
        </a:ln>
      </c:spPr>
    </c:plotArea>
    <c:legend>
      <c:legendPos val="t"/>
      <c:layout>
        <c:manualLayout>
          <c:xMode val="edge"/>
          <c:yMode val="edge"/>
          <c:x val="7.98835077122209E-2"/>
          <c:y val="0.154125485445541"/>
          <c:w val="0.789660331002488"/>
          <c:h val="8.3532974667759302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2102017790762598"/>
        </c:manualLayout>
      </c:layout>
      <c:barChart>
        <c:barDir val="col"/>
        <c:grouping val="clustered"/>
        <c:varyColors val="0"/>
        <c:ser>
          <c:idx val="0"/>
          <c:order val="0"/>
          <c:tx>
            <c:strRef>
              <c:f>D_ENG!$H$13</c:f>
              <c:strCache>
                <c:ptCount val="1"/>
                <c:pt idx="0">
                  <c:v> 2007</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D_ENG!$G$14:$G$17</c:f>
              <c:strCache>
                <c:ptCount val="4"/>
                <c:pt idx="0">
                  <c:v>Total</c:v>
                </c:pt>
                <c:pt idx="1">
                  <c:v>Small</c:v>
                </c:pt>
                <c:pt idx="2">
                  <c:v>Medium</c:v>
                </c:pt>
                <c:pt idx="3">
                  <c:v>Large</c:v>
                </c:pt>
              </c:strCache>
            </c:strRef>
          </c:cat>
          <c:val>
            <c:numRef>
              <c:f>D_ENG!$H$14:$H$17</c:f>
              <c:numCache>
                <c:formatCode>0%</c:formatCode>
                <c:ptCount val="4"/>
                <c:pt idx="0">
                  <c:v>0.22</c:v>
                </c:pt>
                <c:pt idx="1">
                  <c:v>0.19</c:v>
                </c:pt>
                <c:pt idx="2">
                  <c:v>0.28999999999999998</c:v>
                </c:pt>
                <c:pt idx="3">
                  <c:v>0.52</c:v>
                </c:pt>
              </c:numCache>
            </c:numRef>
          </c:val>
          <c:extLst>
            <c:ext xmlns:c16="http://schemas.microsoft.com/office/drawing/2014/chart" uri="{C3380CC4-5D6E-409C-BE32-E72D297353CC}">
              <c16:uniqueId val="{00000000-7831-4A14-BE36-5614156DC166}"/>
            </c:ext>
          </c:extLst>
        </c:ser>
        <c:ser>
          <c:idx val="1"/>
          <c:order val="1"/>
          <c:tx>
            <c:strRef>
              <c:f>D_ENG!$I$13</c:f>
              <c:strCache>
                <c:ptCount val="1"/>
                <c:pt idx="0">
                  <c:v> 2012</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D_ENG!$G$14:$G$17</c:f>
              <c:strCache>
                <c:ptCount val="4"/>
                <c:pt idx="0">
                  <c:v>Total</c:v>
                </c:pt>
                <c:pt idx="1">
                  <c:v>Small</c:v>
                </c:pt>
                <c:pt idx="2">
                  <c:v>Medium</c:v>
                </c:pt>
                <c:pt idx="3">
                  <c:v>Large</c:v>
                </c:pt>
              </c:strCache>
            </c:strRef>
          </c:cat>
          <c:val>
            <c:numRef>
              <c:f>D_ENG!$I$14:$I$17</c:f>
              <c:numCache>
                <c:formatCode>0%</c:formatCode>
                <c:ptCount val="4"/>
                <c:pt idx="0">
                  <c:v>0.48</c:v>
                </c:pt>
                <c:pt idx="1">
                  <c:v>0.42</c:v>
                </c:pt>
                <c:pt idx="2">
                  <c:v>0.66</c:v>
                </c:pt>
                <c:pt idx="3">
                  <c:v>0.82</c:v>
                </c:pt>
              </c:numCache>
            </c:numRef>
          </c:val>
          <c:extLst>
            <c:ext xmlns:c16="http://schemas.microsoft.com/office/drawing/2014/chart" uri="{C3380CC4-5D6E-409C-BE32-E72D297353CC}">
              <c16:uniqueId val="{00000001-7831-4A14-BE36-5614156DC166}"/>
            </c:ext>
          </c:extLst>
        </c:ser>
        <c:ser>
          <c:idx val="2"/>
          <c:order val="2"/>
          <c:tx>
            <c:strRef>
              <c:f>D_ENG!$J$13</c:f>
              <c:strCache>
                <c:ptCount val="1"/>
                <c:pt idx="0">
                  <c:v> 2017</c:v>
                </c:pt>
              </c:strCache>
            </c:strRef>
          </c:tx>
          <c:spPr>
            <a:solidFill>
              <a:srgbClr val="009BB4"/>
            </a:solidFill>
          </c:spPr>
          <c:invertIfNegative val="0"/>
          <c:dLbls>
            <c:dLbl>
              <c:idx val="1"/>
              <c:layout>
                <c:manualLayout>
                  <c:x val="3.6935965196131298E-3"/>
                  <c:y val="0.16574007434591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31-4A14-BE36-5614156DC166}"/>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D_ENG!$G$14:$G$17</c:f>
              <c:strCache>
                <c:ptCount val="4"/>
                <c:pt idx="0">
                  <c:v>Total</c:v>
                </c:pt>
                <c:pt idx="1">
                  <c:v>Small</c:v>
                </c:pt>
                <c:pt idx="2">
                  <c:v>Medium</c:v>
                </c:pt>
                <c:pt idx="3">
                  <c:v>Large</c:v>
                </c:pt>
              </c:strCache>
            </c:strRef>
          </c:cat>
          <c:val>
            <c:numRef>
              <c:f>D_ENG!$J$14:$J$17</c:f>
              <c:numCache>
                <c:formatCode>0%</c:formatCode>
                <c:ptCount val="4"/>
                <c:pt idx="0">
                  <c:v>0.64</c:v>
                </c:pt>
                <c:pt idx="1">
                  <c:v>0.57999999999999996</c:v>
                </c:pt>
                <c:pt idx="2">
                  <c:v>0.83</c:v>
                </c:pt>
                <c:pt idx="3">
                  <c:v>0.95</c:v>
                </c:pt>
              </c:numCache>
            </c:numRef>
          </c:val>
          <c:extLst>
            <c:ext xmlns:c16="http://schemas.microsoft.com/office/drawing/2014/chart" uri="{C3380CC4-5D6E-409C-BE32-E72D297353CC}">
              <c16:uniqueId val="{00000003-7831-4A14-BE36-5614156DC166}"/>
            </c:ext>
          </c:extLst>
        </c:ser>
        <c:dLbls>
          <c:showLegendKey val="0"/>
          <c:showVal val="1"/>
          <c:showCatName val="0"/>
          <c:showSerName val="0"/>
          <c:showPercent val="0"/>
          <c:showBubbleSize val="0"/>
        </c:dLbls>
        <c:gapWidth val="50"/>
        <c:overlap val="1"/>
        <c:axId val="179797504"/>
        <c:axId val="179618944"/>
      </c:barChart>
      <c:catAx>
        <c:axId val="179797504"/>
        <c:scaling>
          <c:orientation val="minMax"/>
        </c:scaling>
        <c:delete val="0"/>
        <c:axPos val="b"/>
        <c:numFmt formatCode="General" sourceLinked="1"/>
        <c:majorTickMark val="out"/>
        <c:minorTickMark val="none"/>
        <c:tickLblPos val="nextTo"/>
        <c:spPr>
          <a:ln w="3175">
            <a:solidFill>
              <a:schemeClr val="tx1"/>
            </a:solidFill>
          </a:ln>
        </c:spPr>
        <c:crossAx val="179618944"/>
        <c:crosses val="autoZero"/>
        <c:auto val="1"/>
        <c:lblAlgn val="ctr"/>
        <c:lblOffset val="100"/>
        <c:noMultiLvlLbl val="0"/>
      </c:catAx>
      <c:valAx>
        <c:axId val="179618944"/>
        <c:scaling>
          <c:orientation val="minMax"/>
          <c:max val="1"/>
          <c:min val="0"/>
        </c:scaling>
        <c:delete val="0"/>
        <c:axPos val="l"/>
        <c:numFmt formatCode="0%" sourceLinked="1"/>
        <c:majorTickMark val="none"/>
        <c:minorTickMark val="none"/>
        <c:tickLblPos val="none"/>
        <c:crossAx val="179797504"/>
        <c:crosses val="autoZero"/>
        <c:crossBetween val="between"/>
      </c:valAx>
      <c:spPr>
        <a:ln w="12700">
          <a:solidFill>
            <a:srgbClr val="A6A6A6"/>
          </a:solidFill>
        </a:ln>
      </c:spPr>
    </c:plotArea>
    <c:legend>
      <c:legendPos val="t"/>
      <c:layout>
        <c:manualLayout>
          <c:xMode val="edge"/>
          <c:yMode val="edge"/>
          <c:x val="4.3353827346924098E-2"/>
          <c:y val="0.17825821546062401"/>
          <c:w val="0.55678351849854402"/>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900909646599E-2"/>
          <c:y val="0.13584589256659699"/>
          <c:w val="0.96494603737260098"/>
          <c:h val="0.62705336041139703"/>
        </c:manualLayout>
      </c:layout>
      <c:barChart>
        <c:barDir val="col"/>
        <c:grouping val="clustered"/>
        <c:varyColors val="0"/>
        <c:ser>
          <c:idx val="0"/>
          <c:order val="0"/>
          <c:tx>
            <c:strRef>
              <c:f>D_ENG!$H$82</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D_ENG!$G$83:$G$86</c:f>
              <c:strCache>
                <c:ptCount val="4"/>
                <c:pt idx="0">
                  <c:v>Total</c:v>
                </c:pt>
                <c:pt idx="1">
                  <c:v>Small</c:v>
                </c:pt>
                <c:pt idx="2">
                  <c:v>Medium</c:v>
                </c:pt>
                <c:pt idx="3">
                  <c:v>Large</c:v>
                </c:pt>
              </c:strCache>
            </c:strRef>
          </c:cat>
          <c:val>
            <c:numRef>
              <c:f>D_ENG!$H$83:$H$86</c:f>
              <c:numCache>
                <c:formatCode>0%</c:formatCode>
                <c:ptCount val="4"/>
                <c:pt idx="0">
                  <c:v>0.66</c:v>
                </c:pt>
                <c:pt idx="1">
                  <c:v>0.67</c:v>
                </c:pt>
                <c:pt idx="2">
                  <c:v>0.59</c:v>
                </c:pt>
                <c:pt idx="3">
                  <c:v>0.69</c:v>
                </c:pt>
              </c:numCache>
            </c:numRef>
          </c:val>
          <c:extLst>
            <c:ext xmlns:c16="http://schemas.microsoft.com/office/drawing/2014/chart" uri="{C3380CC4-5D6E-409C-BE32-E72D297353CC}">
              <c16:uniqueId val="{00000000-1E43-4E35-A292-9A6CFA176ED4}"/>
            </c:ext>
          </c:extLst>
        </c:ser>
        <c:ser>
          <c:idx val="1"/>
          <c:order val="1"/>
          <c:tx>
            <c:strRef>
              <c:f>D_ENG!$I$82</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D_ENG!$G$83:$G$86</c:f>
              <c:strCache>
                <c:ptCount val="4"/>
                <c:pt idx="0">
                  <c:v>Total</c:v>
                </c:pt>
                <c:pt idx="1">
                  <c:v>Small</c:v>
                </c:pt>
                <c:pt idx="2">
                  <c:v>Medium</c:v>
                </c:pt>
                <c:pt idx="3">
                  <c:v>Large</c:v>
                </c:pt>
              </c:strCache>
            </c:strRef>
          </c:cat>
          <c:val>
            <c:numRef>
              <c:f>D_ENG!$I$83:$I$86</c:f>
              <c:numCache>
                <c:formatCode>0%</c:formatCode>
                <c:ptCount val="4"/>
                <c:pt idx="0">
                  <c:v>0.59</c:v>
                </c:pt>
                <c:pt idx="1">
                  <c:v>0.6</c:v>
                </c:pt>
                <c:pt idx="2">
                  <c:v>0.52</c:v>
                </c:pt>
                <c:pt idx="3">
                  <c:v>0.67</c:v>
                </c:pt>
              </c:numCache>
            </c:numRef>
          </c:val>
          <c:extLst>
            <c:ext xmlns:c16="http://schemas.microsoft.com/office/drawing/2014/chart" uri="{C3380CC4-5D6E-409C-BE32-E72D297353CC}">
              <c16:uniqueId val="{00000001-1E43-4E35-A292-9A6CFA176ED4}"/>
            </c:ext>
          </c:extLst>
        </c:ser>
        <c:ser>
          <c:idx val="2"/>
          <c:order val="2"/>
          <c:tx>
            <c:strRef>
              <c:f>D_ENG!$J$82</c:f>
              <c:strCache>
                <c:ptCount val="1"/>
                <c:pt idx="0">
                  <c:v> 2017</c:v>
                </c:pt>
              </c:strCache>
            </c:strRef>
          </c:tx>
          <c:spPr>
            <a:solidFill>
              <a:srgbClr val="009BB4"/>
            </a:solidFill>
          </c:spPr>
          <c:invertIfNegative val="0"/>
          <c:dLbls>
            <c:dLbl>
              <c:idx val="1"/>
              <c:layout>
                <c:manualLayout>
                  <c:x val="3.6934452107939301E-3"/>
                  <c:y val="8.7308701796890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43-4E35-A292-9A6CFA176ED4}"/>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D_ENG!$G$83:$G$86</c:f>
              <c:strCache>
                <c:ptCount val="4"/>
                <c:pt idx="0">
                  <c:v>Total</c:v>
                </c:pt>
                <c:pt idx="1">
                  <c:v>Small</c:v>
                </c:pt>
                <c:pt idx="2">
                  <c:v>Medium</c:v>
                </c:pt>
                <c:pt idx="3">
                  <c:v>Large</c:v>
                </c:pt>
              </c:strCache>
            </c:strRef>
          </c:cat>
          <c:val>
            <c:numRef>
              <c:f>D_ENG!$J$83:$J$86</c:f>
              <c:numCache>
                <c:formatCode>0%</c:formatCode>
                <c:ptCount val="4"/>
                <c:pt idx="0">
                  <c:v>0.57999999999999996</c:v>
                </c:pt>
                <c:pt idx="1">
                  <c:v>0.57999999999999996</c:v>
                </c:pt>
                <c:pt idx="2">
                  <c:v>0.53</c:v>
                </c:pt>
                <c:pt idx="3">
                  <c:v>0.64</c:v>
                </c:pt>
              </c:numCache>
            </c:numRef>
          </c:val>
          <c:extLst>
            <c:ext xmlns:c16="http://schemas.microsoft.com/office/drawing/2014/chart" uri="{C3380CC4-5D6E-409C-BE32-E72D297353CC}">
              <c16:uniqueId val="{00000003-1E43-4E35-A292-9A6CFA176ED4}"/>
            </c:ext>
          </c:extLst>
        </c:ser>
        <c:dLbls>
          <c:showLegendKey val="0"/>
          <c:showVal val="1"/>
          <c:showCatName val="0"/>
          <c:showSerName val="0"/>
          <c:showPercent val="0"/>
          <c:showBubbleSize val="0"/>
        </c:dLbls>
        <c:gapWidth val="50"/>
        <c:overlap val="1"/>
        <c:axId val="182064640"/>
        <c:axId val="179620672"/>
      </c:barChart>
      <c:catAx>
        <c:axId val="182064640"/>
        <c:scaling>
          <c:orientation val="minMax"/>
        </c:scaling>
        <c:delete val="0"/>
        <c:axPos val="b"/>
        <c:numFmt formatCode="General" sourceLinked="1"/>
        <c:majorTickMark val="out"/>
        <c:minorTickMark val="none"/>
        <c:tickLblPos val="nextTo"/>
        <c:spPr>
          <a:ln w="3175">
            <a:solidFill>
              <a:schemeClr val="tx1"/>
            </a:solidFill>
          </a:ln>
        </c:spPr>
        <c:crossAx val="179620672"/>
        <c:crosses val="autoZero"/>
        <c:auto val="1"/>
        <c:lblAlgn val="ctr"/>
        <c:lblOffset val="100"/>
        <c:noMultiLvlLbl val="0"/>
      </c:catAx>
      <c:valAx>
        <c:axId val="179620672"/>
        <c:scaling>
          <c:orientation val="minMax"/>
          <c:max val="0.9"/>
          <c:min val="0"/>
        </c:scaling>
        <c:delete val="0"/>
        <c:axPos val="l"/>
        <c:numFmt formatCode="0%" sourceLinked="1"/>
        <c:majorTickMark val="none"/>
        <c:minorTickMark val="none"/>
        <c:tickLblPos val="none"/>
        <c:crossAx val="182064640"/>
        <c:crosses val="autoZero"/>
        <c:crossBetween val="between"/>
      </c:valAx>
      <c:spPr>
        <a:ln w="12700">
          <a:solidFill>
            <a:srgbClr val="A6A6A6"/>
          </a:solidFill>
        </a:ln>
      </c:spPr>
    </c:plotArea>
    <c:legend>
      <c:legendPos val="t"/>
      <c:layout>
        <c:manualLayout>
          <c:xMode val="edge"/>
          <c:yMode val="edge"/>
          <c:x val="0.16207528853413899"/>
          <c:y val="0.16619185045308299"/>
          <c:w val="0.55678351849854402"/>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1498699540385504"/>
        </c:manualLayout>
      </c:layout>
      <c:barChart>
        <c:barDir val="col"/>
        <c:grouping val="clustered"/>
        <c:varyColors val="0"/>
        <c:ser>
          <c:idx val="0"/>
          <c:order val="0"/>
          <c:tx>
            <c:strRef>
              <c:f>D_ENG!$H$93</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D_ENG!$G$94:$G$97</c:f>
              <c:strCache>
                <c:ptCount val="4"/>
                <c:pt idx="0">
                  <c:v>Total</c:v>
                </c:pt>
                <c:pt idx="1">
                  <c:v>Small</c:v>
                </c:pt>
                <c:pt idx="2">
                  <c:v>Medium</c:v>
                </c:pt>
                <c:pt idx="3">
                  <c:v>Large</c:v>
                </c:pt>
              </c:strCache>
            </c:strRef>
          </c:cat>
          <c:val>
            <c:numRef>
              <c:f>D_ENG!$H$94:$H$97</c:f>
              <c:numCache>
                <c:formatCode>0%</c:formatCode>
                <c:ptCount val="4"/>
                <c:pt idx="0">
                  <c:v>0.13</c:v>
                </c:pt>
                <c:pt idx="1">
                  <c:v>0.1</c:v>
                </c:pt>
                <c:pt idx="2">
                  <c:v>0.23</c:v>
                </c:pt>
                <c:pt idx="3">
                  <c:v>0.43</c:v>
                </c:pt>
              </c:numCache>
            </c:numRef>
          </c:val>
          <c:extLst>
            <c:ext xmlns:c16="http://schemas.microsoft.com/office/drawing/2014/chart" uri="{C3380CC4-5D6E-409C-BE32-E72D297353CC}">
              <c16:uniqueId val="{00000000-EBDC-4F61-865C-1ED2E6E1918B}"/>
            </c:ext>
          </c:extLst>
        </c:ser>
        <c:ser>
          <c:idx val="1"/>
          <c:order val="1"/>
          <c:tx>
            <c:strRef>
              <c:f>D_ENG!$I$93</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D_ENG!$G$94:$G$97</c:f>
              <c:strCache>
                <c:ptCount val="4"/>
                <c:pt idx="0">
                  <c:v>Total</c:v>
                </c:pt>
                <c:pt idx="1">
                  <c:v>Small</c:v>
                </c:pt>
                <c:pt idx="2">
                  <c:v>Medium</c:v>
                </c:pt>
                <c:pt idx="3">
                  <c:v>Large</c:v>
                </c:pt>
              </c:strCache>
            </c:strRef>
          </c:cat>
          <c:val>
            <c:numRef>
              <c:f>D_ENG!$I$94:$I$97</c:f>
              <c:numCache>
                <c:formatCode>0%</c:formatCode>
                <c:ptCount val="4"/>
                <c:pt idx="0">
                  <c:v>0.18</c:v>
                </c:pt>
                <c:pt idx="1">
                  <c:v>0.14000000000000001</c:v>
                </c:pt>
                <c:pt idx="2">
                  <c:v>0.27</c:v>
                </c:pt>
                <c:pt idx="3">
                  <c:v>0.48</c:v>
                </c:pt>
              </c:numCache>
            </c:numRef>
          </c:val>
          <c:extLst>
            <c:ext xmlns:c16="http://schemas.microsoft.com/office/drawing/2014/chart" uri="{C3380CC4-5D6E-409C-BE32-E72D297353CC}">
              <c16:uniqueId val="{00000001-EBDC-4F61-865C-1ED2E6E1918B}"/>
            </c:ext>
          </c:extLst>
        </c:ser>
        <c:ser>
          <c:idx val="2"/>
          <c:order val="2"/>
          <c:tx>
            <c:strRef>
              <c:f>D_ENG!$J$93</c:f>
              <c:strCache>
                <c:ptCount val="1"/>
                <c:pt idx="0">
                  <c:v> 2017</c:v>
                </c:pt>
              </c:strCache>
            </c:strRef>
          </c:tx>
          <c:spPr>
            <a:solidFill>
              <a:srgbClr val="009BB4"/>
            </a:solidFill>
          </c:spPr>
          <c:invertIfNegative val="0"/>
          <c:dLbls>
            <c:dLbl>
              <c:idx val="1"/>
              <c:layout>
                <c:manualLayout>
                  <c:x val="3.6935965196131298E-3"/>
                  <c:y val="0.135573686773315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DC-4F61-865C-1ED2E6E1918B}"/>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D_ENG!$G$94:$G$97</c:f>
              <c:strCache>
                <c:ptCount val="4"/>
                <c:pt idx="0">
                  <c:v>Total</c:v>
                </c:pt>
                <c:pt idx="1">
                  <c:v>Small</c:v>
                </c:pt>
                <c:pt idx="2">
                  <c:v>Medium</c:v>
                </c:pt>
                <c:pt idx="3">
                  <c:v>Large</c:v>
                </c:pt>
              </c:strCache>
            </c:strRef>
          </c:cat>
          <c:val>
            <c:numRef>
              <c:f>D_ENG!$J$94:$J$97</c:f>
              <c:numCache>
                <c:formatCode>0%</c:formatCode>
                <c:ptCount val="4"/>
                <c:pt idx="0">
                  <c:v>0.21</c:v>
                </c:pt>
                <c:pt idx="1">
                  <c:v>0.17</c:v>
                </c:pt>
                <c:pt idx="2">
                  <c:v>0.33</c:v>
                </c:pt>
                <c:pt idx="3">
                  <c:v>0.55000000000000004</c:v>
                </c:pt>
              </c:numCache>
            </c:numRef>
          </c:val>
          <c:extLst>
            <c:ext xmlns:c16="http://schemas.microsoft.com/office/drawing/2014/chart" uri="{C3380CC4-5D6E-409C-BE32-E72D297353CC}">
              <c16:uniqueId val="{00000003-EBDC-4F61-865C-1ED2E6E1918B}"/>
            </c:ext>
          </c:extLst>
        </c:ser>
        <c:dLbls>
          <c:showLegendKey val="0"/>
          <c:showVal val="1"/>
          <c:showCatName val="0"/>
          <c:showSerName val="0"/>
          <c:showPercent val="0"/>
          <c:showBubbleSize val="0"/>
        </c:dLbls>
        <c:gapWidth val="50"/>
        <c:overlap val="1"/>
        <c:axId val="182469120"/>
        <c:axId val="179622400"/>
      </c:barChart>
      <c:catAx>
        <c:axId val="182469120"/>
        <c:scaling>
          <c:orientation val="minMax"/>
        </c:scaling>
        <c:delete val="0"/>
        <c:axPos val="b"/>
        <c:numFmt formatCode="General" sourceLinked="1"/>
        <c:majorTickMark val="out"/>
        <c:minorTickMark val="none"/>
        <c:tickLblPos val="nextTo"/>
        <c:spPr>
          <a:ln w="3175">
            <a:solidFill>
              <a:schemeClr val="tx1"/>
            </a:solidFill>
          </a:ln>
        </c:spPr>
        <c:crossAx val="179622400"/>
        <c:crosses val="autoZero"/>
        <c:auto val="1"/>
        <c:lblAlgn val="ctr"/>
        <c:lblOffset val="100"/>
        <c:noMultiLvlLbl val="0"/>
      </c:catAx>
      <c:valAx>
        <c:axId val="179622400"/>
        <c:scaling>
          <c:orientation val="minMax"/>
          <c:max val="0.8"/>
          <c:min val="0"/>
        </c:scaling>
        <c:delete val="0"/>
        <c:axPos val="l"/>
        <c:numFmt formatCode="0%" sourceLinked="1"/>
        <c:majorTickMark val="none"/>
        <c:minorTickMark val="none"/>
        <c:tickLblPos val="none"/>
        <c:crossAx val="182469120"/>
        <c:crosses val="autoZero"/>
        <c:crossBetween val="between"/>
      </c:valAx>
      <c:spPr>
        <a:ln w="12700">
          <a:solidFill>
            <a:srgbClr val="A6A6A6"/>
          </a:solidFill>
        </a:ln>
      </c:spPr>
    </c:plotArea>
    <c:legend>
      <c:legendPos val="t"/>
      <c:layout>
        <c:manualLayout>
          <c:xMode val="edge"/>
          <c:yMode val="edge"/>
          <c:x val="0.20317117894509801"/>
          <c:y val="0.17222503295685301"/>
          <c:w val="0.55678351849854402"/>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a:t>Figure</a:t>
            </a:r>
            <a:r>
              <a:rPr lang="en-US" sz="800" b="1"/>
              <a:t> A</a:t>
            </a:r>
            <a:r>
              <a:rPr lang="cs-CZ" sz="800" b="1"/>
              <a:t>8</a:t>
            </a:r>
            <a:r>
              <a:rPr lang="en-US" sz="800" b="1"/>
              <a:t> </a:t>
            </a:r>
            <a:r>
              <a:rPr lang="cs-CZ" sz="800" b="1"/>
              <a:t>Total fixed telephone traffic in</a:t>
            </a:r>
            <a:r>
              <a:rPr lang="cs-CZ" sz="800" b="1" baseline="0"/>
              <a:t> the Czech Republic (</a:t>
            </a:r>
            <a:r>
              <a:rPr lang="cs-CZ" sz="800" b="1" baseline="0">
                <a:solidFill>
                  <a:sysClr val="windowText" lastClr="000000"/>
                </a:solidFill>
              </a:rPr>
              <a:t>billion called </a:t>
            </a:r>
            <a:r>
              <a:rPr lang="cs-CZ" sz="800" b="1" baseline="0"/>
              <a:t>minutes)</a:t>
            </a:r>
            <a:endParaRPr lang="en-US" sz="800" b="1"/>
          </a:p>
        </c:rich>
      </c:tx>
      <c:layout>
        <c:manualLayout>
          <c:xMode val="edge"/>
          <c:yMode val="edge"/>
          <c:x val="0.137351836667922"/>
          <c:y val="0"/>
        </c:manualLayout>
      </c:layout>
      <c:overlay val="1"/>
    </c:title>
    <c:autoTitleDeleted val="0"/>
    <c:plotArea>
      <c:layout>
        <c:manualLayout>
          <c:layoutTarget val="inner"/>
          <c:xMode val="edge"/>
          <c:yMode val="edge"/>
          <c:x val="7.3443318563046298E-2"/>
          <c:y val="0.13846659411476001"/>
          <c:w val="0.91330876039766995"/>
          <c:h val="0.66797508520390203"/>
        </c:manualLayout>
      </c:layout>
      <c:lineChart>
        <c:grouping val="standard"/>
        <c:varyColors val="0"/>
        <c:ser>
          <c:idx val="4"/>
          <c:order val="0"/>
          <c:tx>
            <c:strRef>
              <c:f>A_EN!$A$111</c:f>
              <c:strCache>
                <c:ptCount val="1"/>
                <c:pt idx="0">
                  <c:v> from PSTN lines</c:v>
                </c:pt>
              </c:strCache>
            </c:strRef>
          </c:tx>
          <c:spPr>
            <a:ln w="19050">
              <a:solidFill>
                <a:srgbClr val="47E5FF"/>
              </a:solidFill>
            </a:ln>
          </c:spPr>
          <c:marker>
            <c:symbol val="diamond"/>
            <c:size val="4"/>
            <c:spPr>
              <a:solidFill>
                <a:srgbClr val="009BB4"/>
              </a:solidFill>
              <a:ln w="12700">
                <a:solidFill>
                  <a:srgbClr val="47E5FF"/>
                </a:solidFill>
              </a:ln>
            </c:spPr>
          </c:marker>
          <c:dLbls>
            <c:dLbl>
              <c:idx val="0"/>
              <c:layout>
                <c:manualLayout>
                  <c:x val="1.6798941798941799E-2"/>
                  <c:y val="3.79914529914529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0BB-411B-9EE6-934B553BAA35}"/>
                </c:ext>
              </c:extLst>
            </c:dLbl>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A_EN!$B$110:$H$110</c:f>
              <c:numCache>
                <c:formatCode>General</c:formatCode>
                <c:ptCount val="7"/>
                <c:pt idx="0">
                  <c:v>2004</c:v>
                </c:pt>
                <c:pt idx="1">
                  <c:v>2006</c:v>
                </c:pt>
                <c:pt idx="2" formatCode="0">
                  <c:v>2008</c:v>
                </c:pt>
                <c:pt idx="3" formatCode="0">
                  <c:v>2010</c:v>
                </c:pt>
                <c:pt idx="4" formatCode="0">
                  <c:v>2012</c:v>
                </c:pt>
                <c:pt idx="5" formatCode="0">
                  <c:v>2014</c:v>
                </c:pt>
                <c:pt idx="6" formatCode="0">
                  <c:v>2016</c:v>
                </c:pt>
              </c:numCache>
            </c:numRef>
          </c:cat>
          <c:val>
            <c:numRef>
              <c:f>A_EN!$B$111:$H$111</c:f>
              <c:numCache>
                <c:formatCode>#,##0.0</c:formatCode>
                <c:ptCount val="7"/>
                <c:pt idx="0">
                  <c:v>8.18</c:v>
                </c:pt>
                <c:pt idx="1">
                  <c:v>5.4451804499999898</c:v>
                </c:pt>
                <c:pt idx="2">
                  <c:v>3.17</c:v>
                </c:pt>
                <c:pt idx="3">
                  <c:v>2.274</c:v>
                </c:pt>
                <c:pt idx="4">
                  <c:v>1.7390000000000001</c:v>
                </c:pt>
                <c:pt idx="5">
                  <c:v>1.3696410800000001</c:v>
                </c:pt>
                <c:pt idx="6">
                  <c:v>1.0111733274000001</c:v>
                </c:pt>
              </c:numCache>
            </c:numRef>
          </c:val>
          <c:smooth val="0"/>
          <c:extLst>
            <c:ext xmlns:c16="http://schemas.microsoft.com/office/drawing/2014/chart" uri="{C3380CC4-5D6E-409C-BE32-E72D297353CC}">
              <c16:uniqueId val="{00000001-20BB-411B-9EE6-934B553BAA35}"/>
            </c:ext>
          </c:extLst>
        </c:ser>
        <c:ser>
          <c:idx val="1"/>
          <c:order val="1"/>
          <c:tx>
            <c:strRef>
              <c:f>A_EN!$A$112</c:f>
              <c:strCache>
                <c:ptCount val="1"/>
                <c:pt idx="0">
                  <c:v> from VoIP</c:v>
                </c:pt>
              </c:strCache>
            </c:strRef>
          </c:tx>
          <c:spPr>
            <a:ln w="19050">
              <a:solidFill>
                <a:srgbClr val="47E5FF"/>
              </a:solidFill>
            </a:ln>
          </c:spPr>
          <c:marker>
            <c:symbol val="circle"/>
            <c:size val="4"/>
            <c:spPr>
              <a:solidFill>
                <a:srgbClr val="47E5FF"/>
              </a:solidFill>
              <a:ln w="12700">
                <a:solidFill>
                  <a:srgbClr val="007D92"/>
                </a:solidFill>
              </a:ln>
            </c:spPr>
          </c:marker>
          <c:dLbls>
            <c:spPr>
              <a:noFill/>
              <a:ln>
                <a:noFill/>
              </a:ln>
              <a:effectLst/>
            </c:spPr>
            <c:txPr>
              <a:bodyPr/>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A_EN!$B$110:$H$110</c:f>
              <c:numCache>
                <c:formatCode>General</c:formatCode>
                <c:ptCount val="7"/>
                <c:pt idx="0">
                  <c:v>2004</c:v>
                </c:pt>
                <c:pt idx="1">
                  <c:v>2006</c:v>
                </c:pt>
                <c:pt idx="2" formatCode="0">
                  <c:v>2008</c:v>
                </c:pt>
                <c:pt idx="3" formatCode="0">
                  <c:v>2010</c:v>
                </c:pt>
                <c:pt idx="4" formatCode="0">
                  <c:v>2012</c:v>
                </c:pt>
                <c:pt idx="5" formatCode="0">
                  <c:v>2014</c:v>
                </c:pt>
                <c:pt idx="6" formatCode="0">
                  <c:v>2016</c:v>
                </c:pt>
              </c:numCache>
            </c:numRef>
          </c:cat>
          <c:val>
            <c:numRef>
              <c:f>A_EN!$B$112:$H$112</c:f>
              <c:numCache>
                <c:formatCode>General</c:formatCode>
                <c:ptCount val="7"/>
                <c:pt idx="2" formatCode="#,##0.0">
                  <c:v>0.35899999999999999</c:v>
                </c:pt>
                <c:pt idx="3" formatCode="#,##0.0">
                  <c:v>0.48899999999999999</c:v>
                </c:pt>
                <c:pt idx="4" formatCode="#,##0.0">
                  <c:v>0.53300000000000003</c:v>
                </c:pt>
                <c:pt idx="5" formatCode="#,##0.0">
                  <c:v>0.69157465833999998</c:v>
                </c:pt>
                <c:pt idx="6" formatCode="#,##0.0">
                  <c:v>0.59028397960000001</c:v>
                </c:pt>
              </c:numCache>
            </c:numRef>
          </c:val>
          <c:smooth val="0"/>
          <c:extLst>
            <c:ext xmlns:c16="http://schemas.microsoft.com/office/drawing/2014/chart" uri="{C3380CC4-5D6E-409C-BE32-E72D297353CC}">
              <c16:uniqueId val="{00000002-20BB-411B-9EE6-934B553BAA35}"/>
            </c:ext>
          </c:extLst>
        </c:ser>
        <c:dLbls>
          <c:showLegendKey val="0"/>
          <c:showVal val="0"/>
          <c:showCatName val="0"/>
          <c:showSerName val="0"/>
          <c:showPercent val="0"/>
          <c:showBubbleSize val="0"/>
        </c:dLbls>
        <c:marker val="1"/>
        <c:smooth val="0"/>
        <c:axId val="151239168"/>
        <c:axId val="151101440"/>
      </c:lineChart>
      <c:catAx>
        <c:axId val="151239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1101440"/>
        <c:crosses val="autoZero"/>
        <c:auto val="1"/>
        <c:lblAlgn val="ctr"/>
        <c:lblOffset val="100"/>
        <c:tickLblSkip val="1"/>
        <c:tickMarkSkip val="1"/>
        <c:noMultiLvlLbl val="0"/>
      </c:catAx>
      <c:valAx>
        <c:axId val="151101440"/>
        <c:scaling>
          <c:orientation val="minMax"/>
          <c:max val="8.3000000000000007"/>
          <c:min val="0"/>
        </c:scaling>
        <c:delete val="1"/>
        <c:axPos val="l"/>
        <c:numFmt formatCode="#,##0" sourceLinked="0"/>
        <c:majorTickMark val="out"/>
        <c:minorTickMark val="none"/>
        <c:tickLblPos val="nextTo"/>
        <c:crossAx val="151239168"/>
        <c:crosses val="autoZero"/>
        <c:crossBetween val="between"/>
        <c:majorUnit val="1"/>
        <c:minorUnit val="0.1"/>
      </c:valAx>
      <c:spPr>
        <a:noFill/>
        <a:ln w="12700">
          <a:solidFill>
            <a:srgbClr val="A6A6A6"/>
          </a:solidFill>
          <a:prstDash val="solid"/>
        </a:ln>
      </c:spPr>
    </c:plotArea>
    <c:legend>
      <c:legendPos val="r"/>
      <c:layout>
        <c:manualLayout>
          <c:xMode val="edge"/>
          <c:yMode val="edge"/>
          <c:x val="0.41759450830140499"/>
          <c:y val="0.19097222222222199"/>
          <c:w val="0.50131257982120003"/>
          <c:h val="0.23690277777777799"/>
        </c:manualLayout>
      </c:layout>
      <c:overlay val="0"/>
      <c:spPr>
        <a:solidFill>
          <a:srgbClr val="FFFFFF"/>
        </a:solidFill>
        <a:ln w="9525">
          <a:solidFill>
            <a:schemeClr val="bg1">
              <a:lumMod val="50000"/>
            </a:schemeClr>
          </a:solidFill>
        </a:ln>
      </c:sp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5455252303988301"/>
          <c:w val="0.60064471806796005"/>
          <c:h val="0.55314704083042299"/>
        </c:manualLayout>
      </c:layout>
      <c:barChart>
        <c:barDir val="col"/>
        <c:grouping val="percentStacked"/>
        <c:varyColors val="0"/>
        <c:ser>
          <c:idx val="0"/>
          <c:order val="0"/>
          <c:tx>
            <c:strRef>
              <c:f>D_ENG!$G$27</c:f>
              <c:strCache>
                <c:ptCount val="1"/>
                <c:pt idx="0">
                  <c:v>  less than 9,9 Mb/s</c:v>
                </c:pt>
              </c:strCache>
            </c:strRef>
          </c:tx>
          <c:spPr>
            <a:solidFill>
              <a:srgbClr val="ABF3FF"/>
            </a:solidFill>
          </c:spPr>
          <c:invertIfNegative val="0"/>
          <c:dLbls>
            <c:numFmt formatCode="0%" sourceLinked="0"/>
            <c:spPr>
              <a:noFill/>
              <a:ln>
                <a:noFill/>
              </a:ln>
              <a:effectLst/>
            </c:spPr>
            <c:txPr>
              <a:bodyPr rot="0" vert="horz"/>
              <a:lstStyle/>
              <a:p>
                <a:pPr>
                  <a:defRPr b="1"/>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(D_ENG!$H$26,D_ENG!$J$26,D_ENG!$L$26,D_ENG!$N$26)</c:f>
              <c:strCache>
                <c:ptCount val="4"/>
                <c:pt idx="0">
                  <c:v> 2011</c:v>
                </c:pt>
                <c:pt idx="1">
                  <c:v> 2013</c:v>
                </c:pt>
                <c:pt idx="2">
                  <c:v> 2015</c:v>
                </c:pt>
                <c:pt idx="3">
                  <c:v> 2017</c:v>
                </c:pt>
              </c:strCache>
            </c:strRef>
          </c:cat>
          <c:val>
            <c:numRef>
              <c:f>(D_ENG!$H$27,D_ENG!$J$27,D_ENG!$L$27,D_ENG!$N$27)</c:f>
              <c:numCache>
                <c:formatCode>0%</c:formatCode>
                <c:ptCount val="4"/>
                <c:pt idx="0">
                  <c:v>0.61</c:v>
                </c:pt>
                <c:pt idx="1">
                  <c:v>0.52</c:v>
                </c:pt>
                <c:pt idx="2">
                  <c:v>0.45</c:v>
                </c:pt>
                <c:pt idx="3">
                  <c:v>0.3</c:v>
                </c:pt>
              </c:numCache>
            </c:numRef>
          </c:val>
          <c:extLst>
            <c:ext xmlns:c16="http://schemas.microsoft.com/office/drawing/2014/chart" uri="{C3380CC4-5D6E-409C-BE32-E72D297353CC}">
              <c16:uniqueId val="{00000000-EDB0-42EB-9F2C-196A3B83B233}"/>
            </c:ext>
          </c:extLst>
        </c:ser>
        <c:ser>
          <c:idx val="1"/>
          <c:order val="1"/>
          <c:tx>
            <c:strRef>
              <c:f>D_ENG!$G$28</c:f>
              <c:strCache>
                <c:ptCount val="1"/>
                <c:pt idx="0">
                  <c:v> 10–29,9 Mb/s</c:v>
                </c:pt>
              </c:strCache>
            </c:strRef>
          </c:tx>
          <c:spPr>
            <a:solidFill>
              <a:srgbClr val="47E5FF"/>
            </a:solidFill>
          </c:spPr>
          <c:invertIfNegative val="0"/>
          <c:dLbls>
            <c:numFmt formatCode="0%" sourceLinked="0"/>
            <c:spPr>
              <a:noFill/>
              <a:ln>
                <a:noFill/>
              </a:ln>
              <a:effectLst/>
            </c:spPr>
            <c:txPr>
              <a:bodyPr rot="0" vert="horz"/>
              <a:lstStyle/>
              <a:p>
                <a:pPr>
                  <a:defRPr b="1"/>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(D_ENG!$H$26,D_ENG!$J$26,D_ENG!$L$26,D_ENG!$N$26)</c:f>
              <c:strCache>
                <c:ptCount val="4"/>
                <c:pt idx="0">
                  <c:v> 2011</c:v>
                </c:pt>
                <c:pt idx="1">
                  <c:v> 2013</c:v>
                </c:pt>
                <c:pt idx="2">
                  <c:v> 2015</c:v>
                </c:pt>
                <c:pt idx="3">
                  <c:v> 2017</c:v>
                </c:pt>
              </c:strCache>
            </c:strRef>
          </c:cat>
          <c:val>
            <c:numRef>
              <c:f>(D_ENG!$H$28,D_ENG!$J$28,D_ENG!$L$28,D_ENG!$N$28)</c:f>
              <c:numCache>
                <c:formatCode>0%</c:formatCode>
                <c:ptCount val="4"/>
                <c:pt idx="0">
                  <c:v>0.2</c:v>
                </c:pt>
                <c:pt idx="1">
                  <c:v>0.28999999999999998</c:v>
                </c:pt>
                <c:pt idx="2">
                  <c:v>0.35</c:v>
                </c:pt>
                <c:pt idx="3">
                  <c:v>0.4</c:v>
                </c:pt>
              </c:numCache>
            </c:numRef>
          </c:val>
          <c:extLst>
            <c:ext xmlns:c16="http://schemas.microsoft.com/office/drawing/2014/chart" uri="{C3380CC4-5D6E-409C-BE32-E72D297353CC}">
              <c16:uniqueId val="{00000001-EDB0-42EB-9F2C-196A3B83B233}"/>
            </c:ext>
          </c:extLst>
        </c:ser>
        <c:ser>
          <c:idx val="2"/>
          <c:order val="2"/>
          <c:tx>
            <c:strRef>
              <c:f>D_ENG!$G$29</c:f>
              <c:strCache>
                <c:ptCount val="1"/>
                <c:pt idx="0">
                  <c:v> 30–99,9 Mb/s</c:v>
                </c:pt>
              </c:strCache>
            </c:strRef>
          </c:tx>
          <c:spPr>
            <a:solidFill>
              <a:srgbClr val="00C5E6"/>
            </a:solidFill>
          </c:spPr>
          <c:invertIfNegative val="0"/>
          <c:dLbls>
            <c:numFmt formatCode="0%" sourceLinked="0"/>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(D_ENG!$H$26,D_ENG!$J$26,D_ENG!$L$26,D_ENG!$N$26)</c:f>
              <c:strCache>
                <c:ptCount val="4"/>
                <c:pt idx="0">
                  <c:v> 2011</c:v>
                </c:pt>
                <c:pt idx="1">
                  <c:v> 2013</c:v>
                </c:pt>
                <c:pt idx="2">
                  <c:v> 2015</c:v>
                </c:pt>
                <c:pt idx="3">
                  <c:v> 2017</c:v>
                </c:pt>
              </c:strCache>
            </c:strRef>
          </c:cat>
          <c:val>
            <c:numRef>
              <c:f>(D_ENG!$H$29,D_ENG!$J$29,D_ENG!$L$29,D_ENG!$N$29)</c:f>
              <c:numCache>
                <c:formatCode>0%</c:formatCode>
                <c:ptCount val="4"/>
                <c:pt idx="0">
                  <c:v>0.11</c:v>
                </c:pt>
                <c:pt idx="1">
                  <c:v>0.1</c:v>
                </c:pt>
                <c:pt idx="2">
                  <c:v>0.12</c:v>
                </c:pt>
                <c:pt idx="3">
                  <c:v>0.19</c:v>
                </c:pt>
              </c:numCache>
            </c:numRef>
          </c:val>
          <c:extLst>
            <c:ext xmlns:c16="http://schemas.microsoft.com/office/drawing/2014/chart" uri="{C3380CC4-5D6E-409C-BE32-E72D297353CC}">
              <c16:uniqueId val="{00000002-EDB0-42EB-9F2C-196A3B83B233}"/>
            </c:ext>
          </c:extLst>
        </c:ser>
        <c:ser>
          <c:idx val="3"/>
          <c:order val="3"/>
          <c:tx>
            <c:strRef>
              <c:f>D_ENG!$G$30</c:f>
              <c:strCache>
                <c:ptCount val="1"/>
                <c:pt idx="0">
                  <c:v> at least 100 Mb/s </c:v>
                </c:pt>
              </c:strCache>
            </c:strRef>
          </c:tx>
          <c:spPr>
            <a:solidFill>
              <a:srgbClr val="009BB4"/>
            </a:solidFill>
          </c:spPr>
          <c:invertIfNegative val="0"/>
          <c:dLbls>
            <c:spPr>
              <a:noFill/>
              <a:ln>
                <a:noFill/>
              </a:ln>
              <a:effectLst/>
            </c:spPr>
            <c:txPr>
              <a:bodyPr/>
              <a:lstStyle/>
              <a:p>
                <a:pPr>
                  <a:defRPr b="1">
                    <a:solidFill>
                      <a:schemeClr val="bg1"/>
                    </a:solidFill>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(D_ENG!$H$26,D_ENG!$J$26,D_ENG!$L$26,D_ENG!$N$26)</c:f>
              <c:strCache>
                <c:ptCount val="4"/>
                <c:pt idx="0">
                  <c:v> 2011</c:v>
                </c:pt>
                <c:pt idx="1">
                  <c:v> 2013</c:v>
                </c:pt>
                <c:pt idx="2">
                  <c:v> 2015</c:v>
                </c:pt>
                <c:pt idx="3">
                  <c:v> 2017</c:v>
                </c:pt>
              </c:strCache>
            </c:strRef>
          </c:cat>
          <c:val>
            <c:numRef>
              <c:f>(D_ENG!$H$30,D_ENG!$J$30,D_ENG!$L$30,D_ENG!$N$30)</c:f>
              <c:numCache>
                <c:formatCode>0%</c:formatCode>
                <c:ptCount val="4"/>
                <c:pt idx="0">
                  <c:v>0.08</c:v>
                </c:pt>
                <c:pt idx="1">
                  <c:v>0.09</c:v>
                </c:pt>
                <c:pt idx="2">
                  <c:v>0.08</c:v>
                </c:pt>
                <c:pt idx="3">
                  <c:v>0.12</c:v>
                </c:pt>
              </c:numCache>
            </c:numRef>
          </c:val>
          <c:extLst>
            <c:ext xmlns:c16="http://schemas.microsoft.com/office/drawing/2014/chart" uri="{C3380CC4-5D6E-409C-BE32-E72D297353CC}">
              <c16:uniqueId val="{00000003-EDB0-42EB-9F2C-196A3B83B233}"/>
            </c:ext>
          </c:extLst>
        </c:ser>
        <c:dLbls>
          <c:showLegendKey val="0"/>
          <c:showVal val="0"/>
          <c:showCatName val="0"/>
          <c:showSerName val="0"/>
          <c:showPercent val="0"/>
          <c:showBubbleSize val="0"/>
        </c:dLbls>
        <c:gapWidth val="50"/>
        <c:overlap val="100"/>
        <c:axId val="182300672"/>
        <c:axId val="179624128"/>
      </c:barChart>
      <c:catAx>
        <c:axId val="182300672"/>
        <c:scaling>
          <c:orientation val="minMax"/>
        </c:scaling>
        <c:delete val="0"/>
        <c:axPos val="b"/>
        <c:numFmt formatCode="General" sourceLinked="1"/>
        <c:majorTickMark val="out"/>
        <c:minorTickMark val="none"/>
        <c:tickLblPos val="nextTo"/>
        <c:spPr>
          <a:ln w="3175">
            <a:solidFill>
              <a:schemeClr val="tx1"/>
            </a:solidFill>
          </a:ln>
        </c:spPr>
        <c:crossAx val="179624128"/>
        <c:crosses val="autoZero"/>
        <c:auto val="1"/>
        <c:lblAlgn val="ctr"/>
        <c:lblOffset val="100"/>
        <c:noMultiLvlLbl val="0"/>
      </c:catAx>
      <c:valAx>
        <c:axId val="179624128"/>
        <c:scaling>
          <c:orientation val="minMax"/>
          <c:max val="1"/>
          <c:min val="0"/>
        </c:scaling>
        <c:delete val="0"/>
        <c:axPos val="l"/>
        <c:numFmt formatCode="0%" sourceLinked="1"/>
        <c:majorTickMark val="none"/>
        <c:minorTickMark val="none"/>
        <c:tickLblPos val="none"/>
        <c:crossAx val="182300672"/>
        <c:crosses val="autoZero"/>
        <c:crossBetween val="between"/>
      </c:valAx>
      <c:spPr>
        <a:ln w="12700">
          <a:solidFill>
            <a:srgbClr val="A6A6A6"/>
          </a:solidFill>
        </a:ln>
      </c:spPr>
    </c:plotArea>
    <c:legend>
      <c:legendPos val="r"/>
      <c:layout>
        <c:manualLayout>
          <c:xMode val="edge"/>
          <c:yMode val="edge"/>
          <c:x val="0.62216385703464905"/>
          <c:y val="0.15884396433470499"/>
          <c:w val="0.37364336169388201"/>
          <c:h val="0.5496220850480110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900909646599E-2"/>
          <c:y val="0.13584589256659699"/>
          <c:w val="0.96494603737260098"/>
          <c:h val="0.581411002554447"/>
        </c:manualLayout>
      </c:layout>
      <c:barChart>
        <c:barDir val="col"/>
        <c:grouping val="clustered"/>
        <c:varyColors val="0"/>
        <c:ser>
          <c:idx val="0"/>
          <c:order val="0"/>
          <c:tx>
            <c:strRef>
              <c:f>D_ENG!$H$44</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D_ENG!$G$45:$G$48</c:f>
              <c:strCache>
                <c:ptCount val="4"/>
                <c:pt idx="0">
                  <c:v>Total</c:v>
                </c:pt>
                <c:pt idx="1">
                  <c:v>Small</c:v>
                </c:pt>
                <c:pt idx="2">
                  <c:v>Medium</c:v>
                </c:pt>
                <c:pt idx="3">
                  <c:v>Large</c:v>
                </c:pt>
              </c:strCache>
            </c:strRef>
          </c:cat>
          <c:val>
            <c:numRef>
              <c:f>D_ENG!$H$45:$H$48</c:f>
              <c:numCache>
                <c:formatCode>0%</c:formatCode>
                <c:ptCount val="4"/>
                <c:pt idx="0">
                  <c:v>0.192</c:v>
                </c:pt>
                <c:pt idx="1">
                  <c:v>0.159</c:v>
                </c:pt>
                <c:pt idx="2">
                  <c:v>0.27800000000000002</c:v>
                </c:pt>
                <c:pt idx="3">
                  <c:v>0.45</c:v>
                </c:pt>
              </c:numCache>
            </c:numRef>
          </c:val>
          <c:extLst>
            <c:ext xmlns:c16="http://schemas.microsoft.com/office/drawing/2014/chart" uri="{C3380CC4-5D6E-409C-BE32-E72D297353CC}">
              <c16:uniqueId val="{00000000-86FE-4F87-988D-FF3CF58ED089}"/>
            </c:ext>
          </c:extLst>
        </c:ser>
        <c:ser>
          <c:idx val="1"/>
          <c:order val="1"/>
          <c:tx>
            <c:strRef>
              <c:f>D_ENG!$I$44</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D_ENG!$G$45:$G$48</c:f>
              <c:strCache>
                <c:ptCount val="4"/>
                <c:pt idx="0">
                  <c:v>Total</c:v>
                </c:pt>
                <c:pt idx="1">
                  <c:v>Small</c:v>
                </c:pt>
                <c:pt idx="2">
                  <c:v>Medium</c:v>
                </c:pt>
                <c:pt idx="3">
                  <c:v>Large</c:v>
                </c:pt>
              </c:strCache>
            </c:strRef>
          </c:cat>
          <c:val>
            <c:numRef>
              <c:f>D_ENG!$I$45:$I$48</c:f>
              <c:numCache>
                <c:formatCode>0%</c:formatCode>
                <c:ptCount val="4"/>
                <c:pt idx="0">
                  <c:v>0.24299999999999999</c:v>
                </c:pt>
                <c:pt idx="1">
                  <c:v>0.20799999999999999</c:v>
                </c:pt>
                <c:pt idx="2">
                  <c:v>0.33300000000000002</c:v>
                </c:pt>
                <c:pt idx="3">
                  <c:v>0.54400000000000004</c:v>
                </c:pt>
              </c:numCache>
            </c:numRef>
          </c:val>
          <c:extLst>
            <c:ext xmlns:c16="http://schemas.microsoft.com/office/drawing/2014/chart" uri="{C3380CC4-5D6E-409C-BE32-E72D297353CC}">
              <c16:uniqueId val="{00000001-86FE-4F87-988D-FF3CF58ED089}"/>
            </c:ext>
          </c:extLst>
        </c:ser>
        <c:ser>
          <c:idx val="2"/>
          <c:order val="2"/>
          <c:tx>
            <c:strRef>
              <c:f>D_ENG!$J$44</c:f>
              <c:strCache>
                <c:ptCount val="1"/>
                <c:pt idx="0">
                  <c:v> 2017</c:v>
                </c:pt>
              </c:strCache>
            </c:strRef>
          </c:tx>
          <c:spPr>
            <a:solidFill>
              <a:srgbClr val="009BB4"/>
            </a:solidFill>
          </c:spPr>
          <c:invertIfNegative val="0"/>
          <c:dLbls>
            <c:dLbl>
              <c:idx val="1"/>
              <c:layout>
                <c:manualLayout>
                  <c:x val="3.69333900829964E-3"/>
                  <c:y val="0.127442481061105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FE-4F87-988D-FF3CF58ED089}"/>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D_ENG!$G$45:$G$48</c:f>
              <c:strCache>
                <c:ptCount val="4"/>
                <c:pt idx="0">
                  <c:v>Total</c:v>
                </c:pt>
                <c:pt idx="1">
                  <c:v>Small</c:v>
                </c:pt>
                <c:pt idx="2">
                  <c:v>Medium</c:v>
                </c:pt>
                <c:pt idx="3">
                  <c:v>Large</c:v>
                </c:pt>
              </c:strCache>
            </c:strRef>
          </c:cat>
          <c:val>
            <c:numRef>
              <c:f>D_ENG!$J$45:$J$48</c:f>
              <c:numCache>
                <c:formatCode>0%</c:formatCode>
                <c:ptCount val="4"/>
                <c:pt idx="0">
                  <c:v>0.29899999999999999</c:v>
                </c:pt>
                <c:pt idx="1">
                  <c:v>0.25800000000000001</c:v>
                </c:pt>
                <c:pt idx="2">
                  <c:v>0.41299999999999998</c:v>
                </c:pt>
                <c:pt idx="3">
                  <c:v>0.61599999999999999</c:v>
                </c:pt>
              </c:numCache>
            </c:numRef>
          </c:val>
          <c:extLst>
            <c:ext xmlns:c16="http://schemas.microsoft.com/office/drawing/2014/chart" uri="{C3380CC4-5D6E-409C-BE32-E72D297353CC}">
              <c16:uniqueId val="{00000003-86FE-4F87-988D-FF3CF58ED089}"/>
            </c:ext>
          </c:extLst>
        </c:ser>
        <c:dLbls>
          <c:showLegendKey val="0"/>
          <c:showVal val="1"/>
          <c:showCatName val="0"/>
          <c:showSerName val="0"/>
          <c:showPercent val="0"/>
          <c:showBubbleSize val="0"/>
        </c:dLbls>
        <c:gapWidth val="50"/>
        <c:overlap val="1"/>
        <c:axId val="182303232"/>
        <c:axId val="182231040"/>
      </c:barChart>
      <c:catAx>
        <c:axId val="182303232"/>
        <c:scaling>
          <c:orientation val="minMax"/>
        </c:scaling>
        <c:delete val="0"/>
        <c:axPos val="b"/>
        <c:numFmt formatCode="General" sourceLinked="1"/>
        <c:majorTickMark val="out"/>
        <c:minorTickMark val="none"/>
        <c:tickLblPos val="nextTo"/>
        <c:spPr>
          <a:ln w="3175">
            <a:solidFill>
              <a:schemeClr val="tx1"/>
            </a:solidFill>
          </a:ln>
        </c:spPr>
        <c:crossAx val="182231040"/>
        <c:crosses val="autoZero"/>
        <c:auto val="1"/>
        <c:lblAlgn val="ctr"/>
        <c:lblOffset val="100"/>
        <c:noMultiLvlLbl val="0"/>
      </c:catAx>
      <c:valAx>
        <c:axId val="182231040"/>
        <c:scaling>
          <c:orientation val="minMax"/>
          <c:max val="0.9"/>
          <c:min val="0"/>
        </c:scaling>
        <c:delete val="0"/>
        <c:axPos val="l"/>
        <c:numFmt formatCode="0%" sourceLinked="1"/>
        <c:majorTickMark val="none"/>
        <c:minorTickMark val="none"/>
        <c:tickLblPos val="none"/>
        <c:crossAx val="182303232"/>
        <c:crosses val="autoZero"/>
        <c:crossBetween val="between"/>
      </c:valAx>
      <c:spPr>
        <a:ln w="12700">
          <a:solidFill>
            <a:srgbClr val="A6A6A6"/>
          </a:solidFill>
        </a:ln>
      </c:spPr>
    </c:plotArea>
    <c:legend>
      <c:legendPos val="t"/>
      <c:layout>
        <c:manualLayout>
          <c:xMode val="edge"/>
          <c:yMode val="edge"/>
          <c:x val="0.16207528853413899"/>
          <c:y val="0.16619185045308299"/>
          <c:w val="0.55678351849854402"/>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a:t>
            </a:r>
            <a:r>
              <a:rPr lang="cs-CZ" sz="800"/>
              <a:t>7</a:t>
            </a:r>
            <a:r>
              <a:rPr lang="en-US" sz="800"/>
              <a:t> Enterprises in EU countries with internet connection speed at least 30 Mb/s</a:t>
            </a:r>
            <a:r>
              <a:rPr lang="cs-CZ" sz="800"/>
              <a:t>;</a:t>
            </a:r>
            <a:r>
              <a:rPr lang="cs-CZ" sz="800" baseline="0"/>
              <a:t> </a:t>
            </a:r>
            <a:r>
              <a:rPr lang="en-US" sz="800"/>
              <a:t>2017 (%)</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D_ENG!$L$61</c:f>
              <c:strCache>
                <c:ptCount val="1"/>
                <c:pt idx="0">
                  <c:v> Total</c:v>
                </c:pt>
              </c:strCache>
            </c:strRef>
          </c:tx>
          <c:spPr>
            <a:solidFill>
              <a:srgbClr val="009BB4"/>
            </a:solidFill>
            <a:ln>
              <a:noFill/>
            </a:ln>
          </c:spPr>
          <c:invertIfNegative val="0"/>
          <c:dPt>
            <c:idx val="6"/>
            <c:invertIfNegative val="0"/>
            <c:bubble3D val="0"/>
            <c:spPr>
              <a:solidFill>
                <a:srgbClr val="009BB4"/>
              </a:solidFill>
              <a:ln w="9525">
                <a:noFill/>
              </a:ln>
            </c:spPr>
            <c:extLst>
              <c:ext xmlns:c16="http://schemas.microsoft.com/office/drawing/2014/chart" uri="{C3380CC4-5D6E-409C-BE32-E72D297353CC}">
                <c16:uniqueId val="{00000001-2A27-4F6B-9D48-3078B2454557}"/>
              </c:ext>
            </c:extLst>
          </c:dPt>
          <c:dPt>
            <c:idx val="8"/>
            <c:invertIfNegative val="0"/>
            <c:bubble3D val="0"/>
            <c:spPr>
              <a:solidFill>
                <a:srgbClr val="009BB4"/>
              </a:solidFill>
              <a:ln w="19050">
                <a:noFill/>
              </a:ln>
            </c:spPr>
            <c:extLst>
              <c:ext xmlns:c16="http://schemas.microsoft.com/office/drawing/2014/chart" uri="{C3380CC4-5D6E-409C-BE32-E72D297353CC}">
                <c16:uniqueId val="{00000003-2A27-4F6B-9D48-3078B2454557}"/>
              </c:ext>
            </c:extLst>
          </c:dPt>
          <c:dPt>
            <c:idx val="11"/>
            <c:invertIfNegative val="0"/>
            <c:bubble3D val="0"/>
            <c:spPr>
              <a:solidFill>
                <a:srgbClr val="009BB4"/>
              </a:solidFill>
              <a:ln w="9525">
                <a:noFill/>
              </a:ln>
            </c:spPr>
            <c:extLst>
              <c:ext xmlns:c16="http://schemas.microsoft.com/office/drawing/2014/chart" uri="{C3380CC4-5D6E-409C-BE32-E72D297353CC}">
                <c16:uniqueId val="{00000005-2A27-4F6B-9D48-3078B2454557}"/>
              </c:ext>
            </c:extLst>
          </c:dPt>
          <c:dPt>
            <c:idx val="13"/>
            <c:invertIfNegative val="0"/>
            <c:bubble3D val="0"/>
            <c:spPr>
              <a:solidFill>
                <a:srgbClr val="009BB4"/>
              </a:solidFill>
              <a:ln w="19050">
                <a:noFill/>
              </a:ln>
            </c:spPr>
            <c:extLst>
              <c:ext xmlns:c16="http://schemas.microsoft.com/office/drawing/2014/chart" uri="{C3380CC4-5D6E-409C-BE32-E72D297353CC}">
                <c16:uniqueId val="{00000007-2A27-4F6B-9D48-3078B2454557}"/>
              </c:ext>
            </c:extLst>
          </c:dPt>
          <c:dPt>
            <c:idx val="15"/>
            <c:invertIfNegative val="0"/>
            <c:bubble3D val="0"/>
            <c:spPr>
              <a:solidFill>
                <a:srgbClr val="009BB4"/>
              </a:solidFill>
              <a:ln w="19050">
                <a:noFill/>
              </a:ln>
            </c:spPr>
            <c:extLst>
              <c:ext xmlns:c16="http://schemas.microsoft.com/office/drawing/2014/chart" uri="{C3380CC4-5D6E-409C-BE32-E72D297353CC}">
                <c16:uniqueId val="{00000009-2A27-4F6B-9D48-3078B2454557}"/>
              </c:ext>
            </c:extLst>
          </c:dPt>
          <c:dPt>
            <c:idx val="16"/>
            <c:invertIfNegative val="0"/>
            <c:bubble3D val="0"/>
            <c:spPr>
              <a:solidFill>
                <a:srgbClr val="009BB4"/>
              </a:solidFill>
              <a:ln w="19050">
                <a:noFill/>
              </a:ln>
            </c:spPr>
            <c:extLst>
              <c:ext xmlns:c16="http://schemas.microsoft.com/office/drawing/2014/chart" uri="{C3380CC4-5D6E-409C-BE32-E72D297353CC}">
                <c16:uniqueId val="{0000000B-2A27-4F6B-9D48-3078B2454557}"/>
              </c:ext>
            </c:extLst>
          </c:dPt>
          <c:dPt>
            <c:idx val="17"/>
            <c:invertIfNegative val="0"/>
            <c:bubble3D val="0"/>
            <c:spPr>
              <a:solidFill>
                <a:srgbClr val="009BB4"/>
              </a:solidFill>
              <a:ln>
                <a:solidFill>
                  <a:srgbClr val="FF0000"/>
                </a:solidFill>
              </a:ln>
            </c:spPr>
            <c:extLst>
              <c:ext xmlns:c16="http://schemas.microsoft.com/office/drawing/2014/chart" uri="{C3380CC4-5D6E-409C-BE32-E72D297353CC}">
                <c16:uniqueId val="{0000000D-2A27-4F6B-9D48-3078B2454557}"/>
              </c:ext>
            </c:extLst>
          </c:dPt>
          <c:dPt>
            <c:idx val="22"/>
            <c:invertIfNegative val="0"/>
            <c:bubble3D val="0"/>
            <c:spPr>
              <a:solidFill>
                <a:srgbClr val="009BB4"/>
              </a:solidFill>
              <a:ln>
                <a:solidFill>
                  <a:srgbClr val="FF0000"/>
                </a:solidFill>
              </a:ln>
            </c:spPr>
            <c:extLst>
              <c:ext xmlns:c16="http://schemas.microsoft.com/office/drawing/2014/chart" uri="{C3380CC4-5D6E-409C-BE32-E72D297353CC}">
                <c16:uniqueId val="{0000000F-2A27-4F6B-9D48-3078B2454557}"/>
              </c:ext>
            </c:extLst>
          </c:dPt>
          <c:dPt>
            <c:idx val="23"/>
            <c:invertIfNegative val="0"/>
            <c:bubble3D val="0"/>
            <c:extLst>
              <c:ext xmlns:c16="http://schemas.microsoft.com/office/drawing/2014/chart" uri="{C3380CC4-5D6E-409C-BE32-E72D297353CC}">
                <c16:uniqueId val="{00000010-2A27-4F6B-9D48-3078B2454557}"/>
              </c:ext>
            </c:extLst>
          </c:dPt>
          <c:dLbls>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D_ENG!$K$62:$K$90</c:f>
              <c:strCache>
                <c:ptCount val="29"/>
                <c:pt idx="0">
                  <c:v>Denmark</c:v>
                </c:pt>
                <c:pt idx="1">
                  <c:v>Netherlands</c:v>
                </c:pt>
                <c:pt idx="2">
                  <c:v>Sweden</c:v>
                </c:pt>
                <c:pt idx="3">
                  <c:v>Portugal</c:v>
                </c:pt>
                <c:pt idx="4">
                  <c:v>Lithuania</c:v>
                </c:pt>
                <c:pt idx="5">
                  <c:v>Belgium</c:v>
                </c:pt>
                <c:pt idx="6">
                  <c:v>Luxembourg </c:v>
                </c:pt>
                <c:pt idx="7">
                  <c:v>Finland</c:v>
                </c:pt>
                <c:pt idx="8">
                  <c:v>Malta</c:v>
                </c:pt>
                <c:pt idx="9">
                  <c:v>Ireland</c:v>
                </c:pt>
                <c:pt idx="10">
                  <c:v>Estonia</c:v>
                </c:pt>
                <c:pt idx="11">
                  <c:v>Bulgaria</c:v>
                </c:pt>
                <c:pt idx="12">
                  <c:v>Spain</c:v>
                </c:pt>
                <c:pt idx="13">
                  <c:v>Latvia</c:v>
                </c:pt>
                <c:pt idx="14">
                  <c:v>Romania</c:v>
                </c:pt>
                <c:pt idx="15">
                  <c:v>Germany</c:v>
                </c:pt>
                <c:pt idx="16">
                  <c:v>United Kingdom</c:v>
                </c:pt>
                <c:pt idx="17">
                  <c:v>EU28</c:v>
                </c:pt>
                <c:pt idx="18">
                  <c:v>Hungary</c:v>
                </c:pt>
                <c:pt idx="19">
                  <c:v>Slovenia</c:v>
                </c:pt>
                <c:pt idx="20">
                  <c:v>Poland</c:v>
                </c:pt>
                <c:pt idx="21">
                  <c:v>Austria</c:v>
                </c:pt>
                <c:pt idx="22">
                  <c:v>Czech Republic</c:v>
                </c:pt>
                <c:pt idx="23">
                  <c:v>Croatia</c:v>
                </c:pt>
                <c:pt idx="24">
                  <c:v>Slovakia</c:v>
                </c:pt>
                <c:pt idx="25">
                  <c:v>France</c:v>
                </c:pt>
                <c:pt idx="26">
                  <c:v>Cyprus</c:v>
                </c:pt>
                <c:pt idx="27">
                  <c:v>Italy</c:v>
                </c:pt>
                <c:pt idx="28">
                  <c:v>Greece</c:v>
                </c:pt>
              </c:strCache>
            </c:strRef>
          </c:cat>
          <c:val>
            <c:numRef>
              <c:f>D_ENG!$L$62:$L$90</c:f>
              <c:numCache>
                <c:formatCode>0%</c:formatCode>
                <c:ptCount val="29"/>
                <c:pt idx="0">
                  <c:v>0.73299999999999998</c:v>
                </c:pt>
                <c:pt idx="1">
                  <c:v>0.65400000000000003</c:v>
                </c:pt>
                <c:pt idx="2">
                  <c:v>0.63100000000000001</c:v>
                </c:pt>
                <c:pt idx="3">
                  <c:v>0.57099999999999995</c:v>
                </c:pt>
                <c:pt idx="4">
                  <c:v>0.55200000000000005</c:v>
                </c:pt>
                <c:pt idx="5">
                  <c:v>0.54100000000000004</c:v>
                </c:pt>
                <c:pt idx="6">
                  <c:v>0.51900000000000002</c:v>
                </c:pt>
                <c:pt idx="7">
                  <c:v>0.51600000000000001</c:v>
                </c:pt>
                <c:pt idx="8">
                  <c:v>0.504</c:v>
                </c:pt>
                <c:pt idx="9">
                  <c:v>0.47799999999999998</c:v>
                </c:pt>
                <c:pt idx="10">
                  <c:v>0.45900000000000002</c:v>
                </c:pt>
                <c:pt idx="11">
                  <c:v>0.45400000000000001</c:v>
                </c:pt>
                <c:pt idx="12">
                  <c:v>0.441</c:v>
                </c:pt>
                <c:pt idx="13">
                  <c:v>0.435</c:v>
                </c:pt>
                <c:pt idx="14">
                  <c:v>0.432</c:v>
                </c:pt>
                <c:pt idx="15">
                  <c:v>0.41199999999999998</c:v>
                </c:pt>
                <c:pt idx="16">
                  <c:v>0.41099999999999998</c:v>
                </c:pt>
                <c:pt idx="17">
                  <c:v>0.38400000000000001</c:v>
                </c:pt>
                <c:pt idx="18">
                  <c:v>0.35799999999999998</c:v>
                </c:pt>
                <c:pt idx="19">
                  <c:v>0.34799999999999998</c:v>
                </c:pt>
                <c:pt idx="20">
                  <c:v>0.32100000000000001</c:v>
                </c:pt>
                <c:pt idx="21">
                  <c:v>0.316</c:v>
                </c:pt>
                <c:pt idx="22">
                  <c:v>0.29899999999999999</c:v>
                </c:pt>
                <c:pt idx="23">
                  <c:v>0.29799999999999999</c:v>
                </c:pt>
                <c:pt idx="24">
                  <c:v>0.29199999999999998</c:v>
                </c:pt>
                <c:pt idx="25">
                  <c:v>0.26700000000000002</c:v>
                </c:pt>
                <c:pt idx="26">
                  <c:v>0.24099999999999999</c:v>
                </c:pt>
                <c:pt idx="27">
                  <c:v>0.221</c:v>
                </c:pt>
                <c:pt idx="28">
                  <c:v>0.214</c:v>
                </c:pt>
              </c:numCache>
            </c:numRef>
          </c:val>
          <c:extLst>
            <c:ext xmlns:c16="http://schemas.microsoft.com/office/drawing/2014/chart" uri="{C3380CC4-5D6E-409C-BE32-E72D297353CC}">
              <c16:uniqueId val="{00000011-2A27-4F6B-9D48-3078B2454557}"/>
            </c:ext>
          </c:extLst>
        </c:ser>
        <c:dLbls>
          <c:showLegendKey val="0"/>
          <c:showVal val="0"/>
          <c:showCatName val="0"/>
          <c:showSerName val="0"/>
          <c:showPercent val="0"/>
          <c:showBubbleSize val="0"/>
        </c:dLbls>
        <c:gapWidth val="50"/>
        <c:axId val="182303744"/>
        <c:axId val="182232768"/>
      </c:barChart>
      <c:barChart>
        <c:barDir val="col"/>
        <c:grouping val="clustered"/>
        <c:varyColors val="0"/>
        <c:ser>
          <c:idx val="1"/>
          <c:order val="1"/>
          <c:tx>
            <c:strRef>
              <c:f>D_ENG!$M$61</c:f>
              <c:strCache>
                <c:ptCount val="1"/>
                <c:pt idx="0">
                  <c:v> of which at least 100 Mb/s</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D_ENG!$K$62:$K$90</c:f>
              <c:strCache>
                <c:ptCount val="29"/>
                <c:pt idx="0">
                  <c:v>Denmark</c:v>
                </c:pt>
                <c:pt idx="1">
                  <c:v>Netherlands</c:v>
                </c:pt>
                <c:pt idx="2">
                  <c:v>Sweden</c:v>
                </c:pt>
                <c:pt idx="3">
                  <c:v>Portugal</c:v>
                </c:pt>
                <c:pt idx="4">
                  <c:v>Lithuania</c:v>
                </c:pt>
                <c:pt idx="5">
                  <c:v>Belgium</c:v>
                </c:pt>
                <c:pt idx="6">
                  <c:v>Luxembourg </c:v>
                </c:pt>
                <c:pt idx="7">
                  <c:v>Finland</c:v>
                </c:pt>
                <c:pt idx="8">
                  <c:v>Malta</c:v>
                </c:pt>
                <c:pt idx="9">
                  <c:v>Ireland</c:v>
                </c:pt>
                <c:pt idx="10">
                  <c:v>Estonia</c:v>
                </c:pt>
                <c:pt idx="11">
                  <c:v>Bulgaria</c:v>
                </c:pt>
                <c:pt idx="12">
                  <c:v>Spain</c:v>
                </c:pt>
                <c:pt idx="13">
                  <c:v>Latvia</c:v>
                </c:pt>
                <c:pt idx="14">
                  <c:v>Romania</c:v>
                </c:pt>
                <c:pt idx="15">
                  <c:v>Germany</c:v>
                </c:pt>
                <c:pt idx="16">
                  <c:v>United Kingdom</c:v>
                </c:pt>
                <c:pt idx="17">
                  <c:v>EU28</c:v>
                </c:pt>
                <c:pt idx="18">
                  <c:v>Hungary</c:v>
                </c:pt>
                <c:pt idx="19">
                  <c:v>Slovenia</c:v>
                </c:pt>
                <c:pt idx="20">
                  <c:v>Poland</c:v>
                </c:pt>
                <c:pt idx="21">
                  <c:v>Austria</c:v>
                </c:pt>
                <c:pt idx="22">
                  <c:v>Czech Republic</c:v>
                </c:pt>
                <c:pt idx="23">
                  <c:v>Croatia</c:v>
                </c:pt>
                <c:pt idx="24">
                  <c:v>Slovakia</c:v>
                </c:pt>
                <c:pt idx="25">
                  <c:v>France</c:v>
                </c:pt>
                <c:pt idx="26">
                  <c:v>Cyprus</c:v>
                </c:pt>
                <c:pt idx="27">
                  <c:v>Italy</c:v>
                </c:pt>
                <c:pt idx="28">
                  <c:v>Greece</c:v>
                </c:pt>
              </c:strCache>
            </c:strRef>
          </c:cat>
          <c:val>
            <c:numRef>
              <c:f>D_ENG!$M$62:$M$90</c:f>
              <c:numCache>
                <c:formatCode>0%</c:formatCode>
                <c:ptCount val="29"/>
                <c:pt idx="0">
                  <c:v>0.41599999999999998</c:v>
                </c:pt>
                <c:pt idx="1">
                  <c:v>0.26700000000000002</c:v>
                </c:pt>
                <c:pt idx="2">
                  <c:v>0.39300000000000002</c:v>
                </c:pt>
                <c:pt idx="3">
                  <c:v>0.315</c:v>
                </c:pt>
                <c:pt idx="4">
                  <c:v>0.27700000000000002</c:v>
                </c:pt>
                <c:pt idx="5">
                  <c:v>0.26100000000000001</c:v>
                </c:pt>
                <c:pt idx="6">
                  <c:v>0.247</c:v>
                </c:pt>
                <c:pt idx="7">
                  <c:v>0.316</c:v>
                </c:pt>
                <c:pt idx="8">
                  <c:v>0.19600000000000001</c:v>
                </c:pt>
                <c:pt idx="9">
                  <c:v>0.182</c:v>
                </c:pt>
                <c:pt idx="10">
                  <c:v>0.16800000000000001</c:v>
                </c:pt>
                <c:pt idx="11">
                  <c:v>0.124</c:v>
                </c:pt>
                <c:pt idx="12">
                  <c:v>0.245</c:v>
                </c:pt>
                <c:pt idx="13">
                  <c:v>0.19400000000000001</c:v>
                </c:pt>
                <c:pt idx="14">
                  <c:v>0.17199999999999999</c:v>
                </c:pt>
                <c:pt idx="15">
                  <c:v>0.13900000000000001</c:v>
                </c:pt>
                <c:pt idx="16">
                  <c:v>0.13300000000000001</c:v>
                </c:pt>
                <c:pt idx="17">
                  <c:v>0.156</c:v>
                </c:pt>
                <c:pt idx="18">
                  <c:v>0.157</c:v>
                </c:pt>
                <c:pt idx="19">
                  <c:v>0.161</c:v>
                </c:pt>
                <c:pt idx="20">
                  <c:v>0.127</c:v>
                </c:pt>
                <c:pt idx="21">
                  <c:v>0.128</c:v>
                </c:pt>
                <c:pt idx="22">
                  <c:v>0.11799999999999999</c:v>
                </c:pt>
                <c:pt idx="23">
                  <c:v>7.0999999999999994E-2</c:v>
                </c:pt>
                <c:pt idx="24">
                  <c:v>0.125</c:v>
                </c:pt>
                <c:pt idx="25">
                  <c:v>0.11799999999999999</c:v>
                </c:pt>
                <c:pt idx="26">
                  <c:v>5.2999999999999999E-2</c:v>
                </c:pt>
                <c:pt idx="27">
                  <c:v>7.0000000000000007E-2</c:v>
                </c:pt>
                <c:pt idx="28">
                  <c:v>4.4999999999999998E-2</c:v>
                </c:pt>
              </c:numCache>
            </c:numRef>
          </c:val>
          <c:extLst>
            <c:ext xmlns:c16="http://schemas.microsoft.com/office/drawing/2014/chart" uri="{C3380CC4-5D6E-409C-BE32-E72D297353CC}">
              <c16:uniqueId val="{00000012-2A27-4F6B-9D48-3078B2454557}"/>
            </c:ext>
          </c:extLst>
        </c:ser>
        <c:dLbls>
          <c:showLegendKey val="0"/>
          <c:showVal val="0"/>
          <c:showCatName val="0"/>
          <c:showSerName val="0"/>
          <c:showPercent val="0"/>
          <c:showBubbleSize val="0"/>
        </c:dLbls>
        <c:gapWidth val="200"/>
        <c:axId val="182812672"/>
        <c:axId val="182233344"/>
      </c:barChart>
      <c:catAx>
        <c:axId val="182303744"/>
        <c:scaling>
          <c:orientation val="minMax"/>
        </c:scaling>
        <c:delete val="0"/>
        <c:axPos val="b"/>
        <c:numFmt formatCode="General" sourceLinked="0"/>
        <c:majorTickMark val="out"/>
        <c:minorTickMark val="none"/>
        <c:tickLblPos val="nextTo"/>
        <c:spPr>
          <a:ln w="3175">
            <a:solidFill>
              <a:schemeClr val="tx1"/>
            </a:solidFill>
          </a:ln>
        </c:spPr>
        <c:crossAx val="182232768"/>
        <c:crosses val="autoZero"/>
        <c:auto val="1"/>
        <c:lblAlgn val="ctr"/>
        <c:lblOffset val="100"/>
        <c:noMultiLvlLbl val="0"/>
      </c:catAx>
      <c:valAx>
        <c:axId val="182232768"/>
        <c:scaling>
          <c:orientation val="minMax"/>
          <c:max val="0.75"/>
          <c:min val="0"/>
        </c:scaling>
        <c:delete val="1"/>
        <c:axPos val="l"/>
        <c:numFmt formatCode="0%" sourceLinked="1"/>
        <c:majorTickMark val="out"/>
        <c:minorTickMark val="none"/>
        <c:tickLblPos val="nextTo"/>
        <c:crossAx val="182303744"/>
        <c:crosses val="autoZero"/>
        <c:crossBetween val="between"/>
        <c:majorUnit val="0.15"/>
        <c:minorUnit val="0.05"/>
      </c:valAx>
      <c:valAx>
        <c:axId val="182233344"/>
        <c:scaling>
          <c:orientation val="minMax"/>
          <c:max val="0.75"/>
        </c:scaling>
        <c:delete val="0"/>
        <c:axPos val="r"/>
        <c:numFmt formatCode="0%" sourceLinked="1"/>
        <c:majorTickMark val="none"/>
        <c:minorTickMark val="none"/>
        <c:tickLblPos val="none"/>
        <c:crossAx val="182812672"/>
        <c:crosses val="max"/>
        <c:crossBetween val="between"/>
        <c:majorUnit val="0.25"/>
      </c:valAx>
      <c:catAx>
        <c:axId val="182812672"/>
        <c:scaling>
          <c:orientation val="minMax"/>
        </c:scaling>
        <c:delete val="1"/>
        <c:axPos val="b"/>
        <c:numFmt formatCode="General" sourceLinked="0"/>
        <c:majorTickMark val="out"/>
        <c:minorTickMark val="none"/>
        <c:tickLblPos val="none"/>
        <c:crossAx val="182233344"/>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57776002946889005"/>
          <c:y val="0.152129320987654"/>
          <c:w val="0.35969375795325198"/>
          <c:h val="0.11246234567901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1498699540385504"/>
        </c:manualLayout>
      </c:layout>
      <c:barChart>
        <c:barDir val="col"/>
        <c:grouping val="clustered"/>
        <c:varyColors val="0"/>
        <c:ser>
          <c:idx val="0"/>
          <c:order val="0"/>
          <c:tx>
            <c:strRef>
              <c:f>D_ENG!$H$107</c:f>
              <c:strCache>
                <c:ptCount val="1"/>
                <c:pt idx="0">
                  <c:v> 2002</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D_ENG!$G$108:$G$111</c:f>
              <c:strCache>
                <c:ptCount val="4"/>
                <c:pt idx="0">
                  <c:v>Total</c:v>
                </c:pt>
                <c:pt idx="1">
                  <c:v>Small</c:v>
                </c:pt>
                <c:pt idx="2">
                  <c:v>Medium</c:v>
                </c:pt>
                <c:pt idx="3">
                  <c:v>Large</c:v>
                </c:pt>
              </c:strCache>
            </c:strRef>
          </c:cat>
          <c:val>
            <c:numRef>
              <c:f>D_ENG!$H$108:$H$111</c:f>
              <c:numCache>
                <c:formatCode>0%</c:formatCode>
                <c:ptCount val="4"/>
                <c:pt idx="0">
                  <c:v>0.56000000000000005</c:v>
                </c:pt>
                <c:pt idx="1">
                  <c:v>0.5</c:v>
                </c:pt>
                <c:pt idx="2">
                  <c:v>0.75</c:v>
                </c:pt>
                <c:pt idx="3">
                  <c:v>0.86</c:v>
                </c:pt>
              </c:numCache>
            </c:numRef>
          </c:val>
          <c:extLst>
            <c:ext xmlns:c16="http://schemas.microsoft.com/office/drawing/2014/chart" uri="{C3380CC4-5D6E-409C-BE32-E72D297353CC}">
              <c16:uniqueId val="{00000000-5834-4C70-A9EA-1763EC6F3724}"/>
            </c:ext>
          </c:extLst>
        </c:ser>
        <c:ser>
          <c:idx val="1"/>
          <c:order val="1"/>
          <c:tx>
            <c:strRef>
              <c:f>D_ENG!$I$107</c:f>
              <c:strCache>
                <c:ptCount val="1"/>
                <c:pt idx="0">
                  <c:v> 2007</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D_ENG!$G$108:$G$111</c:f>
              <c:strCache>
                <c:ptCount val="4"/>
                <c:pt idx="0">
                  <c:v>Total</c:v>
                </c:pt>
                <c:pt idx="1">
                  <c:v>Small</c:v>
                </c:pt>
                <c:pt idx="2">
                  <c:v>Medium</c:v>
                </c:pt>
                <c:pt idx="3">
                  <c:v>Large</c:v>
                </c:pt>
              </c:strCache>
            </c:strRef>
          </c:cat>
          <c:val>
            <c:numRef>
              <c:f>D_ENG!$I$108:$I$111</c:f>
              <c:numCache>
                <c:formatCode>0%</c:formatCode>
                <c:ptCount val="4"/>
                <c:pt idx="0">
                  <c:v>0.71</c:v>
                </c:pt>
                <c:pt idx="1">
                  <c:v>0.68</c:v>
                </c:pt>
                <c:pt idx="2">
                  <c:v>0.84</c:v>
                </c:pt>
                <c:pt idx="3">
                  <c:v>0.92</c:v>
                </c:pt>
              </c:numCache>
            </c:numRef>
          </c:val>
          <c:extLst>
            <c:ext xmlns:c16="http://schemas.microsoft.com/office/drawing/2014/chart" uri="{C3380CC4-5D6E-409C-BE32-E72D297353CC}">
              <c16:uniqueId val="{00000001-5834-4C70-A9EA-1763EC6F3724}"/>
            </c:ext>
          </c:extLst>
        </c:ser>
        <c:ser>
          <c:idx val="2"/>
          <c:order val="2"/>
          <c:tx>
            <c:strRef>
              <c:f>D_ENG!$J$107</c:f>
              <c:strCache>
                <c:ptCount val="1"/>
                <c:pt idx="0">
                  <c:v> 2012</c:v>
                </c:pt>
              </c:strCache>
            </c:strRef>
          </c:tx>
          <c:spPr>
            <a:solidFill>
              <a:srgbClr val="00C5E6"/>
            </a:solidFill>
          </c:spPr>
          <c:invertIfNegative val="0"/>
          <c:dLbls>
            <c:dLbl>
              <c:idx val="1"/>
              <c:layout>
                <c:manualLayout>
                  <c:x val="3.6932369755150502E-3"/>
                  <c:y val="0.159706891842139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34-4C70-A9EA-1763EC6F3724}"/>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D_ENG!$G$108:$G$111</c:f>
              <c:strCache>
                <c:ptCount val="4"/>
                <c:pt idx="0">
                  <c:v>Total</c:v>
                </c:pt>
                <c:pt idx="1">
                  <c:v>Small</c:v>
                </c:pt>
                <c:pt idx="2">
                  <c:v>Medium</c:v>
                </c:pt>
                <c:pt idx="3">
                  <c:v>Large</c:v>
                </c:pt>
              </c:strCache>
            </c:strRef>
          </c:cat>
          <c:val>
            <c:numRef>
              <c:f>D_ENG!$J$108:$J$111</c:f>
              <c:numCache>
                <c:formatCode>0%</c:formatCode>
                <c:ptCount val="4"/>
                <c:pt idx="0">
                  <c:v>0.8</c:v>
                </c:pt>
                <c:pt idx="1">
                  <c:v>0.77</c:v>
                </c:pt>
                <c:pt idx="2">
                  <c:v>0.9</c:v>
                </c:pt>
                <c:pt idx="3">
                  <c:v>0.93</c:v>
                </c:pt>
              </c:numCache>
            </c:numRef>
          </c:val>
          <c:extLst>
            <c:ext xmlns:c16="http://schemas.microsoft.com/office/drawing/2014/chart" uri="{C3380CC4-5D6E-409C-BE32-E72D297353CC}">
              <c16:uniqueId val="{00000003-5834-4C70-A9EA-1763EC6F3724}"/>
            </c:ext>
          </c:extLst>
        </c:ser>
        <c:ser>
          <c:idx val="3"/>
          <c:order val="3"/>
          <c:tx>
            <c:strRef>
              <c:f>D_ENG!$K$107</c:f>
              <c:strCache>
                <c:ptCount val="1"/>
                <c:pt idx="0">
                  <c:v> 2017</c:v>
                </c:pt>
              </c:strCache>
            </c:strRef>
          </c:tx>
          <c:spPr>
            <a:solidFill>
              <a:srgbClr val="009BB4"/>
            </a:solidFill>
          </c:spPr>
          <c:invertIfNegative val="0"/>
          <c:dLbls>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D_ENG!$G$108:$G$111</c:f>
              <c:strCache>
                <c:ptCount val="4"/>
                <c:pt idx="0">
                  <c:v>Total</c:v>
                </c:pt>
                <c:pt idx="1">
                  <c:v>Small</c:v>
                </c:pt>
                <c:pt idx="2">
                  <c:v>Medium</c:v>
                </c:pt>
                <c:pt idx="3">
                  <c:v>Large</c:v>
                </c:pt>
              </c:strCache>
            </c:strRef>
          </c:cat>
          <c:val>
            <c:numRef>
              <c:f>D_ENG!$K$108:$K$111</c:f>
              <c:numCache>
                <c:formatCode>0%</c:formatCode>
                <c:ptCount val="4"/>
                <c:pt idx="0">
                  <c:v>0.83</c:v>
                </c:pt>
                <c:pt idx="1">
                  <c:v>0.8</c:v>
                </c:pt>
                <c:pt idx="2">
                  <c:v>0.92</c:v>
                </c:pt>
                <c:pt idx="3">
                  <c:v>0.94</c:v>
                </c:pt>
              </c:numCache>
            </c:numRef>
          </c:val>
          <c:extLst>
            <c:ext xmlns:c16="http://schemas.microsoft.com/office/drawing/2014/chart" uri="{C3380CC4-5D6E-409C-BE32-E72D297353CC}">
              <c16:uniqueId val="{00000004-5834-4C70-A9EA-1763EC6F3724}"/>
            </c:ext>
          </c:extLst>
        </c:ser>
        <c:dLbls>
          <c:showLegendKey val="0"/>
          <c:showVal val="1"/>
          <c:showCatName val="0"/>
          <c:showSerName val="0"/>
          <c:showPercent val="0"/>
          <c:showBubbleSize val="0"/>
        </c:dLbls>
        <c:gapWidth val="50"/>
        <c:overlap val="1"/>
        <c:axId val="182438400"/>
        <c:axId val="182234496"/>
      </c:barChart>
      <c:catAx>
        <c:axId val="182438400"/>
        <c:scaling>
          <c:orientation val="minMax"/>
        </c:scaling>
        <c:delete val="0"/>
        <c:axPos val="b"/>
        <c:numFmt formatCode="General" sourceLinked="1"/>
        <c:majorTickMark val="out"/>
        <c:minorTickMark val="none"/>
        <c:tickLblPos val="nextTo"/>
        <c:spPr>
          <a:ln w="3175">
            <a:solidFill>
              <a:schemeClr val="tx1"/>
            </a:solidFill>
          </a:ln>
        </c:spPr>
        <c:crossAx val="182234496"/>
        <c:crosses val="autoZero"/>
        <c:auto val="1"/>
        <c:lblAlgn val="ctr"/>
        <c:lblOffset val="100"/>
        <c:noMultiLvlLbl val="0"/>
      </c:catAx>
      <c:valAx>
        <c:axId val="182234496"/>
        <c:scaling>
          <c:orientation val="minMax"/>
          <c:max val="1.2"/>
          <c:min val="0"/>
        </c:scaling>
        <c:delete val="0"/>
        <c:axPos val="l"/>
        <c:numFmt formatCode="0%" sourceLinked="1"/>
        <c:majorTickMark val="none"/>
        <c:minorTickMark val="none"/>
        <c:tickLblPos val="none"/>
        <c:crossAx val="182438400"/>
        <c:crosses val="autoZero"/>
        <c:crossBetween val="between"/>
      </c:valAx>
      <c:spPr>
        <a:ln w="12700">
          <a:solidFill>
            <a:srgbClr val="A6A6A6"/>
          </a:solidFill>
        </a:ln>
      </c:spPr>
    </c:plotArea>
    <c:legend>
      <c:legendPos val="t"/>
      <c:layout>
        <c:manualLayout>
          <c:xMode val="edge"/>
          <c:yMode val="edge"/>
          <c:x val="0.13011181821450399"/>
          <c:y val="0.17222503295685301"/>
          <c:w val="0.72017977204904204"/>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2102017790762598"/>
        </c:manualLayout>
      </c:layout>
      <c:barChart>
        <c:barDir val="col"/>
        <c:grouping val="clustered"/>
        <c:varyColors val="0"/>
        <c:ser>
          <c:idx val="0"/>
          <c:order val="0"/>
          <c:tx>
            <c:strRef>
              <c:f>D_ENG!$H$116</c:f>
              <c:strCache>
                <c:ptCount val="1"/>
                <c:pt idx="0">
                  <c:v> 2015</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D_ENG!$G$117:$G$120</c:f>
              <c:strCache>
                <c:ptCount val="4"/>
                <c:pt idx="0">
                  <c:v>Total</c:v>
                </c:pt>
                <c:pt idx="1">
                  <c:v>Small</c:v>
                </c:pt>
                <c:pt idx="2">
                  <c:v>Medium</c:v>
                </c:pt>
                <c:pt idx="3">
                  <c:v>Large</c:v>
                </c:pt>
              </c:strCache>
            </c:strRef>
          </c:cat>
          <c:val>
            <c:numRef>
              <c:f>D_ENG!$H$117:$H$120</c:f>
              <c:numCache>
                <c:formatCode>0%</c:formatCode>
                <c:ptCount val="4"/>
                <c:pt idx="0">
                  <c:v>0.26</c:v>
                </c:pt>
                <c:pt idx="1">
                  <c:v>0.25</c:v>
                </c:pt>
                <c:pt idx="2">
                  <c:v>0.3</c:v>
                </c:pt>
                <c:pt idx="3">
                  <c:v>0.39</c:v>
                </c:pt>
              </c:numCache>
            </c:numRef>
          </c:val>
          <c:extLst>
            <c:ext xmlns:c16="http://schemas.microsoft.com/office/drawing/2014/chart" uri="{C3380CC4-5D6E-409C-BE32-E72D297353CC}">
              <c16:uniqueId val="{00000000-76AF-4952-9F28-F588118CA59C}"/>
            </c:ext>
          </c:extLst>
        </c:ser>
        <c:ser>
          <c:idx val="1"/>
          <c:order val="1"/>
          <c:tx>
            <c:strRef>
              <c:f>D_ENG!$I$116</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D_ENG!$G$117:$G$120</c:f>
              <c:strCache>
                <c:ptCount val="4"/>
                <c:pt idx="0">
                  <c:v>Total</c:v>
                </c:pt>
                <c:pt idx="1">
                  <c:v>Small</c:v>
                </c:pt>
                <c:pt idx="2">
                  <c:v>Medium</c:v>
                </c:pt>
                <c:pt idx="3">
                  <c:v>Large</c:v>
                </c:pt>
              </c:strCache>
            </c:strRef>
          </c:cat>
          <c:val>
            <c:numRef>
              <c:f>D_ENG!$I$117:$I$120</c:f>
              <c:numCache>
                <c:formatCode>0%</c:formatCode>
                <c:ptCount val="4"/>
                <c:pt idx="0">
                  <c:v>0.33</c:v>
                </c:pt>
                <c:pt idx="1">
                  <c:v>0.31</c:v>
                </c:pt>
                <c:pt idx="2">
                  <c:v>0.39</c:v>
                </c:pt>
                <c:pt idx="3">
                  <c:v>0.47</c:v>
                </c:pt>
              </c:numCache>
            </c:numRef>
          </c:val>
          <c:extLst>
            <c:ext xmlns:c16="http://schemas.microsoft.com/office/drawing/2014/chart" uri="{C3380CC4-5D6E-409C-BE32-E72D297353CC}">
              <c16:uniqueId val="{00000001-76AF-4952-9F28-F588118CA59C}"/>
            </c:ext>
          </c:extLst>
        </c:ser>
        <c:ser>
          <c:idx val="2"/>
          <c:order val="2"/>
          <c:tx>
            <c:strRef>
              <c:f>D_ENG!$J$116</c:f>
              <c:strCache>
                <c:ptCount val="1"/>
                <c:pt idx="0">
                  <c:v> 2017</c:v>
                </c:pt>
              </c:strCache>
            </c:strRef>
          </c:tx>
          <c:spPr>
            <a:solidFill>
              <a:srgbClr val="009BB4"/>
            </a:solidFill>
          </c:spPr>
          <c:invertIfNegative val="0"/>
          <c:dLbls>
            <c:dLbl>
              <c:idx val="1"/>
              <c:layout>
                <c:manualLayout>
                  <c:x val="3.6935965196131298E-3"/>
                  <c:y val="0.16574007434591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AF-4952-9F28-F588118CA59C}"/>
                </c:ext>
              </c:extLst>
            </c:dLbl>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D_ENG!$G$117:$G$120</c:f>
              <c:strCache>
                <c:ptCount val="4"/>
                <c:pt idx="0">
                  <c:v>Total</c:v>
                </c:pt>
                <c:pt idx="1">
                  <c:v>Small</c:v>
                </c:pt>
                <c:pt idx="2">
                  <c:v>Medium</c:v>
                </c:pt>
                <c:pt idx="3">
                  <c:v>Large</c:v>
                </c:pt>
              </c:strCache>
            </c:strRef>
          </c:cat>
          <c:val>
            <c:numRef>
              <c:f>D_ENG!$J$117:$J$120</c:f>
              <c:numCache>
                <c:formatCode>0%</c:formatCode>
                <c:ptCount val="4"/>
                <c:pt idx="0">
                  <c:v>0.43</c:v>
                </c:pt>
                <c:pt idx="1">
                  <c:v>0.4</c:v>
                </c:pt>
                <c:pt idx="2">
                  <c:v>0.48</c:v>
                </c:pt>
                <c:pt idx="3">
                  <c:v>0.59</c:v>
                </c:pt>
              </c:numCache>
            </c:numRef>
          </c:val>
          <c:extLst>
            <c:ext xmlns:c16="http://schemas.microsoft.com/office/drawing/2014/chart" uri="{C3380CC4-5D6E-409C-BE32-E72D297353CC}">
              <c16:uniqueId val="{00000003-76AF-4952-9F28-F588118CA59C}"/>
            </c:ext>
          </c:extLst>
        </c:ser>
        <c:dLbls>
          <c:showLegendKey val="0"/>
          <c:showVal val="1"/>
          <c:showCatName val="0"/>
          <c:showSerName val="0"/>
          <c:showPercent val="0"/>
          <c:showBubbleSize val="0"/>
        </c:dLbls>
        <c:gapWidth val="50"/>
        <c:overlap val="1"/>
        <c:axId val="182816256"/>
        <c:axId val="182236224"/>
      </c:barChart>
      <c:catAx>
        <c:axId val="182816256"/>
        <c:scaling>
          <c:orientation val="minMax"/>
        </c:scaling>
        <c:delete val="0"/>
        <c:axPos val="b"/>
        <c:numFmt formatCode="General" sourceLinked="1"/>
        <c:majorTickMark val="out"/>
        <c:minorTickMark val="none"/>
        <c:tickLblPos val="nextTo"/>
        <c:spPr>
          <a:ln w="3175">
            <a:solidFill>
              <a:schemeClr val="tx1"/>
            </a:solidFill>
          </a:ln>
        </c:spPr>
        <c:crossAx val="182236224"/>
        <c:crosses val="autoZero"/>
        <c:auto val="1"/>
        <c:lblAlgn val="ctr"/>
        <c:lblOffset val="100"/>
        <c:noMultiLvlLbl val="0"/>
      </c:catAx>
      <c:valAx>
        <c:axId val="182236224"/>
        <c:scaling>
          <c:orientation val="minMax"/>
          <c:max val="0.8"/>
          <c:min val="0"/>
        </c:scaling>
        <c:delete val="0"/>
        <c:axPos val="l"/>
        <c:numFmt formatCode="0%" sourceLinked="1"/>
        <c:majorTickMark val="none"/>
        <c:minorTickMark val="none"/>
        <c:tickLblPos val="none"/>
        <c:crossAx val="182816256"/>
        <c:crosses val="autoZero"/>
        <c:crossBetween val="between"/>
      </c:valAx>
      <c:spPr>
        <a:ln w="12700">
          <a:solidFill>
            <a:srgbClr val="A6A6A6"/>
          </a:solidFill>
        </a:ln>
      </c:spPr>
    </c:plotArea>
    <c:legend>
      <c:legendPos val="t"/>
      <c:layout>
        <c:manualLayout>
          <c:xMode val="edge"/>
          <c:yMode val="edge"/>
          <c:x val="0.20317117894509801"/>
          <c:y val="0.17222503295685301"/>
          <c:w val="0.55678351849854402"/>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D1</a:t>
            </a:r>
            <a:r>
              <a:rPr lang="cs-CZ" sz="800"/>
              <a:t>0</a:t>
            </a:r>
            <a:r>
              <a:rPr lang="en-US" sz="800"/>
              <a:t> Enterprises in EU countries</a:t>
            </a:r>
            <a:r>
              <a:rPr lang="cs-CZ" sz="800"/>
              <a:t> </a:t>
            </a:r>
            <a:r>
              <a:rPr lang="en-US" sz="800"/>
              <a:t>with a website (%)</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D_ENG!$L$128</c:f>
              <c:strCache>
                <c:ptCount val="1"/>
                <c:pt idx="0">
                  <c:v> 2017</c:v>
                </c:pt>
              </c:strCache>
            </c:strRef>
          </c:tx>
          <c:spPr>
            <a:solidFill>
              <a:srgbClr val="009BB4"/>
            </a:solidFill>
            <a:ln>
              <a:noFill/>
            </a:ln>
          </c:spPr>
          <c:invertIfNegative val="0"/>
          <c:dPt>
            <c:idx val="6"/>
            <c:invertIfNegative val="0"/>
            <c:bubble3D val="0"/>
            <c:spPr>
              <a:solidFill>
                <a:srgbClr val="009BB4"/>
              </a:solidFill>
              <a:ln w="19050">
                <a:noFill/>
              </a:ln>
            </c:spPr>
            <c:extLst>
              <c:ext xmlns:c16="http://schemas.microsoft.com/office/drawing/2014/chart" uri="{C3380CC4-5D6E-409C-BE32-E72D297353CC}">
                <c16:uniqueId val="{00000001-D362-4816-8DE3-DD5780710FB3}"/>
              </c:ext>
            </c:extLst>
          </c:dPt>
          <c:dPt>
            <c:idx val="7"/>
            <c:invertIfNegative val="0"/>
            <c:bubble3D val="0"/>
            <c:extLst>
              <c:ext xmlns:c16="http://schemas.microsoft.com/office/drawing/2014/chart" uri="{C3380CC4-5D6E-409C-BE32-E72D297353CC}">
                <c16:uniqueId val="{00000002-D362-4816-8DE3-DD5780710FB3}"/>
              </c:ext>
            </c:extLst>
          </c:dPt>
          <c:dPt>
            <c:idx val="8"/>
            <c:invertIfNegative val="0"/>
            <c:bubble3D val="0"/>
            <c:spPr>
              <a:solidFill>
                <a:srgbClr val="009BB4"/>
              </a:solidFill>
              <a:ln w="9525">
                <a:solidFill>
                  <a:srgbClr val="FF0000"/>
                </a:solidFill>
              </a:ln>
            </c:spPr>
            <c:extLst>
              <c:ext xmlns:c16="http://schemas.microsoft.com/office/drawing/2014/chart" uri="{C3380CC4-5D6E-409C-BE32-E72D297353CC}">
                <c16:uniqueId val="{00000004-D362-4816-8DE3-DD5780710FB3}"/>
              </c:ext>
            </c:extLst>
          </c:dPt>
          <c:dPt>
            <c:idx val="11"/>
            <c:invertIfNegative val="0"/>
            <c:bubble3D val="0"/>
            <c:spPr>
              <a:solidFill>
                <a:srgbClr val="009BB4"/>
              </a:solidFill>
              <a:ln w="19050">
                <a:noFill/>
              </a:ln>
            </c:spPr>
            <c:extLst>
              <c:ext xmlns:c16="http://schemas.microsoft.com/office/drawing/2014/chart" uri="{C3380CC4-5D6E-409C-BE32-E72D297353CC}">
                <c16:uniqueId val="{00000006-D362-4816-8DE3-DD5780710FB3}"/>
              </c:ext>
            </c:extLst>
          </c:dPt>
          <c:dPt>
            <c:idx val="13"/>
            <c:invertIfNegative val="0"/>
            <c:bubble3D val="0"/>
            <c:spPr>
              <a:solidFill>
                <a:srgbClr val="009BB4"/>
              </a:solidFill>
              <a:ln w="9525">
                <a:noFill/>
              </a:ln>
            </c:spPr>
            <c:extLst>
              <c:ext xmlns:c16="http://schemas.microsoft.com/office/drawing/2014/chart" uri="{C3380CC4-5D6E-409C-BE32-E72D297353CC}">
                <c16:uniqueId val="{00000008-D362-4816-8DE3-DD5780710FB3}"/>
              </c:ext>
            </c:extLst>
          </c:dPt>
          <c:dPt>
            <c:idx val="15"/>
            <c:invertIfNegative val="0"/>
            <c:bubble3D val="0"/>
            <c:spPr>
              <a:solidFill>
                <a:srgbClr val="009BB4"/>
              </a:solidFill>
              <a:ln w="9525">
                <a:solidFill>
                  <a:srgbClr val="FF0000"/>
                </a:solidFill>
              </a:ln>
            </c:spPr>
            <c:extLst>
              <c:ext xmlns:c16="http://schemas.microsoft.com/office/drawing/2014/chart" uri="{C3380CC4-5D6E-409C-BE32-E72D297353CC}">
                <c16:uniqueId val="{0000000A-D362-4816-8DE3-DD5780710FB3}"/>
              </c:ext>
            </c:extLst>
          </c:dPt>
          <c:dPt>
            <c:idx val="16"/>
            <c:invertIfNegative val="0"/>
            <c:bubble3D val="0"/>
            <c:spPr>
              <a:solidFill>
                <a:srgbClr val="009BB4"/>
              </a:solidFill>
              <a:ln w="9525">
                <a:noFill/>
              </a:ln>
            </c:spPr>
            <c:extLst>
              <c:ext xmlns:c16="http://schemas.microsoft.com/office/drawing/2014/chart" uri="{C3380CC4-5D6E-409C-BE32-E72D297353CC}">
                <c16:uniqueId val="{0000000C-D362-4816-8DE3-DD5780710FB3}"/>
              </c:ext>
            </c:extLst>
          </c:dPt>
          <c:dPt>
            <c:idx val="20"/>
            <c:invertIfNegative val="0"/>
            <c:bubble3D val="0"/>
            <c:spPr>
              <a:solidFill>
                <a:srgbClr val="009BB4"/>
              </a:solidFill>
              <a:ln w="9525">
                <a:noFill/>
              </a:ln>
            </c:spPr>
            <c:extLst>
              <c:ext xmlns:c16="http://schemas.microsoft.com/office/drawing/2014/chart" uri="{C3380CC4-5D6E-409C-BE32-E72D297353CC}">
                <c16:uniqueId val="{0000000E-D362-4816-8DE3-DD5780710FB3}"/>
              </c:ext>
            </c:extLst>
          </c:dPt>
          <c:dLbls>
            <c:dLbl>
              <c:idx val="0"/>
              <c:layout>
                <c:manualLayout>
                  <c:x val="-8.5024336712632403E-18"/>
                  <c:y val="9.8052469135802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62-4816-8DE3-DD5780710FB3}"/>
                </c:ext>
              </c:extLst>
            </c:dLbl>
            <c:dLbl>
              <c:idx val="1"/>
              <c:layout>
                <c:manualLayout>
                  <c:x val="-1.7004867342526299E-17"/>
                  <c:y val="8.62932098765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62-4816-8DE3-DD5780710FB3}"/>
                </c:ext>
              </c:extLst>
            </c:dLbl>
            <c:dLbl>
              <c:idx val="2"/>
              <c:layout>
                <c:manualLayout>
                  <c:x val="0"/>
                  <c:y val="0.156848765432099"/>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62-4816-8DE3-DD5780710FB3}"/>
                </c:ext>
              </c:extLst>
            </c:dLbl>
            <c:dLbl>
              <c:idx val="3"/>
              <c:layout>
                <c:manualLayout>
                  <c:x val="0"/>
                  <c:y val="0.14900925925925901"/>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62-4816-8DE3-DD5780710FB3}"/>
                </c:ext>
              </c:extLst>
            </c:dLbl>
            <c:dLbl>
              <c:idx val="4"/>
              <c:layout>
                <c:manualLayout>
                  <c:x val="0"/>
                  <c:y val="0.14900925925925901"/>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62-4816-8DE3-DD5780710FB3}"/>
                </c:ext>
              </c:extLst>
            </c:dLbl>
            <c:dLbl>
              <c:idx val="5"/>
              <c:layout>
                <c:manualLayout>
                  <c:x val="1.8550978673677701E-3"/>
                  <c:y val="0.156848765432099"/>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62-4816-8DE3-DD5780710FB3}"/>
                </c:ext>
              </c:extLst>
            </c:dLbl>
            <c:dLbl>
              <c:idx val="6"/>
              <c:layout>
                <c:manualLayout>
                  <c:x val="-3.4009734685052598E-17"/>
                  <c:y val="0.13725000000000001"/>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2-4816-8DE3-DD5780710FB3}"/>
                </c:ext>
              </c:extLst>
            </c:dLbl>
            <c:dLbl>
              <c:idx val="7"/>
              <c:layout>
                <c:manualLayout>
                  <c:x val="0"/>
                  <c:y val="8.62932098765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2-4816-8DE3-DD5780710FB3}"/>
                </c:ext>
              </c:extLst>
            </c:dLbl>
            <c:dLbl>
              <c:idx val="8"/>
              <c:layout>
                <c:manualLayout>
                  <c:x val="-3.8984435679771898E-17"/>
                  <c:y val="9.44499036608863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62-4816-8DE3-DD5780710FB3}"/>
                </c:ext>
              </c:extLst>
            </c:dLbl>
            <c:dLbl>
              <c:idx val="9"/>
              <c:layout>
                <c:manualLayout>
                  <c:x val="-1.6743687633661999E-7"/>
                  <c:y val="8.9784842646114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62-4816-8DE3-DD5780710FB3}"/>
                </c:ext>
              </c:extLst>
            </c:dLbl>
            <c:dLbl>
              <c:idx val="12"/>
              <c:layout>
                <c:manualLayout>
                  <c:x val="0"/>
                  <c:y val="0.156848765432099"/>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62-4816-8DE3-DD5780710FB3}"/>
                </c:ext>
              </c:extLst>
            </c:dLbl>
            <c:dLbl>
              <c:idx val="15"/>
              <c:layout>
                <c:manualLayout>
                  <c:x val="-2.12661576585627E-3"/>
                  <c:y val="0.102019910083493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62-4816-8DE3-DD5780710FB3}"/>
                </c:ext>
              </c:extLst>
            </c:dLbl>
            <c:dLbl>
              <c:idx val="16"/>
              <c:layout>
                <c:manualLayout>
                  <c:x val="0"/>
                  <c:y val="0.1058919753086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62-4816-8DE3-DD5780710FB3}"/>
                </c:ext>
              </c:extLst>
            </c:dLbl>
            <c:dLbl>
              <c:idx val="17"/>
              <c:layout>
                <c:manualLayout>
                  <c:x val="0"/>
                  <c:y val="0.156848765432099"/>
                </c:manualLayout>
              </c:layou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62-4816-8DE3-DD5780710FB3}"/>
                </c:ext>
              </c:extLst>
            </c:dLbl>
            <c:dLbl>
              <c:idx val="19"/>
              <c:layout>
                <c:manualLayout>
                  <c:x val="0"/>
                  <c:y val="0.1060982658959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362-4816-8DE3-DD5780710FB3}"/>
                </c:ext>
              </c:extLst>
            </c:dLbl>
            <c:dLbl>
              <c:idx val="20"/>
              <c:layout>
                <c:manualLayout>
                  <c:x val="-7.7968871359544794E-17"/>
                  <c:y val="8.9784842646114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62-4816-8DE3-DD5780710FB3}"/>
                </c:ext>
              </c:extLst>
            </c:dLbl>
            <c:dLbl>
              <c:idx val="22"/>
              <c:layout>
                <c:manualLayout>
                  <c:x val="0"/>
                  <c:y val="9.50841361592806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62-4816-8DE3-DD5780710FB3}"/>
                </c:ext>
              </c:extLst>
            </c:dLbl>
            <c:dLbl>
              <c:idx val="23"/>
              <c:layout>
                <c:manualLayout>
                  <c:x val="0"/>
                  <c:y val="7.76599229287090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362-4816-8DE3-DD5780710FB3}"/>
                </c:ext>
              </c:extLst>
            </c:dLbl>
            <c:dLbl>
              <c:idx val="24"/>
              <c:spPr/>
              <c:txPr>
                <a:bodyPr rot="-5400000" vert="horz"/>
                <a:lstStyle/>
                <a:p>
                  <a:pPr>
                    <a:defRPr sz="800" b="1">
                      <a:solidFill>
                        <a:schemeClr val="tx1"/>
                      </a:solidFill>
                    </a:defRPr>
                  </a:pPr>
                  <a:endParaRPr lang="cs-CZ"/>
                </a:p>
              </c:txPr>
              <c:dLblPos val="inEnd"/>
              <c:showLegendKey val="0"/>
              <c:showVal val="1"/>
              <c:showCatName val="0"/>
              <c:showSerName val="0"/>
              <c:showPercent val="0"/>
              <c:showBubbleSize val="0"/>
              <c:extLst>
                <c:ext xmlns:c16="http://schemas.microsoft.com/office/drawing/2014/chart" uri="{C3380CC4-5D6E-409C-BE32-E72D297353CC}">
                  <c16:uniqueId val="{0000001B-D362-4816-8DE3-DD5780710FB3}"/>
                </c:ext>
              </c:extLst>
            </c:dLbl>
            <c:dLbl>
              <c:idx val="25"/>
              <c:layout>
                <c:manualLayout>
                  <c:x val="-2.12644832897997E-3"/>
                  <c:y val="0.11425465639049499"/>
                </c:manualLayout>
              </c:layout>
              <c:spPr/>
              <c:txPr>
                <a:bodyPr rot="-5400000" vert="horz"/>
                <a:lstStyle/>
                <a:p>
                  <a:pPr>
                    <a:defRPr sz="800" b="1">
                      <a:solidFill>
                        <a:sysClr val="windowText" lastClr="000000"/>
                      </a:solidFill>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362-4816-8DE3-DD5780710FB3}"/>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D_ENG!$K$129:$K$157</c:f>
              <c:strCache>
                <c:ptCount val="29"/>
                <c:pt idx="0">
                  <c:v>Finland</c:v>
                </c:pt>
                <c:pt idx="1">
                  <c:v>Denmark</c:v>
                </c:pt>
                <c:pt idx="2">
                  <c:v>Sweden</c:v>
                </c:pt>
                <c:pt idx="3">
                  <c:v>Germany</c:v>
                </c:pt>
                <c:pt idx="4">
                  <c:v>Netherlands</c:v>
                </c:pt>
                <c:pt idx="5">
                  <c:v>Austria</c:v>
                </c:pt>
                <c:pt idx="6">
                  <c:v>United Kingdom</c:v>
                </c:pt>
                <c:pt idx="7">
                  <c:v>Slovenia</c:v>
                </c:pt>
                <c:pt idx="8">
                  <c:v>Czech Republic</c:v>
                </c:pt>
                <c:pt idx="9">
                  <c:v>Belgium</c:v>
                </c:pt>
                <c:pt idx="10">
                  <c:v>Luxembourg </c:v>
                </c:pt>
                <c:pt idx="11">
                  <c:v>Malta</c:v>
                </c:pt>
                <c:pt idx="12">
                  <c:v>Slovakia</c:v>
                </c:pt>
                <c:pt idx="13">
                  <c:v>Estonia</c:v>
                </c:pt>
                <c:pt idx="14">
                  <c:v>Lithuania</c:v>
                </c:pt>
                <c:pt idx="15">
                  <c:v>EU28</c:v>
                </c:pt>
                <c:pt idx="16">
                  <c:v>Spain</c:v>
                </c:pt>
                <c:pt idx="17">
                  <c:v>Ireland</c:v>
                </c:pt>
                <c:pt idx="18">
                  <c:v>Cyprus</c:v>
                </c:pt>
                <c:pt idx="19">
                  <c:v>Italy</c:v>
                </c:pt>
                <c:pt idx="20">
                  <c:v>Croatia**</c:v>
                </c:pt>
                <c:pt idx="21">
                  <c:v>Hungary</c:v>
                </c:pt>
                <c:pt idx="22">
                  <c:v>Poland</c:v>
                </c:pt>
                <c:pt idx="23">
                  <c:v>France</c:v>
                </c:pt>
                <c:pt idx="24">
                  <c:v>Portugal</c:v>
                </c:pt>
                <c:pt idx="25">
                  <c:v>Greece</c:v>
                </c:pt>
                <c:pt idx="26">
                  <c:v>Latvia</c:v>
                </c:pt>
                <c:pt idx="27">
                  <c:v>Bulgaria</c:v>
                </c:pt>
                <c:pt idx="28">
                  <c:v>Romania</c:v>
                </c:pt>
              </c:strCache>
            </c:strRef>
          </c:cat>
          <c:val>
            <c:numRef>
              <c:f>D_ENG!$L$129:$L$157</c:f>
              <c:numCache>
                <c:formatCode>0%</c:formatCode>
                <c:ptCount val="29"/>
                <c:pt idx="0">
                  <c:v>0.96283600000000003</c:v>
                </c:pt>
                <c:pt idx="1">
                  <c:v>0.950928</c:v>
                </c:pt>
                <c:pt idx="2">
                  <c:v>0.911771</c:v>
                </c:pt>
                <c:pt idx="3">
                  <c:v>0.87317100000000003</c:v>
                </c:pt>
                <c:pt idx="4">
                  <c:v>0.85591799999999996</c:v>
                </c:pt>
                <c:pt idx="5">
                  <c:v>0.85550899999999996</c:v>
                </c:pt>
                <c:pt idx="6">
                  <c:v>0.83629200000000004</c:v>
                </c:pt>
                <c:pt idx="7">
                  <c:v>0.83129699999999995</c:v>
                </c:pt>
                <c:pt idx="8">
                  <c:v>0.82896000000000003</c:v>
                </c:pt>
                <c:pt idx="9">
                  <c:v>0.82595300000000005</c:v>
                </c:pt>
                <c:pt idx="10">
                  <c:v>0.82323000000000002</c:v>
                </c:pt>
                <c:pt idx="11">
                  <c:v>0.81467199999999995</c:v>
                </c:pt>
                <c:pt idx="12">
                  <c:v>0.78595400000000004</c:v>
                </c:pt>
                <c:pt idx="13">
                  <c:v>0.780891</c:v>
                </c:pt>
                <c:pt idx="14">
                  <c:v>0.780254</c:v>
                </c:pt>
                <c:pt idx="15">
                  <c:v>0.768405</c:v>
                </c:pt>
                <c:pt idx="16">
                  <c:v>0.76626499999999997</c:v>
                </c:pt>
                <c:pt idx="17">
                  <c:v>0.74186600000000003</c:v>
                </c:pt>
                <c:pt idx="18">
                  <c:v>0.72856100000000001</c:v>
                </c:pt>
                <c:pt idx="19">
                  <c:v>0.72139699999999995</c:v>
                </c:pt>
                <c:pt idx="20">
                  <c:v>0.711229</c:v>
                </c:pt>
                <c:pt idx="21">
                  <c:v>0.68684500000000004</c:v>
                </c:pt>
                <c:pt idx="22">
                  <c:v>0.66914300000000004</c:v>
                </c:pt>
                <c:pt idx="23">
                  <c:v>0.66531799999999996</c:v>
                </c:pt>
                <c:pt idx="24">
                  <c:v>0.648115</c:v>
                </c:pt>
                <c:pt idx="25">
                  <c:v>0.64774200000000004</c:v>
                </c:pt>
                <c:pt idx="26">
                  <c:v>0.62932299999999997</c:v>
                </c:pt>
                <c:pt idx="27">
                  <c:v>0.50810900000000003</c:v>
                </c:pt>
                <c:pt idx="28">
                  <c:v>0.45373999999999998</c:v>
                </c:pt>
              </c:numCache>
            </c:numRef>
          </c:val>
          <c:extLst>
            <c:ext xmlns:c16="http://schemas.microsoft.com/office/drawing/2014/chart" uri="{C3380CC4-5D6E-409C-BE32-E72D297353CC}">
              <c16:uniqueId val="{0000001D-D362-4816-8DE3-DD5780710FB3}"/>
            </c:ext>
          </c:extLst>
        </c:ser>
        <c:dLbls>
          <c:showLegendKey val="0"/>
          <c:showVal val="0"/>
          <c:showCatName val="0"/>
          <c:showSerName val="0"/>
          <c:showPercent val="0"/>
          <c:showBubbleSize val="0"/>
        </c:dLbls>
        <c:gapWidth val="50"/>
        <c:axId val="182886400"/>
        <c:axId val="182238528"/>
      </c:barChart>
      <c:barChart>
        <c:barDir val="col"/>
        <c:grouping val="clustered"/>
        <c:varyColors val="0"/>
        <c:ser>
          <c:idx val="1"/>
          <c:order val="1"/>
          <c:tx>
            <c:strRef>
              <c:f>D_ENG!$M$128</c:f>
              <c:strCache>
                <c:ptCount val="1"/>
                <c:pt idx="0">
                  <c:v> 2007</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D_ENG!$K$129:$K$157</c:f>
              <c:strCache>
                <c:ptCount val="29"/>
                <c:pt idx="0">
                  <c:v>Finland</c:v>
                </c:pt>
                <c:pt idx="1">
                  <c:v>Denmark</c:v>
                </c:pt>
                <c:pt idx="2">
                  <c:v>Sweden</c:v>
                </c:pt>
                <c:pt idx="3">
                  <c:v>Germany</c:v>
                </c:pt>
                <c:pt idx="4">
                  <c:v>Netherlands</c:v>
                </c:pt>
                <c:pt idx="5">
                  <c:v>Austria</c:v>
                </c:pt>
                <c:pt idx="6">
                  <c:v>United Kingdom</c:v>
                </c:pt>
                <c:pt idx="7">
                  <c:v>Slovenia</c:v>
                </c:pt>
                <c:pt idx="8">
                  <c:v>Czech Republic</c:v>
                </c:pt>
                <c:pt idx="9">
                  <c:v>Belgium</c:v>
                </c:pt>
                <c:pt idx="10">
                  <c:v>Luxembourg </c:v>
                </c:pt>
                <c:pt idx="11">
                  <c:v>Malta</c:v>
                </c:pt>
                <c:pt idx="12">
                  <c:v>Slovakia</c:v>
                </c:pt>
                <c:pt idx="13">
                  <c:v>Estonia</c:v>
                </c:pt>
                <c:pt idx="14">
                  <c:v>Lithuania</c:v>
                </c:pt>
                <c:pt idx="15">
                  <c:v>EU28</c:v>
                </c:pt>
                <c:pt idx="16">
                  <c:v>Spain</c:v>
                </c:pt>
                <c:pt idx="17">
                  <c:v>Ireland</c:v>
                </c:pt>
                <c:pt idx="18">
                  <c:v>Cyprus</c:v>
                </c:pt>
                <c:pt idx="19">
                  <c:v>Italy</c:v>
                </c:pt>
                <c:pt idx="20">
                  <c:v>Croatia**</c:v>
                </c:pt>
                <c:pt idx="21">
                  <c:v>Hungary</c:v>
                </c:pt>
                <c:pt idx="22">
                  <c:v>Poland</c:v>
                </c:pt>
                <c:pt idx="23">
                  <c:v>France</c:v>
                </c:pt>
                <c:pt idx="24">
                  <c:v>Portugal</c:v>
                </c:pt>
                <c:pt idx="25">
                  <c:v>Greece</c:v>
                </c:pt>
                <c:pt idx="26">
                  <c:v>Latvia</c:v>
                </c:pt>
                <c:pt idx="27">
                  <c:v>Bulgaria</c:v>
                </c:pt>
                <c:pt idx="28">
                  <c:v>Romania</c:v>
                </c:pt>
              </c:strCache>
            </c:strRef>
          </c:cat>
          <c:val>
            <c:numRef>
              <c:f>D_ENG!$M$129:$M$157</c:f>
              <c:numCache>
                <c:formatCode>0%</c:formatCode>
                <c:ptCount val="29"/>
                <c:pt idx="0">
                  <c:v>0.81</c:v>
                </c:pt>
                <c:pt idx="1">
                  <c:v>0.84</c:v>
                </c:pt>
                <c:pt idx="2">
                  <c:v>0.85</c:v>
                </c:pt>
                <c:pt idx="3">
                  <c:v>0.78</c:v>
                </c:pt>
                <c:pt idx="4">
                  <c:v>0.8</c:v>
                </c:pt>
                <c:pt idx="5">
                  <c:v>0.78</c:v>
                </c:pt>
                <c:pt idx="6">
                  <c:v>0.75</c:v>
                </c:pt>
                <c:pt idx="7">
                  <c:v>0.67</c:v>
                </c:pt>
                <c:pt idx="8">
                  <c:v>0.71</c:v>
                </c:pt>
                <c:pt idx="9">
                  <c:v>0.72</c:v>
                </c:pt>
                <c:pt idx="10">
                  <c:v>0.63</c:v>
                </c:pt>
                <c:pt idx="11">
                  <c:v>0.61</c:v>
                </c:pt>
                <c:pt idx="12">
                  <c:v>0.7</c:v>
                </c:pt>
                <c:pt idx="13">
                  <c:v>0.62</c:v>
                </c:pt>
                <c:pt idx="14">
                  <c:v>0.48</c:v>
                </c:pt>
                <c:pt idx="15">
                  <c:v>0.63</c:v>
                </c:pt>
                <c:pt idx="16">
                  <c:v>0.49</c:v>
                </c:pt>
                <c:pt idx="17">
                  <c:v>0.66</c:v>
                </c:pt>
                <c:pt idx="18">
                  <c:v>0.47</c:v>
                </c:pt>
                <c:pt idx="19">
                  <c:v>0.56999999999999995</c:v>
                </c:pt>
                <c:pt idx="20">
                  <c:v>0.56999999999999995</c:v>
                </c:pt>
                <c:pt idx="21">
                  <c:v>0.47</c:v>
                </c:pt>
                <c:pt idx="22">
                  <c:v>0.53</c:v>
                </c:pt>
                <c:pt idx="23">
                  <c:v>0.56999999999999995</c:v>
                </c:pt>
                <c:pt idx="24">
                  <c:v>0.42</c:v>
                </c:pt>
                <c:pt idx="25">
                  <c:v>0.6</c:v>
                </c:pt>
                <c:pt idx="26">
                  <c:v>0.39</c:v>
                </c:pt>
                <c:pt idx="27">
                  <c:v>0.31</c:v>
                </c:pt>
                <c:pt idx="28">
                  <c:v>0.28000000000000003</c:v>
                </c:pt>
              </c:numCache>
            </c:numRef>
          </c:val>
          <c:extLst>
            <c:ext xmlns:c16="http://schemas.microsoft.com/office/drawing/2014/chart" uri="{C3380CC4-5D6E-409C-BE32-E72D297353CC}">
              <c16:uniqueId val="{0000001E-D362-4816-8DE3-DD5780710FB3}"/>
            </c:ext>
          </c:extLst>
        </c:ser>
        <c:dLbls>
          <c:showLegendKey val="0"/>
          <c:showVal val="0"/>
          <c:showCatName val="0"/>
          <c:showSerName val="0"/>
          <c:showPercent val="0"/>
          <c:showBubbleSize val="0"/>
        </c:dLbls>
        <c:gapWidth val="200"/>
        <c:axId val="183460864"/>
        <c:axId val="182919168"/>
      </c:barChart>
      <c:catAx>
        <c:axId val="182886400"/>
        <c:scaling>
          <c:orientation val="minMax"/>
        </c:scaling>
        <c:delete val="0"/>
        <c:axPos val="b"/>
        <c:numFmt formatCode="General" sourceLinked="0"/>
        <c:majorTickMark val="out"/>
        <c:minorTickMark val="none"/>
        <c:tickLblPos val="nextTo"/>
        <c:spPr>
          <a:ln w="3175">
            <a:solidFill>
              <a:schemeClr val="tx1"/>
            </a:solidFill>
          </a:ln>
        </c:spPr>
        <c:crossAx val="182238528"/>
        <c:crosses val="autoZero"/>
        <c:auto val="1"/>
        <c:lblAlgn val="ctr"/>
        <c:lblOffset val="100"/>
        <c:noMultiLvlLbl val="0"/>
      </c:catAx>
      <c:valAx>
        <c:axId val="182238528"/>
        <c:scaling>
          <c:orientation val="minMax"/>
          <c:max val="1"/>
          <c:min val="0"/>
        </c:scaling>
        <c:delete val="1"/>
        <c:axPos val="l"/>
        <c:numFmt formatCode="0%" sourceLinked="1"/>
        <c:majorTickMark val="out"/>
        <c:minorTickMark val="none"/>
        <c:tickLblPos val="nextTo"/>
        <c:crossAx val="182886400"/>
        <c:crosses val="autoZero"/>
        <c:crossBetween val="between"/>
        <c:majorUnit val="0.25"/>
        <c:minorUnit val="0.05"/>
      </c:valAx>
      <c:valAx>
        <c:axId val="182919168"/>
        <c:scaling>
          <c:orientation val="minMax"/>
          <c:max val="1"/>
        </c:scaling>
        <c:delete val="0"/>
        <c:axPos val="r"/>
        <c:numFmt formatCode="0%" sourceLinked="1"/>
        <c:majorTickMark val="none"/>
        <c:minorTickMark val="none"/>
        <c:tickLblPos val="none"/>
        <c:crossAx val="183460864"/>
        <c:crosses val="max"/>
        <c:crossBetween val="between"/>
        <c:majorUnit val="0.25"/>
      </c:valAx>
      <c:catAx>
        <c:axId val="183460864"/>
        <c:scaling>
          <c:orientation val="minMax"/>
        </c:scaling>
        <c:delete val="1"/>
        <c:axPos val="b"/>
        <c:numFmt formatCode="General" sourceLinked="0"/>
        <c:majorTickMark val="out"/>
        <c:minorTickMark val="none"/>
        <c:tickLblPos val="none"/>
        <c:crossAx val="182919168"/>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7114212678936598"/>
          <c:y val="0.120771296296296"/>
          <c:w val="8.5928088333454E-2"/>
          <c:h val="0.16733888888888901"/>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7809614402226497"/>
          <c:h val="0.64650960798574897"/>
        </c:manualLayout>
      </c:layout>
      <c:barChart>
        <c:barDir val="col"/>
        <c:grouping val="clustered"/>
        <c:varyColors val="0"/>
        <c:ser>
          <c:idx val="0"/>
          <c:order val="0"/>
          <c:tx>
            <c:strRef>
              <c:f>D_ENG!$M$161</c:f>
              <c:strCache>
                <c:ptCount val="1"/>
                <c:pt idx="0">
                  <c:v> Product/price lists</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D_ENG!$L$162:$L$165</c:f>
              <c:strCache>
                <c:ptCount val="4"/>
                <c:pt idx="0">
                  <c:v>Total</c:v>
                </c:pt>
                <c:pt idx="1">
                  <c:v>Small</c:v>
                </c:pt>
                <c:pt idx="2">
                  <c:v>Medium</c:v>
                </c:pt>
                <c:pt idx="3">
                  <c:v>Large</c:v>
                </c:pt>
              </c:strCache>
            </c:strRef>
          </c:cat>
          <c:val>
            <c:numRef>
              <c:f>D_ENG!$M$162:$M$165</c:f>
              <c:numCache>
                <c:formatCode>0%</c:formatCode>
                <c:ptCount val="4"/>
                <c:pt idx="0">
                  <c:v>0.54</c:v>
                </c:pt>
                <c:pt idx="1">
                  <c:v>0.53</c:v>
                </c:pt>
                <c:pt idx="2">
                  <c:v>0.59</c:v>
                </c:pt>
                <c:pt idx="3">
                  <c:v>0.57999999999999996</c:v>
                </c:pt>
              </c:numCache>
            </c:numRef>
          </c:val>
          <c:extLst>
            <c:ext xmlns:c16="http://schemas.microsoft.com/office/drawing/2014/chart" uri="{C3380CC4-5D6E-409C-BE32-E72D297353CC}">
              <c16:uniqueId val="{00000000-3C98-41E7-9D34-988A9C288527}"/>
            </c:ext>
          </c:extLst>
        </c:ser>
        <c:ser>
          <c:idx val="1"/>
          <c:order val="1"/>
          <c:tx>
            <c:strRef>
              <c:f>D_ENG!$N$161</c:f>
              <c:strCache>
                <c:ptCount val="1"/>
                <c:pt idx="0">
                  <c:v> Online ordering</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D_ENG!$L$162:$L$165</c:f>
              <c:strCache>
                <c:ptCount val="4"/>
                <c:pt idx="0">
                  <c:v>Total</c:v>
                </c:pt>
                <c:pt idx="1">
                  <c:v>Small</c:v>
                </c:pt>
                <c:pt idx="2">
                  <c:v>Medium</c:v>
                </c:pt>
                <c:pt idx="3">
                  <c:v>Large</c:v>
                </c:pt>
              </c:strCache>
            </c:strRef>
          </c:cat>
          <c:val>
            <c:numRef>
              <c:f>D_ENG!$N$162:$N$165</c:f>
              <c:numCache>
                <c:formatCode>0%</c:formatCode>
                <c:ptCount val="4"/>
                <c:pt idx="0">
                  <c:v>0.32</c:v>
                </c:pt>
                <c:pt idx="1">
                  <c:v>0.32</c:v>
                </c:pt>
                <c:pt idx="2">
                  <c:v>0.32</c:v>
                </c:pt>
                <c:pt idx="3">
                  <c:v>0.34</c:v>
                </c:pt>
              </c:numCache>
            </c:numRef>
          </c:val>
          <c:extLst>
            <c:ext xmlns:c16="http://schemas.microsoft.com/office/drawing/2014/chart" uri="{C3380CC4-5D6E-409C-BE32-E72D297353CC}">
              <c16:uniqueId val="{00000001-3C98-41E7-9D34-988A9C288527}"/>
            </c:ext>
          </c:extLst>
        </c:ser>
        <c:ser>
          <c:idx val="2"/>
          <c:order val="2"/>
          <c:tx>
            <c:strRef>
              <c:f>D_ENG!$O$161</c:f>
              <c:strCache>
                <c:ptCount val="1"/>
                <c:pt idx="0">
                  <c:v> Product configuration</c:v>
                </c:pt>
              </c:strCache>
            </c:strRef>
          </c:tx>
          <c:spPr>
            <a:solidFill>
              <a:srgbClr val="00C5E6"/>
            </a:solidFill>
          </c:spPr>
          <c:invertIfNegative val="0"/>
          <c:dLbls>
            <c:numFmt formatCode="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D_ENG!$L$162:$L$165</c:f>
              <c:strCache>
                <c:ptCount val="4"/>
                <c:pt idx="0">
                  <c:v>Total</c:v>
                </c:pt>
                <c:pt idx="1">
                  <c:v>Small</c:v>
                </c:pt>
                <c:pt idx="2">
                  <c:v>Medium</c:v>
                </c:pt>
                <c:pt idx="3">
                  <c:v>Large</c:v>
                </c:pt>
              </c:strCache>
            </c:strRef>
          </c:cat>
          <c:val>
            <c:numRef>
              <c:f>D_ENG!$O$162:$O$165</c:f>
              <c:numCache>
                <c:formatCode>0%</c:formatCode>
                <c:ptCount val="4"/>
                <c:pt idx="0">
                  <c:v>0.11</c:v>
                </c:pt>
                <c:pt idx="1">
                  <c:v>0.1</c:v>
                </c:pt>
                <c:pt idx="2">
                  <c:v>0.14000000000000001</c:v>
                </c:pt>
                <c:pt idx="3">
                  <c:v>0.17</c:v>
                </c:pt>
              </c:numCache>
            </c:numRef>
          </c:val>
          <c:extLst>
            <c:ext xmlns:c16="http://schemas.microsoft.com/office/drawing/2014/chart" uri="{C3380CC4-5D6E-409C-BE32-E72D297353CC}">
              <c16:uniqueId val="{00000002-3C98-41E7-9D34-988A9C288527}"/>
            </c:ext>
          </c:extLst>
        </c:ser>
        <c:ser>
          <c:idx val="3"/>
          <c:order val="3"/>
          <c:tx>
            <c:strRef>
              <c:f>D_ENG!$P$161</c:f>
              <c:strCache>
                <c:ptCount val="1"/>
                <c:pt idx="0">
                  <c:v> Online tracking</c:v>
                </c:pt>
              </c:strCache>
            </c:strRef>
          </c:tx>
          <c:spPr>
            <a:solidFill>
              <a:srgbClr val="009BB4"/>
            </a:solidFill>
          </c:spPr>
          <c:invertIfNegative val="0"/>
          <c:dLbls>
            <c:spPr>
              <a:noFill/>
              <a:ln>
                <a:noFill/>
              </a:ln>
              <a:effectLst/>
            </c:spPr>
            <c:txPr>
              <a:bodyPr rot="-5400000" vert="horz"/>
              <a:lstStyle/>
              <a:p>
                <a:pPr>
                  <a:defRPr b="1" i="0"/>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D_ENG!$L$162:$L$165</c:f>
              <c:strCache>
                <c:ptCount val="4"/>
                <c:pt idx="0">
                  <c:v>Total</c:v>
                </c:pt>
                <c:pt idx="1">
                  <c:v>Small</c:v>
                </c:pt>
                <c:pt idx="2">
                  <c:v>Medium</c:v>
                </c:pt>
                <c:pt idx="3">
                  <c:v>Large</c:v>
                </c:pt>
              </c:strCache>
            </c:strRef>
          </c:cat>
          <c:val>
            <c:numRef>
              <c:f>D_ENG!$P$162:$P$165</c:f>
              <c:numCache>
                <c:formatCode>0%</c:formatCode>
                <c:ptCount val="4"/>
                <c:pt idx="0">
                  <c:v>0.08</c:v>
                </c:pt>
                <c:pt idx="1">
                  <c:v>0.08</c:v>
                </c:pt>
                <c:pt idx="2">
                  <c:v>0.1</c:v>
                </c:pt>
                <c:pt idx="3">
                  <c:v>0.16</c:v>
                </c:pt>
              </c:numCache>
            </c:numRef>
          </c:val>
          <c:extLst>
            <c:ext xmlns:c16="http://schemas.microsoft.com/office/drawing/2014/chart" uri="{C3380CC4-5D6E-409C-BE32-E72D297353CC}">
              <c16:uniqueId val="{00000003-3C98-41E7-9D34-988A9C288527}"/>
            </c:ext>
          </c:extLst>
        </c:ser>
        <c:ser>
          <c:idx val="4"/>
          <c:order val="4"/>
          <c:tx>
            <c:strRef>
              <c:f>D_ENG!$Q$161</c:f>
              <c:strCache>
                <c:ptCount val="1"/>
                <c:pt idx="0">
                  <c:v> Online payment</c:v>
                </c:pt>
              </c:strCache>
            </c:strRef>
          </c:tx>
          <c:spPr>
            <a:solidFill>
              <a:srgbClr val="077E8B"/>
            </a:solidFill>
          </c:spPr>
          <c:invertIfNegative val="0"/>
          <c:dLbls>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D_ENG!$L$162:$L$165</c:f>
              <c:strCache>
                <c:ptCount val="4"/>
                <c:pt idx="0">
                  <c:v>Total</c:v>
                </c:pt>
                <c:pt idx="1">
                  <c:v>Small</c:v>
                </c:pt>
                <c:pt idx="2">
                  <c:v>Medium</c:v>
                </c:pt>
                <c:pt idx="3">
                  <c:v>Large</c:v>
                </c:pt>
              </c:strCache>
            </c:strRef>
          </c:cat>
          <c:val>
            <c:numRef>
              <c:f>D_ENG!$Q$162:$Q$165</c:f>
              <c:numCache>
                <c:formatCode>0%</c:formatCode>
                <c:ptCount val="4"/>
                <c:pt idx="0">
                  <c:v>0.08</c:v>
                </c:pt>
                <c:pt idx="1">
                  <c:v>7.0000000000000007E-2</c:v>
                </c:pt>
                <c:pt idx="2">
                  <c:v>0.1</c:v>
                </c:pt>
                <c:pt idx="3">
                  <c:v>0.12</c:v>
                </c:pt>
              </c:numCache>
            </c:numRef>
          </c:val>
          <c:extLst>
            <c:ext xmlns:c16="http://schemas.microsoft.com/office/drawing/2014/chart" uri="{C3380CC4-5D6E-409C-BE32-E72D297353CC}">
              <c16:uniqueId val="{00000004-3C98-41E7-9D34-988A9C288527}"/>
            </c:ext>
          </c:extLst>
        </c:ser>
        <c:dLbls>
          <c:showLegendKey val="0"/>
          <c:showVal val="1"/>
          <c:showCatName val="0"/>
          <c:showSerName val="0"/>
          <c:showPercent val="0"/>
          <c:showBubbleSize val="0"/>
        </c:dLbls>
        <c:gapWidth val="50"/>
        <c:overlap val="1"/>
        <c:axId val="182889984"/>
        <c:axId val="182920320"/>
      </c:barChart>
      <c:catAx>
        <c:axId val="182889984"/>
        <c:scaling>
          <c:orientation val="minMax"/>
        </c:scaling>
        <c:delete val="0"/>
        <c:axPos val="b"/>
        <c:numFmt formatCode="General" sourceLinked="1"/>
        <c:majorTickMark val="out"/>
        <c:minorTickMark val="none"/>
        <c:tickLblPos val="nextTo"/>
        <c:spPr>
          <a:ln w="3175">
            <a:solidFill>
              <a:schemeClr val="tx1"/>
            </a:solidFill>
          </a:ln>
        </c:spPr>
        <c:crossAx val="182920320"/>
        <c:crosses val="autoZero"/>
        <c:auto val="1"/>
        <c:lblAlgn val="ctr"/>
        <c:lblOffset val="100"/>
        <c:noMultiLvlLbl val="0"/>
      </c:catAx>
      <c:valAx>
        <c:axId val="182920320"/>
        <c:scaling>
          <c:orientation val="minMax"/>
          <c:max val="1"/>
          <c:min val="0"/>
        </c:scaling>
        <c:delete val="0"/>
        <c:axPos val="l"/>
        <c:numFmt formatCode="0%" sourceLinked="1"/>
        <c:majorTickMark val="none"/>
        <c:minorTickMark val="none"/>
        <c:tickLblPos val="none"/>
        <c:crossAx val="182889984"/>
        <c:crosses val="autoZero"/>
        <c:crossBetween val="between"/>
      </c:valAx>
      <c:spPr>
        <a:ln w="12700">
          <a:solidFill>
            <a:srgbClr val="A6A6A6"/>
          </a:solidFill>
        </a:ln>
      </c:spPr>
    </c:plotArea>
    <c:legend>
      <c:legendPos val="t"/>
      <c:layout>
        <c:manualLayout>
          <c:xMode val="edge"/>
          <c:yMode val="edge"/>
          <c:x val="2.17812538533355E-2"/>
          <c:y val="0.160642570281125"/>
          <c:w val="0.95643749229332897"/>
          <c:h val="0.19832273977800999"/>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Figure D12 TOP 5 industries with the highest share of enterprises in the Czech Republic with a website enabling online ordering</a:t>
            </a:r>
            <a:r>
              <a:rPr lang="cs-CZ" sz="800" b="1" baseline="0">
                <a:effectLst/>
              </a:rPr>
              <a:t>; </a:t>
            </a:r>
            <a:r>
              <a:rPr lang="cs-CZ" sz="800" b="1">
                <a:effectLst/>
              </a:rPr>
              <a:t> 2017 </a:t>
            </a:r>
            <a:r>
              <a:rPr lang="cs-CZ" sz="800" b="1" baseline="0">
                <a:effectLst/>
              </a:rPr>
              <a:t>(%)*</a:t>
            </a:r>
            <a:endParaRPr lang="cs-CZ" sz="800">
              <a:effectLst/>
            </a:endParaRPr>
          </a:p>
        </c:rich>
      </c:tx>
      <c:overlay val="0"/>
    </c:title>
    <c:autoTitleDeleted val="0"/>
    <c:plotArea>
      <c:layout>
        <c:manualLayout>
          <c:layoutTarget val="inner"/>
          <c:xMode val="edge"/>
          <c:yMode val="edge"/>
          <c:x val="0.49871418088199099"/>
          <c:y val="0.19880370521490767"/>
          <c:w val="0.45939982502187199"/>
          <c:h val="0.66804469176744319"/>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86-4977-B4E6-F1C2CFAABD57}"/>
                </c:ext>
              </c:extLst>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D_ENG!$G$174:$G$178</c:f>
              <c:strCache>
                <c:ptCount val="5"/>
                <c:pt idx="0">
                  <c:v>Sale and repair of motor vehicles</c:v>
                </c:pt>
                <c:pt idx="1">
                  <c:v>Telecommunications</c:v>
                </c:pt>
                <c:pt idx="2">
                  <c:v>Media industries incl. publishing activities</c:v>
                </c:pt>
                <c:pt idx="3">
                  <c:v>Travel agency 
and related activities</c:v>
                </c:pt>
                <c:pt idx="4">
                  <c:v>Accomodation</c:v>
                </c:pt>
              </c:strCache>
            </c:strRef>
          </c:cat>
          <c:val>
            <c:numRef>
              <c:f>D_ENG!$H$174:$H$178</c:f>
              <c:numCache>
                <c:formatCode>0%</c:formatCode>
                <c:ptCount val="5"/>
                <c:pt idx="0">
                  <c:v>0.51700000000000002</c:v>
                </c:pt>
                <c:pt idx="1">
                  <c:v>0.65900000000000003</c:v>
                </c:pt>
                <c:pt idx="2">
                  <c:v>0.69299999999999995</c:v>
                </c:pt>
                <c:pt idx="3">
                  <c:v>0.78600000000000003</c:v>
                </c:pt>
                <c:pt idx="4">
                  <c:v>0.87</c:v>
                </c:pt>
              </c:numCache>
            </c:numRef>
          </c:val>
          <c:extLst>
            <c:ext xmlns:c16="http://schemas.microsoft.com/office/drawing/2014/chart" uri="{C3380CC4-5D6E-409C-BE32-E72D297353CC}">
              <c16:uniqueId val="{00000001-7486-4977-B4E6-F1C2CFAABD57}"/>
            </c:ext>
          </c:extLst>
        </c:ser>
        <c:dLbls>
          <c:showLegendKey val="0"/>
          <c:showVal val="0"/>
          <c:showCatName val="0"/>
          <c:showSerName val="0"/>
          <c:showPercent val="0"/>
          <c:showBubbleSize val="0"/>
        </c:dLbls>
        <c:gapWidth val="70"/>
        <c:axId val="33105408"/>
        <c:axId val="182922048"/>
      </c:barChart>
      <c:catAx>
        <c:axId val="33105408"/>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182922048"/>
        <c:crosses val="autoZero"/>
        <c:auto val="1"/>
        <c:lblAlgn val="ctr"/>
        <c:lblOffset val="100"/>
        <c:noMultiLvlLbl val="0"/>
      </c:catAx>
      <c:valAx>
        <c:axId val="182922048"/>
        <c:scaling>
          <c:orientation val="minMax"/>
          <c:max val="1"/>
          <c:min val="0"/>
        </c:scaling>
        <c:delete val="0"/>
        <c:axPos val="b"/>
        <c:numFmt formatCode="0%" sourceLinked="1"/>
        <c:majorTickMark val="none"/>
        <c:minorTickMark val="none"/>
        <c:tickLblPos val="none"/>
        <c:spPr>
          <a:ln w="9525">
            <a:noFill/>
          </a:ln>
        </c:spPr>
        <c:crossAx val="33105408"/>
        <c:crosses val="autoZero"/>
        <c:crossBetween val="between"/>
        <c:majorUnit val="0.05"/>
        <c:minorUnit val="0.01"/>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5250994835323003"/>
          <c:w val="0.95124725847625202"/>
          <c:h val="0.61038904411142159"/>
        </c:manualLayout>
      </c:layout>
      <c:barChart>
        <c:barDir val="col"/>
        <c:grouping val="clustered"/>
        <c:varyColors val="0"/>
        <c:ser>
          <c:idx val="0"/>
          <c:order val="0"/>
          <c:tx>
            <c:strRef>
              <c:f>D_ENG!$H$190</c:f>
              <c:strCache>
                <c:ptCount val="1"/>
                <c:pt idx="0">
                  <c:v> 2007</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D_ENG!$G$191:$G$194</c:f>
              <c:strCache>
                <c:ptCount val="4"/>
                <c:pt idx="0">
                  <c:v>Total</c:v>
                </c:pt>
                <c:pt idx="1">
                  <c:v>Small</c:v>
                </c:pt>
                <c:pt idx="2">
                  <c:v>Medium</c:v>
                </c:pt>
                <c:pt idx="3">
                  <c:v>Large</c:v>
                </c:pt>
              </c:strCache>
            </c:strRef>
          </c:cat>
          <c:val>
            <c:numRef>
              <c:f>D_ENG!$H$191:$H$194</c:f>
              <c:numCache>
                <c:formatCode>0%</c:formatCode>
                <c:ptCount val="4"/>
                <c:pt idx="0">
                  <c:v>0.11</c:v>
                </c:pt>
                <c:pt idx="1">
                  <c:v>0.1</c:v>
                </c:pt>
                <c:pt idx="2">
                  <c:v>0.1</c:v>
                </c:pt>
                <c:pt idx="3">
                  <c:v>0.13</c:v>
                </c:pt>
              </c:numCache>
            </c:numRef>
          </c:val>
          <c:extLst>
            <c:ext xmlns:c16="http://schemas.microsoft.com/office/drawing/2014/chart" uri="{C3380CC4-5D6E-409C-BE32-E72D297353CC}">
              <c16:uniqueId val="{00000000-A77E-438C-BE6B-7F6D469D7030}"/>
            </c:ext>
          </c:extLst>
        </c:ser>
        <c:ser>
          <c:idx val="1"/>
          <c:order val="1"/>
          <c:tx>
            <c:strRef>
              <c:f>D_ENG!$I$190</c:f>
              <c:strCache>
                <c:ptCount val="1"/>
                <c:pt idx="0">
                  <c:v> 2010</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D_ENG!$G$191:$G$194</c:f>
              <c:strCache>
                <c:ptCount val="4"/>
                <c:pt idx="0">
                  <c:v>Total</c:v>
                </c:pt>
                <c:pt idx="1">
                  <c:v>Small</c:v>
                </c:pt>
                <c:pt idx="2">
                  <c:v>Medium</c:v>
                </c:pt>
                <c:pt idx="3">
                  <c:v>Large</c:v>
                </c:pt>
              </c:strCache>
            </c:strRef>
          </c:cat>
          <c:val>
            <c:numRef>
              <c:f>D_ENG!$I$191:$I$194</c:f>
              <c:numCache>
                <c:formatCode>0%</c:formatCode>
                <c:ptCount val="4"/>
                <c:pt idx="0">
                  <c:v>0.17</c:v>
                </c:pt>
                <c:pt idx="1">
                  <c:v>0.17</c:v>
                </c:pt>
                <c:pt idx="2">
                  <c:v>0.18</c:v>
                </c:pt>
                <c:pt idx="3">
                  <c:v>0.19</c:v>
                </c:pt>
              </c:numCache>
            </c:numRef>
          </c:val>
          <c:extLst>
            <c:ext xmlns:c16="http://schemas.microsoft.com/office/drawing/2014/chart" uri="{C3380CC4-5D6E-409C-BE32-E72D297353CC}">
              <c16:uniqueId val="{00000001-A77E-438C-BE6B-7F6D469D7030}"/>
            </c:ext>
          </c:extLst>
        </c:ser>
        <c:ser>
          <c:idx val="2"/>
          <c:order val="2"/>
          <c:tx>
            <c:strRef>
              <c:f>D_ENG!$J$190</c:f>
              <c:strCache>
                <c:ptCount val="1"/>
                <c:pt idx="0">
                  <c:v> 2013</c:v>
                </c:pt>
              </c:strCache>
            </c:strRef>
          </c:tx>
          <c:spPr>
            <a:solidFill>
              <a:srgbClr val="00C5E6"/>
            </a:solidFill>
          </c:spPr>
          <c:invertIfNegative val="0"/>
          <c:dLbls>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D_ENG!$G$191:$G$194</c:f>
              <c:strCache>
                <c:ptCount val="4"/>
                <c:pt idx="0">
                  <c:v>Total</c:v>
                </c:pt>
                <c:pt idx="1">
                  <c:v>Small</c:v>
                </c:pt>
                <c:pt idx="2">
                  <c:v>Medium</c:v>
                </c:pt>
                <c:pt idx="3">
                  <c:v>Large</c:v>
                </c:pt>
              </c:strCache>
            </c:strRef>
          </c:cat>
          <c:val>
            <c:numRef>
              <c:f>D_ENG!$J$191:$J$194</c:f>
              <c:numCache>
                <c:formatCode>0%</c:formatCode>
                <c:ptCount val="4"/>
                <c:pt idx="0">
                  <c:v>0.21</c:v>
                </c:pt>
                <c:pt idx="1">
                  <c:v>0.21</c:v>
                </c:pt>
                <c:pt idx="2">
                  <c:v>0.22</c:v>
                </c:pt>
                <c:pt idx="3">
                  <c:v>0.21</c:v>
                </c:pt>
              </c:numCache>
            </c:numRef>
          </c:val>
          <c:extLst>
            <c:ext xmlns:c16="http://schemas.microsoft.com/office/drawing/2014/chart" uri="{C3380CC4-5D6E-409C-BE32-E72D297353CC}">
              <c16:uniqueId val="{00000002-A77E-438C-BE6B-7F6D469D7030}"/>
            </c:ext>
          </c:extLst>
        </c:ser>
        <c:ser>
          <c:idx val="3"/>
          <c:order val="3"/>
          <c:tx>
            <c:strRef>
              <c:f>D_ENG!$K$190</c:f>
              <c:strCache>
                <c:ptCount val="1"/>
                <c:pt idx="0">
                  <c:v> 2016</c:v>
                </c:pt>
              </c:strCache>
            </c:strRef>
          </c:tx>
          <c:spPr>
            <a:solidFill>
              <a:srgbClr val="009BB4"/>
            </a:solidFill>
          </c:spPr>
          <c:invertIfNegative val="0"/>
          <c:dLbls>
            <c:spPr>
              <a:noFill/>
              <a:ln>
                <a:noFill/>
              </a:ln>
              <a:effectLst/>
            </c:spPr>
            <c:txPr>
              <a:bodyPr rot="-5400000" vert="horz"/>
              <a:lstStyle/>
              <a:p>
                <a:pPr>
                  <a:defRPr b="1">
                    <a:solidFill>
                      <a:schemeClr val="bg1"/>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D_ENG!$G$191:$G$194</c:f>
              <c:strCache>
                <c:ptCount val="4"/>
                <c:pt idx="0">
                  <c:v>Total</c:v>
                </c:pt>
                <c:pt idx="1">
                  <c:v>Small</c:v>
                </c:pt>
                <c:pt idx="2">
                  <c:v>Medium</c:v>
                </c:pt>
                <c:pt idx="3">
                  <c:v>Large</c:v>
                </c:pt>
              </c:strCache>
            </c:strRef>
          </c:cat>
          <c:val>
            <c:numRef>
              <c:f>D_ENG!$K$191:$K$194</c:f>
              <c:numCache>
                <c:formatCode>0%</c:formatCode>
                <c:ptCount val="4"/>
                <c:pt idx="0">
                  <c:v>0.19</c:v>
                </c:pt>
                <c:pt idx="1">
                  <c:v>0.18</c:v>
                </c:pt>
                <c:pt idx="2">
                  <c:v>0.22</c:v>
                </c:pt>
                <c:pt idx="3">
                  <c:v>0.27</c:v>
                </c:pt>
              </c:numCache>
            </c:numRef>
          </c:val>
          <c:extLst>
            <c:ext xmlns:c16="http://schemas.microsoft.com/office/drawing/2014/chart" uri="{C3380CC4-5D6E-409C-BE32-E72D297353CC}">
              <c16:uniqueId val="{00000003-A77E-438C-BE6B-7F6D469D7030}"/>
            </c:ext>
          </c:extLst>
        </c:ser>
        <c:dLbls>
          <c:showLegendKey val="0"/>
          <c:showVal val="1"/>
          <c:showCatName val="0"/>
          <c:showSerName val="0"/>
          <c:showPercent val="0"/>
          <c:showBubbleSize val="0"/>
        </c:dLbls>
        <c:gapWidth val="50"/>
        <c:overlap val="1"/>
        <c:axId val="33106944"/>
        <c:axId val="182923776"/>
      </c:barChart>
      <c:catAx>
        <c:axId val="33106944"/>
        <c:scaling>
          <c:orientation val="minMax"/>
        </c:scaling>
        <c:delete val="0"/>
        <c:axPos val="b"/>
        <c:numFmt formatCode="General" sourceLinked="1"/>
        <c:majorTickMark val="out"/>
        <c:minorTickMark val="none"/>
        <c:tickLblPos val="nextTo"/>
        <c:spPr>
          <a:ln w="3175">
            <a:solidFill>
              <a:schemeClr val="tx1"/>
            </a:solidFill>
          </a:ln>
        </c:spPr>
        <c:crossAx val="182923776"/>
        <c:crosses val="autoZero"/>
        <c:auto val="1"/>
        <c:lblAlgn val="ctr"/>
        <c:lblOffset val="100"/>
        <c:noMultiLvlLbl val="0"/>
      </c:catAx>
      <c:valAx>
        <c:axId val="182923776"/>
        <c:scaling>
          <c:orientation val="minMax"/>
          <c:max val="0.8"/>
          <c:min val="0"/>
        </c:scaling>
        <c:delete val="0"/>
        <c:axPos val="l"/>
        <c:numFmt formatCode="0%" sourceLinked="1"/>
        <c:majorTickMark val="none"/>
        <c:minorTickMark val="none"/>
        <c:tickLblPos val="none"/>
        <c:crossAx val="33106944"/>
        <c:crosses val="autoZero"/>
        <c:crossBetween val="between"/>
      </c:valAx>
      <c:spPr>
        <a:ln w="12700">
          <a:solidFill>
            <a:srgbClr val="A6A6A6"/>
          </a:solidFill>
        </a:ln>
      </c:spPr>
    </c:plotArea>
    <c:legend>
      <c:legendPos val="t"/>
      <c:layout>
        <c:manualLayout>
          <c:xMode val="edge"/>
          <c:yMode val="edge"/>
          <c:x val="0.20317117894509801"/>
          <c:y val="0.20842412797947801"/>
          <c:w val="0.62734872182073098"/>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90144535100533"/>
          <c:w val="0.95124725847625202"/>
          <c:h val="0.57275471787746002"/>
        </c:manualLayout>
      </c:layout>
      <c:barChart>
        <c:barDir val="col"/>
        <c:grouping val="clustered"/>
        <c:varyColors val="0"/>
        <c:ser>
          <c:idx val="0"/>
          <c:order val="0"/>
          <c:tx>
            <c:strRef>
              <c:f>D_ENG!$H$200</c:f>
              <c:strCache>
                <c:ptCount val="1"/>
                <c:pt idx="0">
                  <c:v> own country</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D_ENG!$G$201:$G$204</c:f>
              <c:strCache>
                <c:ptCount val="4"/>
                <c:pt idx="0">
                  <c:v>Total</c:v>
                </c:pt>
                <c:pt idx="1">
                  <c:v>Small</c:v>
                </c:pt>
                <c:pt idx="2">
                  <c:v>Medium</c:v>
                </c:pt>
                <c:pt idx="3">
                  <c:v>Large</c:v>
                </c:pt>
              </c:strCache>
            </c:strRef>
          </c:cat>
          <c:val>
            <c:numRef>
              <c:f>D_ENG!$H$201:$H$204</c:f>
              <c:numCache>
                <c:formatCode>0%</c:formatCode>
                <c:ptCount val="4"/>
                <c:pt idx="0">
                  <c:v>0.19</c:v>
                </c:pt>
                <c:pt idx="1">
                  <c:v>0.18</c:v>
                </c:pt>
                <c:pt idx="2">
                  <c:v>0.22</c:v>
                </c:pt>
                <c:pt idx="3">
                  <c:v>0.27</c:v>
                </c:pt>
              </c:numCache>
            </c:numRef>
          </c:val>
          <c:extLst>
            <c:ext xmlns:c16="http://schemas.microsoft.com/office/drawing/2014/chart" uri="{C3380CC4-5D6E-409C-BE32-E72D297353CC}">
              <c16:uniqueId val="{00000000-6F3B-4F3A-9D0E-E45517F44098}"/>
            </c:ext>
          </c:extLst>
        </c:ser>
        <c:ser>
          <c:idx val="1"/>
          <c:order val="1"/>
          <c:tx>
            <c:strRef>
              <c:f>D_ENG!$I$200</c:f>
              <c:strCache>
                <c:ptCount val="1"/>
                <c:pt idx="0">
                  <c:v> other EU countries</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D_ENG!$G$201:$G$204</c:f>
              <c:strCache>
                <c:ptCount val="4"/>
                <c:pt idx="0">
                  <c:v>Total</c:v>
                </c:pt>
                <c:pt idx="1">
                  <c:v>Small</c:v>
                </c:pt>
                <c:pt idx="2">
                  <c:v>Medium</c:v>
                </c:pt>
                <c:pt idx="3">
                  <c:v>Large</c:v>
                </c:pt>
              </c:strCache>
            </c:strRef>
          </c:cat>
          <c:val>
            <c:numRef>
              <c:f>D_ENG!$I$201:$I$204</c:f>
              <c:numCache>
                <c:formatCode>0%</c:formatCode>
                <c:ptCount val="4"/>
                <c:pt idx="0">
                  <c:v>0.09</c:v>
                </c:pt>
                <c:pt idx="1">
                  <c:v>0.08</c:v>
                </c:pt>
                <c:pt idx="2">
                  <c:v>0.13</c:v>
                </c:pt>
                <c:pt idx="3">
                  <c:v>0.14000000000000001</c:v>
                </c:pt>
              </c:numCache>
            </c:numRef>
          </c:val>
          <c:extLst>
            <c:ext xmlns:c16="http://schemas.microsoft.com/office/drawing/2014/chart" uri="{C3380CC4-5D6E-409C-BE32-E72D297353CC}">
              <c16:uniqueId val="{00000001-6F3B-4F3A-9D0E-E45517F44098}"/>
            </c:ext>
          </c:extLst>
        </c:ser>
        <c:ser>
          <c:idx val="2"/>
          <c:order val="2"/>
          <c:tx>
            <c:strRef>
              <c:f>D_ENG!$J$200</c:f>
              <c:strCache>
                <c:ptCount val="1"/>
                <c:pt idx="0">
                  <c:v> rest of the world</c:v>
                </c:pt>
              </c:strCache>
            </c:strRef>
          </c:tx>
          <c:spPr>
            <a:solidFill>
              <a:srgbClr val="009BB4"/>
            </a:solidFill>
          </c:spPr>
          <c:invertIfNegative val="0"/>
          <c:dLbls>
            <c:numFmt formatCode="0%" sourceLinked="0"/>
            <c:spPr>
              <a:noFill/>
              <a:ln>
                <a:noFill/>
              </a:ln>
              <a:effectLst/>
            </c:spPr>
            <c:txPr>
              <a:bodyPr rot="-5400000" vert="horz"/>
              <a:lstStyle/>
              <a:p>
                <a:pPr>
                  <a:defRPr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D_ENG!$G$201:$G$204</c:f>
              <c:strCache>
                <c:ptCount val="4"/>
                <c:pt idx="0">
                  <c:v>Total</c:v>
                </c:pt>
                <c:pt idx="1">
                  <c:v>Small</c:v>
                </c:pt>
                <c:pt idx="2">
                  <c:v>Medium</c:v>
                </c:pt>
                <c:pt idx="3">
                  <c:v>Large</c:v>
                </c:pt>
              </c:strCache>
            </c:strRef>
          </c:cat>
          <c:val>
            <c:numRef>
              <c:f>D_ENG!$J$201:$J$204</c:f>
              <c:numCache>
                <c:formatCode>0%</c:formatCode>
                <c:ptCount val="4"/>
                <c:pt idx="0">
                  <c:v>0.03</c:v>
                </c:pt>
                <c:pt idx="1">
                  <c:v>0.03</c:v>
                </c:pt>
                <c:pt idx="2">
                  <c:v>0.05</c:v>
                </c:pt>
                <c:pt idx="3">
                  <c:v>0.06</c:v>
                </c:pt>
              </c:numCache>
            </c:numRef>
          </c:val>
          <c:extLst>
            <c:ext xmlns:c16="http://schemas.microsoft.com/office/drawing/2014/chart" uri="{C3380CC4-5D6E-409C-BE32-E72D297353CC}">
              <c16:uniqueId val="{00000002-6F3B-4F3A-9D0E-E45517F44098}"/>
            </c:ext>
          </c:extLst>
        </c:ser>
        <c:dLbls>
          <c:showLegendKey val="0"/>
          <c:showVal val="1"/>
          <c:showCatName val="0"/>
          <c:showSerName val="0"/>
          <c:showPercent val="0"/>
          <c:showBubbleSize val="0"/>
        </c:dLbls>
        <c:gapWidth val="50"/>
        <c:overlap val="1"/>
        <c:axId val="183318016"/>
        <c:axId val="182925504"/>
      </c:barChart>
      <c:catAx>
        <c:axId val="183318016"/>
        <c:scaling>
          <c:orientation val="minMax"/>
        </c:scaling>
        <c:delete val="0"/>
        <c:axPos val="b"/>
        <c:numFmt formatCode="General" sourceLinked="1"/>
        <c:majorTickMark val="out"/>
        <c:minorTickMark val="none"/>
        <c:tickLblPos val="nextTo"/>
        <c:spPr>
          <a:ln w="3175">
            <a:solidFill>
              <a:schemeClr val="tx1"/>
            </a:solidFill>
          </a:ln>
        </c:spPr>
        <c:crossAx val="182925504"/>
        <c:crosses val="autoZero"/>
        <c:auto val="1"/>
        <c:lblAlgn val="ctr"/>
        <c:lblOffset val="100"/>
        <c:noMultiLvlLbl val="0"/>
      </c:catAx>
      <c:valAx>
        <c:axId val="182925504"/>
        <c:scaling>
          <c:orientation val="minMax"/>
          <c:max val="0.8"/>
          <c:min val="0"/>
        </c:scaling>
        <c:delete val="0"/>
        <c:axPos val="l"/>
        <c:numFmt formatCode="0%" sourceLinked="1"/>
        <c:majorTickMark val="none"/>
        <c:minorTickMark val="none"/>
        <c:tickLblPos val="none"/>
        <c:crossAx val="183318016"/>
        <c:crosses val="autoZero"/>
        <c:crossBetween val="between"/>
      </c:valAx>
      <c:spPr>
        <a:ln w="12700">
          <a:solidFill>
            <a:srgbClr val="A6A6A6"/>
          </a:solidFill>
        </a:ln>
      </c:spPr>
    </c:plotArea>
    <c:legend>
      <c:legendPos val="t"/>
      <c:layout>
        <c:manualLayout>
          <c:xMode val="edge"/>
          <c:yMode val="edge"/>
          <c:x val="6.9078472379932282E-2"/>
          <c:y val="0.21445731048324801"/>
          <c:w val="0.86369275407513368"/>
          <c:h val="0.11923985797254946"/>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cs-CZ" sz="800" b="1" i="0" baseline="0">
                <a:effectLst/>
              </a:rPr>
              <a:t>Figure</a:t>
            </a:r>
            <a:r>
              <a:rPr lang="en-US" sz="800" b="1" i="0" baseline="0">
                <a:effectLst/>
              </a:rPr>
              <a:t> A</a:t>
            </a:r>
            <a:r>
              <a:rPr lang="cs-CZ" sz="800" b="1" i="0" baseline="0">
                <a:effectLst/>
              </a:rPr>
              <a:t>9</a:t>
            </a:r>
            <a:r>
              <a:rPr lang="en-US" sz="800" b="1" i="0" baseline="0">
                <a:effectLst/>
              </a:rPr>
              <a:t> </a:t>
            </a:r>
            <a:r>
              <a:rPr lang="cs-CZ" sz="800" b="1" i="0" baseline="0">
                <a:effectLst/>
              </a:rPr>
              <a:t>Mobile telephone traffic </a:t>
            </a:r>
          </a:p>
          <a:p>
            <a:pPr>
              <a:defRPr sz="800" b="1"/>
            </a:pPr>
            <a:r>
              <a:rPr lang="cs-CZ" sz="800" b="1" i="0" baseline="0">
                <a:effectLst/>
              </a:rPr>
              <a:t>in the Czech Republic</a:t>
            </a:r>
            <a:endParaRPr lang="en-US" sz="800" b="1"/>
          </a:p>
        </c:rich>
      </c:tx>
      <c:layout>
        <c:manualLayout>
          <c:xMode val="edge"/>
          <c:yMode val="edge"/>
          <c:x val="0.23899109419386416"/>
          <c:y val="2.1709272642289577E-2"/>
        </c:manualLayout>
      </c:layout>
      <c:overlay val="1"/>
    </c:title>
    <c:autoTitleDeleted val="0"/>
    <c:plotArea>
      <c:layout>
        <c:manualLayout>
          <c:layoutTarget val="inner"/>
          <c:xMode val="edge"/>
          <c:yMode val="edge"/>
          <c:x val="2.2538872296135399E-2"/>
          <c:y val="0.14130299145299099"/>
          <c:w val="0.95072255291005303"/>
          <c:h val="0.65897222222222196"/>
        </c:manualLayout>
      </c:layout>
      <c:barChart>
        <c:barDir val="col"/>
        <c:grouping val="clustered"/>
        <c:varyColors val="0"/>
        <c:ser>
          <c:idx val="2"/>
          <c:order val="0"/>
          <c:tx>
            <c:strRef>
              <c:f>A_EN!$A$124</c:f>
              <c:strCache>
                <c:ptCount val="1"/>
                <c:pt idx="0">
                  <c:v> billion called minutes</c:v>
                </c:pt>
              </c:strCache>
            </c:strRef>
          </c:tx>
          <c:spPr>
            <a:solidFill>
              <a:srgbClr val="009BB4"/>
            </a:solidFill>
            <a:ln w="25400">
              <a:noFill/>
            </a:ln>
          </c:spPr>
          <c:invertIfNegative val="0"/>
          <c:dLbls>
            <c:numFmt formatCode="#,##0.0" sourceLinked="0"/>
            <c:spPr>
              <a:noFill/>
              <a:ln>
                <a:noFill/>
              </a:ln>
              <a:effectLst/>
            </c:spPr>
            <c:txPr>
              <a:bodyPr rot="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A_EN!$B$123:$H$123</c:f>
              <c:numCache>
                <c:formatCode>0</c:formatCode>
                <c:ptCount val="7"/>
                <c:pt idx="0" formatCode="General">
                  <c:v>2004</c:v>
                </c:pt>
                <c:pt idx="1">
                  <c:v>2006</c:v>
                </c:pt>
                <c:pt idx="2">
                  <c:v>2008</c:v>
                </c:pt>
                <c:pt idx="3">
                  <c:v>2010</c:v>
                </c:pt>
                <c:pt idx="4">
                  <c:v>2012</c:v>
                </c:pt>
                <c:pt idx="5">
                  <c:v>2014</c:v>
                </c:pt>
                <c:pt idx="6">
                  <c:v>2016</c:v>
                </c:pt>
              </c:numCache>
            </c:numRef>
          </c:cat>
          <c:val>
            <c:numRef>
              <c:f>A_EN!$B$124:$H$124</c:f>
              <c:numCache>
                <c:formatCode>#,##0.0</c:formatCode>
                <c:ptCount val="7"/>
                <c:pt idx="0">
                  <c:v>6.722251</c:v>
                </c:pt>
                <c:pt idx="1">
                  <c:v>9.5982709999999987</c:v>
                </c:pt>
                <c:pt idx="2">
                  <c:v>12.6982</c:v>
                </c:pt>
                <c:pt idx="3">
                  <c:v>14.861039</c:v>
                </c:pt>
                <c:pt idx="4">
                  <c:v>16.112912000000001</c:v>
                </c:pt>
                <c:pt idx="5">
                  <c:v>20.731107999999999</c:v>
                </c:pt>
                <c:pt idx="6">
                  <c:v>20.97891447632</c:v>
                </c:pt>
              </c:numCache>
            </c:numRef>
          </c:val>
          <c:extLst>
            <c:ext xmlns:c16="http://schemas.microsoft.com/office/drawing/2014/chart" uri="{C3380CC4-5D6E-409C-BE32-E72D297353CC}">
              <c16:uniqueId val="{00000000-A942-43B4-848B-63CF85883A02}"/>
            </c:ext>
          </c:extLst>
        </c:ser>
        <c:dLbls>
          <c:showLegendKey val="0"/>
          <c:showVal val="0"/>
          <c:showCatName val="0"/>
          <c:showSerName val="0"/>
          <c:showPercent val="0"/>
          <c:showBubbleSize val="0"/>
        </c:dLbls>
        <c:gapWidth val="40"/>
        <c:axId val="151240192"/>
        <c:axId val="151103168"/>
      </c:barChart>
      <c:lineChart>
        <c:grouping val="standard"/>
        <c:varyColors val="0"/>
        <c:ser>
          <c:idx val="0"/>
          <c:order val="1"/>
          <c:tx>
            <c:strRef>
              <c:f>A_EN!$A$125</c:f>
              <c:strCache>
                <c:ptCount val="1"/>
                <c:pt idx="0">
                  <c:v> minutes per one subscription (SIM card)</c:v>
                </c:pt>
              </c:strCache>
            </c:strRef>
          </c:tx>
          <c:spPr>
            <a:ln w="12700">
              <a:solidFill>
                <a:srgbClr val="009BB4"/>
              </a:solidFill>
            </a:ln>
          </c:spPr>
          <c:marker>
            <c:symbol val="diamond"/>
            <c:size val="4"/>
            <c:spPr>
              <a:solidFill>
                <a:srgbClr val="47E5FF"/>
              </a:solidFill>
              <a:ln w="12700">
                <a:solidFill>
                  <a:srgbClr val="009BB4"/>
                </a:solidFill>
              </a:ln>
            </c:spPr>
          </c:marker>
          <c:dLbls>
            <c:dLbl>
              <c:idx val="3"/>
              <c:layout>
                <c:manualLayout>
                  <c:x val="-7.5647817460317499E-2"/>
                  <c:y val="-4.93752136752136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942-43B4-848B-63CF85883A02}"/>
                </c:ext>
              </c:extLst>
            </c:dLbl>
            <c:dLbl>
              <c:idx val="4"/>
              <c:layout>
                <c:manualLayout>
                  <c:x val="-7.56481481481482E-2"/>
                  <c:y val="3.74619658119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942-43B4-848B-63CF85883A02}"/>
                </c:ext>
              </c:extLst>
            </c:dLbl>
            <c:dLbl>
              <c:idx val="5"/>
              <c:layout>
                <c:manualLayout>
                  <c:x val="-6.3048611111111097E-2"/>
                  <c:y val="4.8317094017093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42-43B4-848B-63CF85883A02}"/>
                </c:ext>
              </c:extLst>
            </c:dLbl>
            <c:numFmt formatCode="#,##0" sourceLinked="0"/>
            <c:spPr>
              <a:noFill/>
              <a:ln>
                <a:noFill/>
              </a:ln>
              <a:effectLst/>
            </c:spPr>
            <c:txPr>
              <a:bodyPr rot="0" vert="horz"/>
              <a:lstStyle/>
              <a:p>
                <a:pPr>
                  <a:defRPr b="1" i="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A_EN!$B$123:$H$123</c:f>
              <c:numCache>
                <c:formatCode>0</c:formatCode>
                <c:ptCount val="7"/>
                <c:pt idx="0" formatCode="General">
                  <c:v>2004</c:v>
                </c:pt>
                <c:pt idx="1">
                  <c:v>2006</c:v>
                </c:pt>
                <c:pt idx="2">
                  <c:v>2008</c:v>
                </c:pt>
                <c:pt idx="3">
                  <c:v>2010</c:v>
                </c:pt>
                <c:pt idx="4">
                  <c:v>2012</c:v>
                </c:pt>
                <c:pt idx="5">
                  <c:v>2014</c:v>
                </c:pt>
                <c:pt idx="6">
                  <c:v>2016</c:v>
                </c:pt>
              </c:numCache>
            </c:numRef>
          </c:cat>
          <c:val>
            <c:numRef>
              <c:f>A_EN!$B$125:$H$125</c:f>
              <c:numCache>
                <c:formatCode>#,##0.0</c:formatCode>
                <c:ptCount val="7"/>
                <c:pt idx="0">
                  <c:v>634.31546116933418</c:v>
                </c:pt>
                <c:pt idx="1">
                  <c:v>897.87428745438081</c:v>
                </c:pt>
                <c:pt idx="2">
                  <c:v>1184.8830665686601</c:v>
                </c:pt>
                <c:pt idx="3">
                  <c:v>1392.3312256330171</c:v>
                </c:pt>
                <c:pt idx="4">
                  <c:v>1499.5151961106119</c:v>
                </c:pt>
                <c:pt idx="5">
                  <c:v>1905.642350643853</c:v>
                </c:pt>
                <c:pt idx="6">
                  <c:v>1933.0165283079821</c:v>
                </c:pt>
              </c:numCache>
            </c:numRef>
          </c:val>
          <c:smooth val="0"/>
          <c:extLst>
            <c:ext xmlns:c16="http://schemas.microsoft.com/office/drawing/2014/chart" uri="{C3380CC4-5D6E-409C-BE32-E72D297353CC}">
              <c16:uniqueId val="{00000004-A942-43B4-848B-63CF85883A02}"/>
            </c:ext>
          </c:extLst>
        </c:ser>
        <c:dLbls>
          <c:showLegendKey val="0"/>
          <c:showVal val="0"/>
          <c:showCatName val="0"/>
          <c:showSerName val="0"/>
          <c:showPercent val="0"/>
          <c:showBubbleSize val="0"/>
        </c:dLbls>
        <c:marker val="1"/>
        <c:smooth val="0"/>
        <c:axId val="154162176"/>
        <c:axId val="151103744"/>
      </c:lineChart>
      <c:catAx>
        <c:axId val="151240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51103168"/>
        <c:crosses val="autoZero"/>
        <c:auto val="1"/>
        <c:lblAlgn val="ctr"/>
        <c:lblOffset val="140"/>
        <c:tickLblSkip val="1"/>
        <c:tickMarkSkip val="1"/>
        <c:noMultiLvlLbl val="0"/>
      </c:catAx>
      <c:valAx>
        <c:axId val="151103168"/>
        <c:scaling>
          <c:orientation val="minMax"/>
          <c:max val="30"/>
          <c:min val="0"/>
        </c:scaling>
        <c:delete val="0"/>
        <c:axPos val="l"/>
        <c:numFmt formatCode="#,##0.0" sourceLinked="1"/>
        <c:majorTickMark val="none"/>
        <c:minorTickMark val="none"/>
        <c:tickLblPos val="none"/>
        <c:spPr>
          <a:ln w="9525">
            <a:noFill/>
          </a:ln>
        </c:spPr>
        <c:crossAx val="151240192"/>
        <c:crosses val="autoZero"/>
        <c:crossBetween val="between"/>
        <c:majorUnit val="5"/>
        <c:minorUnit val="0.1"/>
      </c:valAx>
      <c:catAx>
        <c:axId val="154162176"/>
        <c:scaling>
          <c:orientation val="minMax"/>
        </c:scaling>
        <c:delete val="1"/>
        <c:axPos val="b"/>
        <c:numFmt formatCode="General" sourceLinked="1"/>
        <c:majorTickMark val="out"/>
        <c:minorTickMark val="none"/>
        <c:tickLblPos val="none"/>
        <c:crossAx val="151103744"/>
        <c:crosses val="autoZero"/>
        <c:auto val="1"/>
        <c:lblAlgn val="ctr"/>
        <c:lblOffset val="100"/>
        <c:noMultiLvlLbl val="0"/>
      </c:catAx>
      <c:valAx>
        <c:axId val="151103744"/>
        <c:scaling>
          <c:orientation val="minMax"/>
          <c:max val="2400"/>
          <c:min val="0"/>
        </c:scaling>
        <c:delete val="0"/>
        <c:axPos val="r"/>
        <c:numFmt formatCode="#,##0.0" sourceLinked="1"/>
        <c:majorTickMark val="none"/>
        <c:minorTickMark val="none"/>
        <c:tickLblPos val="none"/>
        <c:crossAx val="154162176"/>
        <c:crosses val="max"/>
        <c:crossBetween val="between"/>
        <c:majorUnit val="0.01"/>
        <c:minorUnit val="1E-3"/>
      </c:valAx>
      <c:spPr>
        <a:noFill/>
        <a:ln w="12700">
          <a:solidFill>
            <a:srgbClr val="969696"/>
          </a:solidFill>
          <a:prstDash val="solid"/>
        </a:ln>
      </c:spPr>
    </c:plotArea>
    <c:legend>
      <c:legendPos val="l"/>
      <c:legendEntry>
        <c:idx val="1"/>
        <c:txPr>
          <a:bodyPr/>
          <a:lstStyle/>
          <a:p>
            <a:pPr>
              <a:defRPr i="0"/>
            </a:pPr>
            <a:endParaRPr lang="cs-CZ"/>
          </a:p>
        </c:txPr>
      </c:legendEntry>
      <c:layout>
        <c:manualLayout>
          <c:xMode val="edge"/>
          <c:yMode val="edge"/>
          <c:x val="3.2377714650431398E-2"/>
          <c:y val="0.15864916013767266"/>
          <c:w val="0.724740079365079"/>
          <c:h val="0.10846726350986949"/>
        </c:manualLayout>
      </c:layout>
      <c:overlay val="0"/>
      <c:spPr>
        <a:ln>
          <a:solidFill>
            <a:schemeClr val="bg1">
              <a:lumMod val="50000"/>
            </a:schemeClr>
          </a:solidFill>
        </a:ln>
      </c:spPr>
      <c:txPr>
        <a:bodyPr/>
        <a:lstStyle/>
        <a:p>
          <a:pPr>
            <a:defRPr i="0"/>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D1</a:t>
            </a:r>
            <a:r>
              <a:rPr lang="cs-CZ" sz="800"/>
              <a:t>5</a:t>
            </a:r>
            <a:r>
              <a:rPr lang="en-US" sz="800"/>
              <a:t> Enterprises in EU countries</a:t>
            </a:r>
            <a:r>
              <a:rPr lang="cs-CZ" sz="800"/>
              <a:t> </a:t>
            </a:r>
            <a:r>
              <a:rPr lang="en-US" sz="800"/>
              <a:t>selling via a website</a:t>
            </a:r>
            <a:r>
              <a:rPr lang="cs-CZ" sz="800"/>
              <a:t>;</a:t>
            </a:r>
            <a:r>
              <a:rPr lang="cs-CZ" sz="800" baseline="0"/>
              <a:t> </a:t>
            </a:r>
            <a:r>
              <a:rPr lang="en-US" sz="800"/>
              <a:t>2016</a:t>
            </a:r>
            <a:r>
              <a:rPr lang="cs-CZ" sz="800"/>
              <a:t>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D_ENG!$L$213</c:f>
              <c:strCache>
                <c:ptCount val="1"/>
                <c:pt idx="0">
                  <c:v> Total </c:v>
                </c:pt>
              </c:strCache>
            </c:strRef>
          </c:tx>
          <c:spPr>
            <a:solidFill>
              <a:srgbClr val="009BB4"/>
            </a:solidFill>
          </c:spPr>
          <c:invertIfNegative val="0"/>
          <c:dPt>
            <c:idx val="6"/>
            <c:invertIfNegative val="0"/>
            <c:bubble3D val="0"/>
            <c:spPr>
              <a:solidFill>
                <a:srgbClr val="009BB4"/>
              </a:solidFill>
              <a:ln w="19050">
                <a:noFill/>
              </a:ln>
            </c:spPr>
            <c:extLst>
              <c:ext xmlns:c16="http://schemas.microsoft.com/office/drawing/2014/chart" uri="{C3380CC4-5D6E-409C-BE32-E72D297353CC}">
                <c16:uniqueId val="{00000001-1929-46B7-8717-FFBC70B83C33}"/>
              </c:ext>
            </c:extLst>
          </c:dPt>
          <c:dPt>
            <c:idx val="8"/>
            <c:invertIfNegative val="0"/>
            <c:bubble3D val="0"/>
            <c:spPr>
              <a:solidFill>
                <a:srgbClr val="009BB4"/>
              </a:solidFill>
              <a:ln w="19050">
                <a:noFill/>
              </a:ln>
            </c:spPr>
            <c:extLst>
              <c:ext xmlns:c16="http://schemas.microsoft.com/office/drawing/2014/chart" uri="{C3380CC4-5D6E-409C-BE32-E72D297353CC}">
                <c16:uniqueId val="{00000003-1929-46B7-8717-FFBC70B83C33}"/>
              </c:ext>
            </c:extLst>
          </c:dPt>
          <c:dPt>
            <c:idx val="9"/>
            <c:invertIfNegative val="0"/>
            <c:bubble3D val="0"/>
            <c:spPr>
              <a:solidFill>
                <a:srgbClr val="009BB4"/>
              </a:solidFill>
              <a:ln>
                <a:noFill/>
              </a:ln>
            </c:spPr>
            <c:extLst>
              <c:ext xmlns:c16="http://schemas.microsoft.com/office/drawing/2014/chart" uri="{C3380CC4-5D6E-409C-BE32-E72D297353CC}">
                <c16:uniqueId val="{00000005-1929-46B7-8717-FFBC70B83C33}"/>
              </c:ext>
            </c:extLst>
          </c:dPt>
          <c:dPt>
            <c:idx val="10"/>
            <c:invertIfNegative val="0"/>
            <c:bubble3D val="0"/>
            <c:spPr>
              <a:solidFill>
                <a:srgbClr val="009BB4"/>
              </a:solidFill>
              <a:ln>
                <a:solidFill>
                  <a:srgbClr val="FF0000"/>
                </a:solidFill>
              </a:ln>
            </c:spPr>
            <c:extLst>
              <c:ext xmlns:c16="http://schemas.microsoft.com/office/drawing/2014/chart" uri="{C3380CC4-5D6E-409C-BE32-E72D297353CC}">
                <c16:uniqueId val="{00000007-1929-46B7-8717-FFBC70B83C33}"/>
              </c:ext>
            </c:extLst>
          </c:dPt>
          <c:dPt>
            <c:idx val="11"/>
            <c:invertIfNegative val="0"/>
            <c:bubble3D val="0"/>
            <c:spPr>
              <a:solidFill>
                <a:srgbClr val="009BB4"/>
              </a:solidFill>
              <a:ln w="19050">
                <a:noFill/>
              </a:ln>
            </c:spPr>
            <c:extLst>
              <c:ext xmlns:c16="http://schemas.microsoft.com/office/drawing/2014/chart" uri="{C3380CC4-5D6E-409C-BE32-E72D297353CC}">
                <c16:uniqueId val="{00000009-1929-46B7-8717-FFBC70B83C33}"/>
              </c:ext>
            </c:extLst>
          </c:dPt>
          <c:dPt>
            <c:idx val="13"/>
            <c:invertIfNegative val="0"/>
            <c:bubble3D val="0"/>
            <c:spPr>
              <a:solidFill>
                <a:srgbClr val="009BB4"/>
              </a:solidFill>
              <a:ln w="19050">
                <a:noFill/>
              </a:ln>
            </c:spPr>
            <c:extLst>
              <c:ext xmlns:c16="http://schemas.microsoft.com/office/drawing/2014/chart" uri="{C3380CC4-5D6E-409C-BE32-E72D297353CC}">
                <c16:uniqueId val="{0000000B-1929-46B7-8717-FFBC70B83C33}"/>
              </c:ext>
            </c:extLst>
          </c:dPt>
          <c:dPt>
            <c:idx val="14"/>
            <c:invertIfNegative val="0"/>
            <c:bubble3D val="0"/>
            <c:spPr>
              <a:solidFill>
                <a:srgbClr val="009BB4"/>
              </a:solidFill>
              <a:ln w="9525">
                <a:solidFill>
                  <a:srgbClr val="FF0000"/>
                </a:solidFill>
              </a:ln>
            </c:spPr>
            <c:extLst>
              <c:ext xmlns:c16="http://schemas.microsoft.com/office/drawing/2014/chart" uri="{C3380CC4-5D6E-409C-BE32-E72D297353CC}">
                <c16:uniqueId val="{0000000D-1929-46B7-8717-FFBC70B83C33}"/>
              </c:ext>
            </c:extLst>
          </c:dPt>
          <c:dPt>
            <c:idx val="15"/>
            <c:invertIfNegative val="0"/>
            <c:bubble3D val="0"/>
            <c:spPr>
              <a:solidFill>
                <a:srgbClr val="009BB4"/>
              </a:solidFill>
              <a:ln w="19050">
                <a:noFill/>
              </a:ln>
            </c:spPr>
            <c:extLst>
              <c:ext xmlns:c16="http://schemas.microsoft.com/office/drawing/2014/chart" uri="{C3380CC4-5D6E-409C-BE32-E72D297353CC}">
                <c16:uniqueId val="{0000000F-1929-46B7-8717-FFBC70B83C33}"/>
              </c:ext>
            </c:extLst>
          </c:dPt>
          <c:dPt>
            <c:idx val="16"/>
            <c:invertIfNegative val="0"/>
            <c:bubble3D val="0"/>
            <c:spPr>
              <a:solidFill>
                <a:srgbClr val="009BB4"/>
              </a:solidFill>
              <a:ln w="19050">
                <a:noFill/>
              </a:ln>
            </c:spPr>
            <c:extLst>
              <c:ext xmlns:c16="http://schemas.microsoft.com/office/drawing/2014/chart" uri="{C3380CC4-5D6E-409C-BE32-E72D297353CC}">
                <c16:uniqueId val="{00000011-1929-46B7-8717-FFBC70B83C33}"/>
              </c:ext>
            </c:extLst>
          </c:dPt>
          <c:dPt>
            <c:idx val="18"/>
            <c:invertIfNegative val="0"/>
            <c:bubble3D val="0"/>
            <c:spPr>
              <a:solidFill>
                <a:srgbClr val="009BB4"/>
              </a:solidFill>
              <a:ln w="19050">
                <a:noFill/>
              </a:ln>
            </c:spPr>
            <c:extLst>
              <c:ext xmlns:c16="http://schemas.microsoft.com/office/drawing/2014/chart" uri="{C3380CC4-5D6E-409C-BE32-E72D297353CC}">
                <c16:uniqueId val="{00000013-1929-46B7-8717-FFBC70B83C33}"/>
              </c:ext>
            </c:extLst>
          </c:dPt>
          <c:dLbls>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D_ENG!$K$214:$K$242</c:f>
              <c:strCache>
                <c:ptCount val="29"/>
                <c:pt idx="0">
                  <c:v>Ireland</c:v>
                </c:pt>
                <c:pt idx="1">
                  <c:v>Sweden</c:v>
                </c:pt>
                <c:pt idx="2">
                  <c:v>Denmark</c:v>
                </c:pt>
                <c:pt idx="3">
                  <c:v>Netherlands</c:v>
                </c:pt>
                <c:pt idx="4">
                  <c:v>Belgium</c:v>
                </c:pt>
                <c:pt idx="5">
                  <c:v>Lithuania</c:v>
                </c:pt>
                <c:pt idx="6">
                  <c:v>Slovenia</c:v>
                </c:pt>
                <c:pt idx="7">
                  <c:v>Finland</c:v>
                </c:pt>
                <c:pt idx="8">
                  <c:v>Germany</c:v>
                </c:pt>
                <c:pt idx="9">
                  <c:v>United Kingdom</c:v>
                </c:pt>
                <c:pt idx="10">
                  <c:v>Czech Republic</c:v>
                </c:pt>
                <c:pt idx="11">
                  <c:v>Malta</c:v>
                </c:pt>
                <c:pt idx="12">
                  <c:v>Austria</c:v>
                </c:pt>
                <c:pt idx="13">
                  <c:v>Spain</c:v>
                </c:pt>
                <c:pt idx="14">
                  <c:v>EU28</c:v>
                </c:pt>
                <c:pt idx="15">
                  <c:v>Estonia</c:v>
                </c:pt>
                <c:pt idx="16">
                  <c:v>France</c:v>
                </c:pt>
                <c:pt idx="17">
                  <c:v>Croatia</c:v>
                </c:pt>
                <c:pt idx="18">
                  <c:v>Slovakia</c:v>
                </c:pt>
                <c:pt idx="19">
                  <c:v>Hungary</c:v>
                </c:pt>
                <c:pt idx="20">
                  <c:v>Portugal</c:v>
                </c:pt>
                <c:pt idx="21">
                  <c:v>Greece</c:v>
                </c:pt>
                <c:pt idx="22">
                  <c:v>Cyprus</c:v>
                </c:pt>
                <c:pt idx="23">
                  <c:v>Luxembourg </c:v>
                </c:pt>
                <c:pt idx="24">
                  <c:v>Italy</c:v>
                </c:pt>
                <c:pt idx="25">
                  <c:v>Latvia</c:v>
                </c:pt>
                <c:pt idx="26">
                  <c:v>Poland</c:v>
                </c:pt>
                <c:pt idx="27">
                  <c:v>Bulgaria</c:v>
                </c:pt>
                <c:pt idx="28">
                  <c:v>Romania</c:v>
                </c:pt>
              </c:strCache>
            </c:strRef>
          </c:cat>
          <c:val>
            <c:numRef>
              <c:f>D_ENG!$L$214:$L$242</c:f>
              <c:numCache>
                <c:formatCode>0%</c:formatCode>
                <c:ptCount val="29"/>
                <c:pt idx="0">
                  <c:v>0.26189200000000001</c:v>
                </c:pt>
                <c:pt idx="1">
                  <c:v>0.25350400000000001</c:v>
                </c:pt>
                <c:pt idx="2">
                  <c:v>0.236012</c:v>
                </c:pt>
                <c:pt idx="3">
                  <c:v>0.21929799999999999</c:v>
                </c:pt>
                <c:pt idx="4">
                  <c:v>0.209402</c:v>
                </c:pt>
                <c:pt idx="5">
                  <c:v>0.204039</c:v>
                </c:pt>
                <c:pt idx="6">
                  <c:v>0.20203099999999999</c:v>
                </c:pt>
                <c:pt idx="7">
                  <c:v>0.20183499999999999</c:v>
                </c:pt>
                <c:pt idx="8">
                  <c:v>0.200353</c:v>
                </c:pt>
                <c:pt idx="9">
                  <c:v>0.19283800000000001</c:v>
                </c:pt>
                <c:pt idx="10">
                  <c:v>0.19126099999999999</c:v>
                </c:pt>
                <c:pt idx="11">
                  <c:v>0.17933299999999999</c:v>
                </c:pt>
                <c:pt idx="12">
                  <c:v>0.17007700000000001</c:v>
                </c:pt>
                <c:pt idx="13">
                  <c:v>0.16294500000000001</c:v>
                </c:pt>
                <c:pt idx="14">
                  <c:v>0.161552</c:v>
                </c:pt>
                <c:pt idx="15">
                  <c:v>0.158355</c:v>
                </c:pt>
                <c:pt idx="16">
                  <c:v>0.14638300000000001</c:v>
                </c:pt>
                <c:pt idx="17">
                  <c:v>0.139291</c:v>
                </c:pt>
                <c:pt idx="18">
                  <c:v>0.13689000000000001</c:v>
                </c:pt>
                <c:pt idx="19">
                  <c:v>0.13058600000000001</c:v>
                </c:pt>
                <c:pt idx="20">
                  <c:v>0.12814500000000001</c:v>
                </c:pt>
                <c:pt idx="21">
                  <c:v>0.11594400000000001</c:v>
                </c:pt>
                <c:pt idx="22">
                  <c:v>0.114569</c:v>
                </c:pt>
                <c:pt idx="23">
                  <c:v>0.108335</c:v>
                </c:pt>
                <c:pt idx="24">
                  <c:v>9.8962999999999995E-2</c:v>
                </c:pt>
                <c:pt idx="25">
                  <c:v>9.6994999999999998E-2</c:v>
                </c:pt>
                <c:pt idx="26">
                  <c:v>9.3520000000000006E-2</c:v>
                </c:pt>
                <c:pt idx="27">
                  <c:v>8.8626999999999997E-2</c:v>
                </c:pt>
                <c:pt idx="28">
                  <c:v>6.6302E-2</c:v>
                </c:pt>
              </c:numCache>
            </c:numRef>
          </c:val>
          <c:extLst>
            <c:ext xmlns:c16="http://schemas.microsoft.com/office/drawing/2014/chart" uri="{C3380CC4-5D6E-409C-BE32-E72D297353CC}">
              <c16:uniqueId val="{00000014-1929-46B7-8717-FFBC70B83C33}"/>
            </c:ext>
          </c:extLst>
        </c:ser>
        <c:dLbls>
          <c:showLegendKey val="0"/>
          <c:showVal val="0"/>
          <c:showCatName val="0"/>
          <c:showSerName val="0"/>
          <c:showPercent val="0"/>
          <c:showBubbleSize val="0"/>
        </c:dLbls>
        <c:gapWidth val="50"/>
        <c:axId val="183318528"/>
        <c:axId val="177602560"/>
      </c:barChart>
      <c:barChart>
        <c:barDir val="col"/>
        <c:grouping val="clustered"/>
        <c:varyColors val="0"/>
        <c:ser>
          <c:idx val="1"/>
          <c:order val="1"/>
          <c:tx>
            <c:strRef>
              <c:f>D_ENG!$M$213</c:f>
              <c:strCache>
                <c:ptCount val="1"/>
                <c:pt idx="0">
                  <c:v> of which via an e-commerce marketplace website</c:v>
                </c:pt>
              </c:strCache>
            </c:strRef>
          </c:tx>
          <c:spPr>
            <a:solidFill>
              <a:srgbClr val="47E5FF"/>
            </a:solidFill>
          </c:spPr>
          <c:invertIfNegative val="0"/>
          <c:dLbls>
            <c:spPr>
              <a:noFill/>
              <a:ln>
                <a:noFill/>
              </a:ln>
              <a:effectLst/>
            </c:spPr>
            <c:txPr>
              <a:bodyPr rot="-5400000" vert="horz"/>
              <a:lstStyle/>
              <a:p>
                <a:pPr>
                  <a:defRPr b="1">
                    <a:solidFill>
                      <a:sysClr val="windowText" lastClr="000000"/>
                    </a:solidFill>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D_ENG!$K$214:$K$242</c:f>
              <c:strCache>
                <c:ptCount val="29"/>
                <c:pt idx="0">
                  <c:v>Ireland</c:v>
                </c:pt>
                <c:pt idx="1">
                  <c:v>Sweden</c:v>
                </c:pt>
                <c:pt idx="2">
                  <c:v>Denmark</c:v>
                </c:pt>
                <c:pt idx="3">
                  <c:v>Netherlands</c:v>
                </c:pt>
                <c:pt idx="4">
                  <c:v>Belgium</c:v>
                </c:pt>
                <c:pt idx="5">
                  <c:v>Lithuania</c:v>
                </c:pt>
                <c:pt idx="6">
                  <c:v>Slovenia</c:v>
                </c:pt>
                <c:pt idx="7">
                  <c:v>Finland</c:v>
                </c:pt>
                <c:pt idx="8">
                  <c:v>Germany</c:v>
                </c:pt>
                <c:pt idx="9">
                  <c:v>United Kingdom</c:v>
                </c:pt>
                <c:pt idx="10">
                  <c:v>Czech Republic</c:v>
                </c:pt>
                <c:pt idx="11">
                  <c:v>Malta</c:v>
                </c:pt>
                <c:pt idx="12">
                  <c:v>Austria</c:v>
                </c:pt>
                <c:pt idx="13">
                  <c:v>Spain</c:v>
                </c:pt>
                <c:pt idx="14">
                  <c:v>EU28</c:v>
                </c:pt>
                <c:pt idx="15">
                  <c:v>Estonia</c:v>
                </c:pt>
                <c:pt idx="16">
                  <c:v>France</c:v>
                </c:pt>
                <c:pt idx="17">
                  <c:v>Croatia</c:v>
                </c:pt>
                <c:pt idx="18">
                  <c:v>Slovakia</c:v>
                </c:pt>
                <c:pt idx="19">
                  <c:v>Hungary</c:v>
                </c:pt>
                <c:pt idx="20">
                  <c:v>Portugal</c:v>
                </c:pt>
                <c:pt idx="21">
                  <c:v>Greece</c:v>
                </c:pt>
                <c:pt idx="22">
                  <c:v>Cyprus</c:v>
                </c:pt>
                <c:pt idx="23">
                  <c:v>Luxembourg </c:v>
                </c:pt>
                <c:pt idx="24">
                  <c:v>Italy</c:v>
                </c:pt>
                <c:pt idx="25">
                  <c:v>Latvia</c:v>
                </c:pt>
                <c:pt idx="26">
                  <c:v>Poland</c:v>
                </c:pt>
                <c:pt idx="27">
                  <c:v>Bulgaria</c:v>
                </c:pt>
                <c:pt idx="28">
                  <c:v>Romania</c:v>
                </c:pt>
              </c:strCache>
            </c:strRef>
          </c:cat>
          <c:val>
            <c:numRef>
              <c:f>D_ENG!$M$214:$M$242</c:f>
              <c:numCache>
                <c:formatCode>0%</c:formatCode>
                <c:ptCount val="29"/>
                <c:pt idx="0">
                  <c:v>8.5776000000000005E-2</c:v>
                </c:pt>
                <c:pt idx="1">
                  <c:v>4.2022999999999998E-2</c:v>
                </c:pt>
                <c:pt idx="2">
                  <c:v>3.8413999999999997E-2</c:v>
                </c:pt>
                <c:pt idx="3">
                  <c:v>6.1547999999999999E-2</c:v>
                </c:pt>
                <c:pt idx="4">
                  <c:v>7.8583E-2</c:v>
                </c:pt>
                <c:pt idx="5">
                  <c:v>7.5440999999999994E-2</c:v>
                </c:pt>
                <c:pt idx="6">
                  <c:v>8.9744000000000004E-2</c:v>
                </c:pt>
                <c:pt idx="7">
                  <c:v>2.8778000000000001E-2</c:v>
                </c:pt>
                <c:pt idx="8">
                  <c:v>0.104673</c:v>
                </c:pt>
                <c:pt idx="10">
                  <c:v>2.7616999999999999E-2</c:v>
                </c:pt>
                <c:pt idx="11">
                  <c:v>4.5443999999999998E-2</c:v>
                </c:pt>
                <c:pt idx="12">
                  <c:v>8.0338999999999994E-2</c:v>
                </c:pt>
                <c:pt idx="13">
                  <c:v>5.0140999999999998E-2</c:v>
                </c:pt>
                <c:pt idx="14">
                  <c:v>6.2512999999999999E-2</c:v>
                </c:pt>
                <c:pt idx="15">
                  <c:v>3.7074000000000003E-2</c:v>
                </c:pt>
                <c:pt idx="16">
                  <c:v>5.6326000000000001E-2</c:v>
                </c:pt>
                <c:pt idx="17">
                  <c:v>1.9255000000000001E-2</c:v>
                </c:pt>
                <c:pt idx="18">
                  <c:v>4.9909000000000002E-2</c:v>
                </c:pt>
                <c:pt idx="19">
                  <c:v>3.6025000000000001E-2</c:v>
                </c:pt>
                <c:pt idx="20">
                  <c:v>4.7666E-2</c:v>
                </c:pt>
                <c:pt idx="21">
                  <c:v>4.2201000000000002E-2</c:v>
                </c:pt>
                <c:pt idx="22">
                  <c:v>5.2789000000000003E-2</c:v>
                </c:pt>
                <c:pt idx="23">
                  <c:v>3.3389000000000002E-2</c:v>
                </c:pt>
                <c:pt idx="24">
                  <c:v>5.3213000000000003E-2</c:v>
                </c:pt>
                <c:pt idx="25">
                  <c:v>2.5766000000000001E-2</c:v>
                </c:pt>
                <c:pt idx="26">
                  <c:v>4.4090999999999998E-2</c:v>
                </c:pt>
                <c:pt idx="27">
                  <c:v>2.3857E-2</c:v>
                </c:pt>
                <c:pt idx="28">
                  <c:v>1.5396E-2</c:v>
                </c:pt>
              </c:numCache>
            </c:numRef>
          </c:val>
          <c:extLst>
            <c:ext xmlns:c16="http://schemas.microsoft.com/office/drawing/2014/chart" uri="{C3380CC4-5D6E-409C-BE32-E72D297353CC}">
              <c16:uniqueId val="{00000015-1929-46B7-8717-FFBC70B83C33}"/>
            </c:ext>
          </c:extLst>
        </c:ser>
        <c:dLbls>
          <c:showLegendKey val="0"/>
          <c:showVal val="0"/>
          <c:showCatName val="0"/>
          <c:showSerName val="0"/>
          <c:showPercent val="0"/>
          <c:showBubbleSize val="0"/>
        </c:dLbls>
        <c:gapWidth val="200"/>
        <c:axId val="184220160"/>
        <c:axId val="177603136"/>
      </c:barChart>
      <c:catAx>
        <c:axId val="183318528"/>
        <c:scaling>
          <c:orientation val="minMax"/>
        </c:scaling>
        <c:delete val="0"/>
        <c:axPos val="b"/>
        <c:numFmt formatCode="General" sourceLinked="0"/>
        <c:majorTickMark val="out"/>
        <c:minorTickMark val="none"/>
        <c:tickLblPos val="nextTo"/>
        <c:spPr>
          <a:ln w="3175">
            <a:solidFill>
              <a:schemeClr val="tx1"/>
            </a:solidFill>
          </a:ln>
        </c:spPr>
        <c:crossAx val="177602560"/>
        <c:crosses val="autoZero"/>
        <c:auto val="1"/>
        <c:lblAlgn val="ctr"/>
        <c:lblOffset val="100"/>
        <c:noMultiLvlLbl val="0"/>
      </c:catAx>
      <c:valAx>
        <c:axId val="177602560"/>
        <c:scaling>
          <c:orientation val="minMax"/>
          <c:max val="0.3"/>
          <c:min val="0"/>
        </c:scaling>
        <c:delete val="1"/>
        <c:axPos val="l"/>
        <c:numFmt formatCode="0%" sourceLinked="1"/>
        <c:majorTickMark val="out"/>
        <c:minorTickMark val="none"/>
        <c:tickLblPos val="nextTo"/>
        <c:crossAx val="183318528"/>
        <c:crosses val="autoZero"/>
        <c:crossBetween val="between"/>
        <c:majorUnit val="0.1"/>
        <c:minorUnit val="0.05"/>
      </c:valAx>
      <c:valAx>
        <c:axId val="177603136"/>
        <c:scaling>
          <c:orientation val="minMax"/>
          <c:max val="0.3"/>
        </c:scaling>
        <c:delete val="0"/>
        <c:axPos val="r"/>
        <c:numFmt formatCode="0%" sourceLinked="1"/>
        <c:majorTickMark val="none"/>
        <c:minorTickMark val="none"/>
        <c:tickLblPos val="none"/>
        <c:crossAx val="184220160"/>
        <c:crosses val="max"/>
        <c:crossBetween val="between"/>
        <c:majorUnit val="0.1"/>
      </c:valAx>
      <c:catAx>
        <c:axId val="184220160"/>
        <c:scaling>
          <c:orientation val="minMax"/>
        </c:scaling>
        <c:delete val="1"/>
        <c:axPos val="b"/>
        <c:numFmt formatCode="General" sourceLinked="0"/>
        <c:majorTickMark val="out"/>
        <c:minorTickMark val="none"/>
        <c:tickLblPos val="none"/>
        <c:crossAx val="17760313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444281695800683"/>
          <c:y val="0.13598330682544199"/>
          <c:w val="0.50661727278815905"/>
          <c:h val="8.821212723712199E-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2776465750532101"/>
          <c:w val="0.96018410198725102"/>
          <c:h val="0.634257803166277"/>
        </c:manualLayout>
      </c:layout>
      <c:barChart>
        <c:barDir val="col"/>
        <c:grouping val="clustered"/>
        <c:varyColors val="0"/>
        <c:ser>
          <c:idx val="0"/>
          <c:order val="0"/>
          <c:tx>
            <c:strRef>
              <c:f>D_ENG!$H$244</c:f>
              <c:strCache>
                <c:ptCount val="1"/>
                <c:pt idx="0">
                  <c:v> 2013</c:v>
                </c:pt>
              </c:strCache>
            </c:strRef>
          </c:tx>
          <c:spPr>
            <a:solidFill>
              <a:srgbClr val="ABF3FF"/>
            </a:solidFill>
          </c:spPr>
          <c:invertIfNegative val="0"/>
          <c:dLbls>
            <c:dLbl>
              <c:idx val="0"/>
              <c:layout>
                <c:manualLayout>
                  <c:x val="0"/>
                  <c:y val="9.9262609816680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73-480E-B4C1-BF5BA3042401}"/>
                </c:ext>
              </c:extLst>
            </c:dLbl>
            <c:dLbl>
              <c:idx val="1"/>
              <c:layout>
                <c:manualLayout>
                  <c:x val="0"/>
                  <c:y val="8.86916834760511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73-480E-B4C1-BF5BA3042401}"/>
                </c:ext>
              </c:extLst>
            </c:dLbl>
            <c:numFmt formatCode="0%" sourceLinked="0"/>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D_ENG!$G$245:$G$248</c:f>
              <c:strCache>
                <c:ptCount val="4"/>
                <c:pt idx="0">
                  <c:v>Total</c:v>
                </c:pt>
                <c:pt idx="1">
                  <c:v>Small</c:v>
                </c:pt>
                <c:pt idx="2">
                  <c:v>Medium</c:v>
                </c:pt>
                <c:pt idx="3">
                  <c:v>Large</c:v>
                </c:pt>
              </c:strCache>
            </c:strRef>
          </c:cat>
          <c:val>
            <c:numRef>
              <c:f>D_ENG!$H$245:$H$248</c:f>
              <c:numCache>
                <c:formatCode>0%</c:formatCode>
                <c:ptCount val="4"/>
                <c:pt idx="0">
                  <c:v>0.17</c:v>
                </c:pt>
                <c:pt idx="1">
                  <c:v>0.15</c:v>
                </c:pt>
                <c:pt idx="2">
                  <c:v>0.23</c:v>
                </c:pt>
                <c:pt idx="3">
                  <c:v>0.27</c:v>
                </c:pt>
              </c:numCache>
            </c:numRef>
          </c:val>
          <c:extLst>
            <c:ext xmlns:c16="http://schemas.microsoft.com/office/drawing/2014/chart" uri="{C3380CC4-5D6E-409C-BE32-E72D297353CC}">
              <c16:uniqueId val="{00000002-DE73-480E-B4C1-BF5BA3042401}"/>
            </c:ext>
          </c:extLst>
        </c:ser>
        <c:ser>
          <c:idx val="1"/>
          <c:order val="1"/>
          <c:tx>
            <c:strRef>
              <c:f>D_ENG!$I$244</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D_ENG!$G$245:$G$248</c:f>
              <c:strCache>
                <c:ptCount val="4"/>
                <c:pt idx="0">
                  <c:v>Total</c:v>
                </c:pt>
                <c:pt idx="1">
                  <c:v>Small</c:v>
                </c:pt>
                <c:pt idx="2">
                  <c:v>Medium</c:v>
                </c:pt>
                <c:pt idx="3">
                  <c:v>Large</c:v>
                </c:pt>
              </c:strCache>
            </c:strRef>
          </c:cat>
          <c:val>
            <c:numRef>
              <c:f>D_ENG!$I$245:$I$248</c:f>
              <c:numCache>
                <c:formatCode>0%</c:formatCode>
                <c:ptCount val="4"/>
                <c:pt idx="0">
                  <c:v>0.25</c:v>
                </c:pt>
                <c:pt idx="1">
                  <c:v>0.23</c:v>
                </c:pt>
                <c:pt idx="2">
                  <c:v>0.28999999999999998</c:v>
                </c:pt>
                <c:pt idx="3">
                  <c:v>0.42</c:v>
                </c:pt>
              </c:numCache>
            </c:numRef>
          </c:val>
          <c:extLst>
            <c:ext xmlns:c16="http://schemas.microsoft.com/office/drawing/2014/chart" uri="{C3380CC4-5D6E-409C-BE32-E72D297353CC}">
              <c16:uniqueId val="{00000003-DE73-480E-B4C1-BF5BA3042401}"/>
            </c:ext>
          </c:extLst>
        </c:ser>
        <c:ser>
          <c:idx val="2"/>
          <c:order val="2"/>
          <c:tx>
            <c:strRef>
              <c:f>D_ENG!$J$244</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D_ENG!$G$245:$G$248</c:f>
              <c:strCache>
                <c:ptCount val="4"/>
                <c:pt idx="0">
                  <c:v>Total</c:v>
                </c:pt>
                <c:pt idx="1">
                  <c:v>Small</c:v>
                </c:pt>
                <c:pt idx="2">
                  <c:v>Medium</c:v>
                </c:pt>
                <c:pt idx="3">
                  <c:v>Large</c:v>
                </c:pt>
              </c:strCache>
            </c:strRef>
          </c:cat>
          <c:val>
            <c:numRef>
              <c:f>D_ENG!$J$245:$J$248</c:f>
              <c:numCache>
                <c:formatCode>0%</c:formatCode>
                <c:ptCount val="4"/>
                <c:pt idx="0">
                  <c:v>0.37</c:v>
                </c:pt>
                <c:pt idx="1">
                  <c:v>0.33</c:v>
                </c:pt>
                <c:pt idx="2">
                  <c:v>0.47</c:v>
                </c:pt>
                <c:pt idx="3">
                  <c:v>0.66</c:v>
                </c:pt>
              </c:numCache>
            </c:numRef>
          </c:val>
          <c:extLst>
            <c:ext xmlns:c16="http://schemas.microsoft.com/office/drawing/2014/chart" uri="{C3380CC4-5D6E-409C-BE32-E72D297353CC}">
              <c16:uniqueId val="{00000004-DE73-480E-B4C1-BF5BA3042401}"/>
            </c:ext>
          </c:extLst>
        </c:ser>
        <c:dLbls>
          <c:showLegendKey val="0"/>
          <c:showVal val="1"/>
          <c:showCatName val="0"/>
          <c:showSerName val="0"/>
          <c:showPercent val="0"/>
          <c:showBubbleSize val="0"/>
        </c:dLbls>
        <c:gapWidth val="50"/>
        <c:overlap val="1"/>
        <c:axId val="184218112"/>
        <c:axId val="177605440"/>
      </c:barChart>
      <c:catAx>
        <c:axId val="184218112"/>
        <c:scaling>
          <c:orientation val="minMax"/>
        </c:scaling>
        <c:delete val="0"/>
        <c:axPos val="b"/>
        <c:numFmt formatCode="General" sourceLinked="1"/>
        <c:majorTickMark val="out"/>
        <c:minorTickMark val="none"/>
        <c:tickLblPos val="nextTo"/>
        <c:spPr>
          <a:ln w="3175">
            <a:solidFill>
              <a:schemeClr val="tx1"/>
            </a:solidFill>
          </a:ln>
        </c:spPr>
        <c:crossAx val="177605440"/>
        <c:crosses val="autoZero"/>
        <c:auto val="1"/>
        <c:lblAlgn val="ctr"/>
        <c:lblOffset val="100"/>
        <c:noMultiLvlLbl val="0"/>
      </c:catAx>
      <c:valAx>
        <c:axId val="177605440"/>
        <c:scaling>
          <c:orientation val="minMax"/>
          <c:max val="1.2"/>
          <c:min val="0"/>
        </c:scaling>
        <c:delete val="0"/>
        <c:axPos val="l"/>
        <c:numFmt formatCode="0%" sourceLinked="1"/>
        <c:majorTickMark val="none"/>
        <c:minorTickMark val="none"/>
        <c:tickLblPos val="none"/>
        <c:crossAx val="184218112"/>
        <c:crosses val="autoZero"/>
        <c:crossBetween val="between"/>
      </c:valAx>
      <c:spPr>
        <a:ln w="12700">
          <a:solidFill>
            <a:srgbClr val="A6A6A6"/>
          </a:solidFill>
        </a:ln>
      </c:spPr>
    </c:plotArea>
    <c:legend>
      <c:legendPos val="t"/>
      <c:layout>
        <c:manualLayout>
          <c:xMode val="edge"/>
          <c:yMode val="edge"/>
          <c:x val="0.13011181821450399"/>
          <c:y val="0.17222503295685301"/>
          <c:w val="0.72017977204904204"/>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24774557819448"/>
          <c:w val="0.95749937079782799"/>
          <c:h val="0.50789764681476701"/>
        </c:manualLayout>
      </c:layout>
      <c:barChart>
        <c:barDir val="col"/>
        <c:grouping val="clustered"/>
        <c:varyColors val="0"/>
        <c:ser>
          <c:idx val="0"/>
          <c:order val="0"/>
          <c:tx>
            <c:strRef>
              <c:f>D_ENG!$G$259</c:f>
              <c:strCache>
                <c:ptCount val="1"/>
                <c:pt idx="0">
                  <c:v> 2015</c:v>
                </c:pt>
              </c:strCache>
            </c:strRef>
          </c:tx>
          <c:spPr>
            <a:solidFill>
              <a:srgbClr val="ABF3FF"/>
            </a:solidFill>
          </c:spPr>
          <c:invertIfNegative val="0"/>
          <c:dLbls>
            <c:dLbl>
              <c:idx val="1"/>
              <c:layout>
                <c:manualLayout>
                  <c:x val="-4.0204213920063199E-17"/>
                  <c:y val="2.749140893470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12-4238-AF9E-C83A2B46C5C4}"/>
                </c:ext>
              </c:extLst>
            </c:dLbl>
            <c:dLbl>
              <c:idx val="2"/>
              <c:layout>
                <c:manualLayout>
                  <c:x val="-8.0408427840126694E-17"/>
                  <c:y val="4.5819014891179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12-4238-AF9E-C83A2B46C5C4}"/>
                </c:ext>
              </c:extLst>
            </c:dLbl>
            <c:dLbl>
              <c:idx val="3"/>
              <c:layout>
                <c:manualLayout>
                  <c:x val="0"/>
                  <c:y val="0.1237113402061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12-4238-AF9E-C83A2B46C5C4}"/>
                </c:ext>
              </c:extLst>
            </c:dLbl>
            <c:numFmt formatCode="0%" sourceLinked="0"/>
            <c:spPr>
              <a:noFill/>
              <a:ln>
                <a:noFill/>
              </a:ln>
              <a:effectLst/>
            </c:spPr>
            <c:txPr>
              <a:bodyPr rot="-5400000" vert="horz"/>
              <a:lstStyle/>
              <a:p>
                <a:pPr>
                  <a:defRPr sz="800" b="1"/>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D_ENG!$H$258:$K$258</c:f>
              <c:strCache>
                <c:ptCount val="4"/>
                <c:pt idx="0">
                  <c:v> Wiki based knowledge sharing tools</c:v>
                </c:pt>
                <c:pt idx="1">
                  <c:v> Enterprise's blogs
(e.g. Twitter)</c:v>
                </c:pt>
                <c:pt idx="2">
                  <c:v> Multimedia content sharing websites 
(e.g. YouTube)</c:v>
                </c:pt>
                <c:pt idx="3">
                  <c:v>Social networks
(e.g. Facebook, LinkedIn)</c:v>
                </c:pt>
              </c:strCache>
            </c:strRef>
          </c:cat>
          <c:val>
            <c:numRef>
              <c:f>D_ENG!$H$259:$K$259</c:f>
              <c:numCache>
                <c:formatCode>0%</c:formatCode>
                <c:ptCount val="4"/>
                <c:pt idx="0">
                  <c:v>0.03</c:v>
                </c:pt>
                <c:pt idx="1">
                  <c:v>4.5999999999999999E-2</c:v>
                </c:pt>
                <c:pt idx="2">
                  <c:v>9.2999999999999999E-2</c:v>
                </c:pt>
                <c:pt idx="3">
                  <c:v>0.23499999999999999</c:v>
                </c:pt>
              </c:numCache>
            </c:numRef>
          </c:val>
          <c:extLst>
            <c:ext xmlns:c16="http://schemas.microsoft.com/office/drawing/2014/chart" uri="{C3380CC4-5D6E-409C-BE32-E72D297353CC}">
              <c16:uniqueId val="{00000003-6712-4238-AF9E-C83A2B46C5C4}"/>
            </c:ext>
          </c:extLst>
        </c:ser>
        <c:ser>
          <c:idx val="1"/>
          <c:order val="1"/>
          <c:tx>
            <c:strRef>
              <c:f>D_ENG!$G$260</c:f>
              <c:strCache>
                <c:ptCount val="1"/>
                <c:pt idx="0">
                  <c:v> 2016</c:v>
                </c:pt>
              </c:strCache>
            </c:strRef>
          </c:tx>
          <c:spPr>
            <a:solidFill>
              <a:srgbClr val="47E5FF"/>
            </a:solidFill>
          </c:spPr>
          <c:invertIfNegative val="0"/>
          <c:dLbls>
            <c:dLbl>
              <c:idx val="1"/>
              <c:layout>
                <c:manualLayout>
                  <c:x val="0"/>
                  <c:y val="2.7491408934707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12-4238-AF9E-C83A2B46C5C4}"/>
                </c:ext>
              </c:extLst>
            </c:dLbl>
            <c:dLbl>
              <c:idx val="2"/>
              <c:layout>
                <c:manualLayout>
                  <c:x val="0"/>
                  <c:y val="7.3310423825887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12-4238-AF9E-C83A2B46C5C4}"/>
                </c:ext>
              </c:extLst>
            </c:dLbl>
            <c:dLbl>
              <c:idx val="3"/>
              <c:layout>
                <c:manualLayout>
                  <c:x val="0"/>
                  <c:y val="0.128293241695303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12-4238-AF9E-C83A2B46C5C4}"/>
                </c:ext>
              </c:extLst>
            </c:dLbl>
            <c:numFmt formatCode="0%" sourceLinked="0"/>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D_ENG!$H$258:$K$258</c:f>
              <c:strCache>
                <c:ptCount val="4"/>
                <c:pt idx="0">
                  <c:v> Wiki based knowledge sharing tools</c:v>
                </c:pt>
                <c:pt idx="1">
                  <c:v> Enterprise's blogs
(e.g. Twitter)</c:v>
                </c:pt>
                <c:pt idx="2">
                  <c:v> Multimedia content sharing websites 
(e.g. YouTube)</c:v>
                </c:pt>
                <c:pt idx="3">
                  <c:v>Social networks
(e.g. Facebook, LinkedIn)</c:v>
                </c:pt>
              </c:strCache>
            </c:strRef>
          </c:cat>
          <c:val>
            <c:numRef>
              <c:f>D_ENG!$H$260:$K$260</c:f>
              <c:numCache>
                <c:formatCode>0%</c:formatCode>
                <c:ptCount val="4"/>
                <c:pt idx="0">
                  <c:v>4.5999999999999999E-2</c:v>
                </c:pt>
                <c:pt idx="1">
                  <c:v>5.6000000000000001E-2</c:v>
                </c:pt>
                <c:pt idx="2">
                  <c:v>0.115</c:v>
                </c:pt>
                <c:pt idx="3">
                  <c:v>0.30299999999999999</c:v>
                </c:pt>
              </c:numCache>
            </c:numRef>
          </c:val>
          <c:extLst>
            <c:ext xmlns:c16="http://schemas.microsoft.com/office/drawing/2014/chart" uri="{C3380CC4-5D6E-409C-BE32-E72D297353CC}">
              <c16:uniqueId val="{00000007-6712-4238-AF9E-C83A2B46C5C4}"/>
            </c:ext>
          </c:extLst>
        </c:ser>
        <c:ser>
          <c:idx val="2"/>
          <c:order val="2"/>
          <c:tx>
            <c:strRef>
              <c:f>D_ENG!$G$261</c:f>
              <c:strCache>
                <c:ptCount val="1"/>
                <c:pt idx="0">
                  <c:v> 2017</c:v>
                </c:pt>
              </c:strCache>
            </c:strRef>
          </c:tx>
          <c:spPr>
            <a:solidFill>
              <a:srgbClr val="009BB4"/>
            </a:solidFill>
          </c:spPr>
          <c:invertIfNegative val="0"/>
          <c:dLbls>
            <c:dLbl>
              <c:idx val="1"/>
              <c:layout>
                <c:manualLayout>
                  <c:x val="4.38596491228062E-3"/>
                  <c:y val="4.5819014891179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12-4238-AF9E-C83A2B46C5C4}"/>
                </c:ext>
              </c:extLst>
            </c:dLbl>
            <c:dLbl>
              <c:idx val="2"/>
              <c:layout>
                <c:manualLayout>
                  <c:x val="-8.0408427840126694E-17"/>
                  <c:y val="7.789232531500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12-4238-AF9E-C83A2B46C5C4}"/>
                </c:ext>
              </c:extLst>
            </c:dLbl>
            <c:dLbl>
              <c:idx val="3"/>
              <c:layout>
                <c:manualLayout>
                  <c:x val="4.3859649122805402E-3"/>
                  <c:y val="0.1237113402061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12-4238-AF9E-C83A2B46C5C4}"/>
                </c:ext>
              </c:extLst>
            </c:dLbl>
            <c:numFmt formatCode="0%" sourceLinked="0"/>
            <c:spPr>
              <a:noFill/>
              <a:ln>
                <a:noFill/>
              </a:ln>
              <a:effectLst/>
            </c:spPr>
            <c:txPr>
              <a:bodyPr rot="-5400000" vert="horz"/>
              <a:lstStyle/>
              <a:p>
                <a:pPr>
                  <a:defRPr sz="800" b="1">
                    <a:solidFill>
                      <a:schemeClr val="tx1"/>
                    </a:solidFill>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D_ENG!$H$258:$K$258</c:f>
              <c:strCache>
                <c:ptCount val="4"/>
                <c:pt idx="0">
                  <c:v> Wiki based knowledge sharing tools</c:v>
                </c:pt>
                <c:pt idx="1">
                  <c:v> Enterprise's blogs
(e.g. Twitter)</c:v>
                </c:pt>
                <c:pt idx="2">
                  <c:v> Multimedia content sharing websites 
(e.g. YouTube)</c:v>
                </c:pt>
                <c:pt idx="3">
                  <c:v>Social networks
(e.g. Facebook, LinkedIn)</c:v>
                </c:pt>
              </c:strCache>
            </c:strRef>
          </c:cat>
          <c:val>
            <c:numRef>
              <c:f>D_ENG!$H$261:$K$261</c:f>
              <c:numCache>
                <c:formatCode>0%</c:formatCode>
                <c:ptCount val="4"/>
                <c:pt idx="0">
                  <c:v>4.2000000000000003E-2</c:v>
                </c:pt>
                <c:pt idx="1">
                  <c:v>6.7000000000000004E-2</c:v>
                </c:pt>
                <c:pt idx="2">
                  <c:v>0.115</c:v>
                </c:pt>
                <c:pt idx="3">
                  <c:v>0.34100000000000003</c:v>
                </c:pt>
              </c:numCache>
            </c:numRef>
          </c:val>
          <c:extLst>
            <c:ext xmlns:c16="http://schemas.microsoft.com/office/drawing/2014/chart" uri="{C3380CC4-5D6E-409C-BE32-E72D297353CC}">
              <c16:uniqueId val="{0000000B-6712-4238-AF9E-C83A2B46C5C4}"/>
            </c:ext>
          </c:extLst>
        </c:ser>
        <c:dLbls>
          <c:showLegendKey val="0"/>
          <c:showVal val="1"/>
          <c:showCatName val="0"/>
          <c:showSerName val="0"/>
          <c:showPercent val="0"/>
          <c:showBubbleSize val="0"/>
        </c:dLbls>
        <c:gapWidth val="50"/>
        <c:overlap val="1"/>
        <c:axId val="184389120"/>
        <c:axId val="177606592"/>
      </c:barChart>
      <c:catAx>
        <c:axId val="184389120"/>
        <c:scaling>
          <c:orientation val="minMax"/>
        </c:scaling>
        <c:delete val="0"/>
        <c:axPos val="b"/>
        <c:numFmt formatCode="General" sourceLinked="1"/>
        <c:majorTickMark val="out"/>
        <c:minorTickMark val="none"/>
        <c:tickLblPos val="nextTo"/>
        <c:spPr>
          <a:ln w="3175">
            <a:solidFill>
              <a:schemeClr val="tx1"/>
            </a:solidFill>
          </a:ln>
        </c:spPr>
        <c:txPr>
          <a:bodyPr/>
          <a:lstStyle/>
          <a:p>
            <a:pPr>
              <a:defRPr sz="800"/>
            </a:pPr>
            <a:endParaRPr lang="cs-CZ"/>
          </a:p>
        </c:txPr>
        <c:crossAx val="177606592"/>
        <c:crosses val="autoZero"/>
        <c:auto val="1"/>
        <c:lblAlgn val="ctr"/>
        <c:lblOffset val="100"/>
        <c:noMultiLvlLbl val="0"/>
      </c:catAx>
      <c:valAx>
        <c:axId val="177606592"/>
        <c:scaling>
          <c:orientation val="minMax"/>
          <c:max val="0.8"/>
          <c:min val="0"/>
        </c:scaling>
        <c:delete val="0"/>
        <c:axPos val="l"/>
        <c:numFmt formatCode="0%" sourceLinked="1"/>
        <c:majorTickMark val="none"/>
        <c:minorTickMark val="none"/>
        <c:tickLblPos val="none"/>
        <c:crossAx val="184389120"/>
        <c:crosses val="autoZero"/>
        <c:crossBetween val="between"/>
      </c:valAx>
      <c:spPr>
        <a:ln w="12700">
          <a:solidFill>
            <a:srgbClr val="A6A6A6"/>
          </a:solidFill>
        </a:ln>
      </c:spPr>
    </c:plotArea>
    <c:legend>
      <c:legendPos val="t"/>
      <c:layout>
        <c:manualLayout>
          <c:xMode val="edge"/>
          <c:yMode val="edge"/>
          <c:x val="0.27586994059953002"/>
          <c:y val="0.149087498083358"/>
          <c:w val="0.44315582262743503"/>
          <c:h val="6.8021033453292606E-2"/>
        </c:manualLayout>
      </c:layout>
      <c:overlay val="0"/>
      <c:spPr>
        <a:ln>
          <a:solidFill>
            <a:schemeClr val="bg1">
              <a:lumMod val="50000"/>
            </a:schemeClr>
          </a:solidFill>
        </a:ln>
      </c:spPr>
      <c:txPr>
        <a:bodyPr/>
        <a:lstStyle/>
        <a:p>
          <a:pPr>
            <a:defRPr sz="800"/>
          </a:pPr>
          <a:endParaRPr lang="cs-CZ"/>
        </a:p>
      </c:txPr>
    </c:legend>
    <c:plotVisOnly val="1"/>
    <c:dispBlanksAs val="gap"/>
    <c:showDLblsOverMax val="0"/>
  </c:chart>
  <c:spPr>
    <a:ln>
      <a:noFill/>
    </a:ln>
  </c:spPr>
  <c:txPr>
    <a:bodyPr/>
    <a:lstStyle/>
    <a:p>
      <a:pPr>
        <a:defRPr sz="6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4187907507036701"/>
          <c:w val="0.96494603737260098"/>
          <c:h val="0.61498699540385504"/>
        </c:manualLayout>
      </c:layout>
      <c:barChart>
        <c:barDir val="col"/>
        <c:grouping val="clustered"/>
        <c:varyColors val="0"/>
        <c:ser>
          <c:idx val="0"/>
          <c:order val="0"/>
          <c:tx>
            <c:strRef>
              <c:f>D_ENG!$H$278</c:f>
              <c:strCache>
                <c:ptCount val="1"/>
                <c:pt idx="0">
                  <c:v> 2013</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D_ENG!$G$279:$G$282</c:f>
              <c:strCache>
                <c:ptCount val="4"/>
                <c:pt idx="0">
                  <c:v>Total</c:v>
                </c:pt>
                <c:pt idx="1">
                  <c:v>Small</c:v>
                </c:pt>
                <c:pt idx="2">
                  <c:v>Medium</c:v>
                </c:pt>
                <c:pt idx="3">
                  <c:v>Large</c:v>
                </c:pt>
              </c:strCache>
            </c:strRef>
          </c:cat>
          <c:val>
            <c:numRef>
              <c:f>D_ENG!$H$279:$H$282</c:f>
              <c:numCache>
                <c:formatCode>0%</c:formatCode>
                <c:ptCount val="4"/>
                <c:pt idx="0">
                  <c:v>0.15</c:v>
                </c:pt>
                <c:pt idx="1">
                  <c:v>0.14000000000000001</c:v>
                </c:pt>
                <c:pt idx="2">
                  <c:v>0.2</c:v>
                </c:pt>
                <c:pt idx="3">
                  <c:v>0.25</c:v>
                </c:pt>
              </c:numCache>
            </c:numRef>
          </c:val>
          <c:extLst>
            <c:ext xmlns:c16="http://schemas.microsoft.com/office/drawing/2014/chart" uri="{C3380CC4-5D6E-409C-BE32-E72D297353CC}">
              <c16:uniqueId val="{00000000-1206-4269-B38B-765EFB194CF7}"/>
            </c:ext>
          </c:extLst>
        </c:ser>
        <c:ser>
          <c:idx val="1"/>
          <c:order val="1"/>
          <c:tx>
            <c:strRef>
              <c:f>D_ENG!$I$278</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D_ENG!$G$279:$G$282</c:f>
              <c:strCache>
                <c:ptCount val="4"/>
                <c:pt idx="0">
                  <c:v>Total</c:v>
                </c:pt>
                <c:pt idx="1">
                  <c:v>Small</c:v>
                </c:pt>
                <c:pt idx="2">
                  <c:v>Medium</c:v>
                </c:pt>
                <c:pt idx="3">
                  <c:v>Large</c:v>
                </c:pt>
              </c:strCache>
            </c:strRef>
          </c:cat>
          <c:val>
            <c:numRef>
              <c:f>D_ENG!$I$279:$I$282</c:f>
              <c:numCache>
                <c:formatCode>0%</c:formatCode>
                <c:ptCount val="4"/>
                <c:pt idx="0">
                  <c:v>0.24</c:v>
                </c:pt>
                <c:pt idx="1">
                  <c:v>0.22</c:v>
                </c:pt>
                <c:pt idx="2">
                  <c:v>0.28000000000000003</c:v>
                </c:pt>
                <c:pt idx="3">
                  <c:v>0.4</c:v>
                </c:pt>
              </c:numCache>
            </c:numRef>
          </c:val>
          <c:extLst>
            <c:ext xmlns:c16="http://schemas.microsoft.com/office/drawing/2014/chart" uri="{C3380CC4-5D6E-409C-BE32-E72D297353CC}">
              <c16:uniqueId val="{00000001-1206-4269-B38B-765EFB194CF7}"/>
            </c:ext>
          </c:extLst>
        </c:ser>
        <c:ser>
          <c:idx val="2"/>
          <c:order val="2"/>
          <c:tx>
            <c:strRef>
              <c:f>D_ENG!$J$278</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D_ENG!$G$279:$G$282</c:f>
              <c:strCache>
                <c:ptCount val="4"/>
                <c:pt idx="0">
                  <c:v>Total</c:v>
                </c:pt>
                <c:pt idx="1">
                  <c:v>Small</c:v>
                </c:pt>
                <c:pt idx="2">
                  <c:v>Medium</c:v>
                </c:pt>
                <c:pt idx="3">
                  <c:v>Large</c:v>
                </c:pt>
              </c:strCache>
            </c:strRef>
          </c:cat>
          <c:val>
            <c:numRef>
              <c:f>D_ENG!$J$279:$J$282</c:f>
              <c:numCache>
                <c:formatCode>0%</c:formatCode>
                <c:ptCount val="4"/>
                <c:pt idx="0">
                  <c:v>0.34</c:v>
                </c:pt>
                <c:pt idx="1">
                  <c:v>0.3</c:v>
                </c:pt>
                <c:pt idx="2">
                  <c:v>0.44</c:v>
                </c:pt>
                <c:pt idx="3">
                  <c:v>0.62</c:v>
                </c:pt>
              </c:numCache>
            </c:numRef>
          </c:val>
          <c:extLst>
            <c:ext xmlns:c16="http://schemas.microsoft.com/office/drawing/2014/chart" uri="{C3380CC4-5D6E-409C-BE32-E72D297353CC}">
              <c16:uniqueId val="{00000002-1206-4269-B38B-765EFB194CF7}"/>
            </c:ext>
          </c:extLst>
        </c:ser>
        <c:dLbls>
          <c:showLegendKey val="0"/>
          <c:showVal val="1"/>
          <c:showCatName val="0"/>
          <c:showSerName val="0"/>
          <c:showPercent val="0"/>
          <c:showBubbleSize val="0"/>
        </c:dLbls>
        <c:gapWidth val="50"/>
        <c:overlap val="1"/>
        <c:axId val="184744448"/>
        <c:axId val="177608320"/>
      </c:barChart>
      <c:catAx>
        <c:axId val="184744448"/>
        <c:scaling>
          <c:orientation val="minMax"/>
        </c:scaling>
        <c:delete val="0"/>
        <c:axPos val="b"/>
        <c:numFmt formatCode="General" sourceLinked="1"/>
        <c:majorTickMark val="out"/>
        <c:minorTickMark val="none"/>
        <c:tickLblPos val="nextTo"/>
        <c:spPr>
          <a:ln w="3175">
            <a:solidFill>
              <a:schemeClr val="tx1"/>
            </a:solidFill>
          </a:ln>
        </c:spPr>
        <c:crossAx val="177608320"/>
        <c:crosses val="autoZero"/>
        <c:auto val="1"/>
        <c:lblAlgn val="ctr"/>
        <c:lblOffset val="100"/>
        <c:noMultiLvlLbl val="0"/>
      </c:catAx>
      <c:valAx>
        <c:axId val="177608320"/>
        <c:scaling>
          <c:orientation val="minMax"/>
          <c:max val="1.2"/>
          <c:min val="0"/>
        </c:scaling>
        <c:delete val="0"/>
        <c:axPos val="l"/>
        <c:numFmt formatCode="0%" sourceLinked="1"/>
        <c:majorTickMark val="none"/>
        <c:minorTickMark val="none"/>
        <c:tickLblPos val="none"/>
        <c:crossAx val="184744448"/>
        <c:crosses val="autoZero"/>
        <c:crossBetween val="between"/>
      </c:valAx>
      <c:spPr>
        <a:ln w="12700">
          <a:solidFill>
            <a:srgbClr val="A6A6A6"/>
          </a:solidFill>
        </a:ln>
      </c:spPr>
    </c:plotArea>
    <c:legend>
      <c:legendPos val="t"/>
      <c:layout>
        <c:manualLayout>
          <c:xMode val="edge"/>
          <c:yMode val="edge"/>
          <c:x val="0.13011181821450399"/>
          <c:y val="0.17222503295685301"/>
          <c:w val="0.72017977204904204"/>
          <c:h val="8.9566157171530006E-2"/>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Figure D19 Main reasons for using social networks by enterprises</a:t>
            </a:r>
            <a:r>
              <a:rPr lang="cs-CZ" sz="800" b="1" baseline="0">
                <a:effectLst/>
              </a:rPr>
              <a:t> in the Czech Republic; </a:t>
            </a:r>
            <a:r>
              <a:rPr lang="cs-CZ" sz="800" b="1">
                <a:effectLst/>
              </a:rPr>
              <a:t>2017 (%)*</a:t>
            </a:r>
            <a:endParaRPr lang="cs-CZ" sz="800">
              <a:effectLst/>
            </a:endParaRPr>
          </a:p>
        </c:rich>
      </c:tx>
      <c:layout>
        <c:manualLayout>
          <c:xMode val="edge"/>
          <c:yMode val="edge"/>
          <c:x val="0.106177777777778"/>
          <c:y val="1.02564102564103E-2"/>
        </c:manualLayout>
      </c:layout>
      <c:overlay val="0"/>
    </c:title>
    <c:autoTitleDeleted val="0"/>
    <c:plotArea>
      <c:layout>
        <c:manualLayout>
          <c:layoutTarget val="inner"/>
          <c:xMode val="edge"/>
          <c:yMode val="edge"/>
          <c:x val="0.46286517390940707"/>
          <c:y val="0.19499259259259299"/>
          <c:w val="0.51731331403197978"/>
          <c:h val="0.69961417137607274"/>
        </c:manualLayout>
      </c:layout>
      <c:barChart>
        <c:barDir val="bar"/>
        <c:grouping val="clustered"/>
        <c:varyColors val="0"/>
        <c:ser>
          <c:idx val="0"/>
          <c:order val="0"/>
          <c:tx>
            <c:strRef>
              <c:f>D_ENG!$H$302</c:f>
              <c:strCache>
                <c:ptCount val="1"/>
                <c:pt idx="0">
                  <c:v>2017</c:v>
                </c:pt>
              </c:strCache>
            </c:strRef>
          </c:tx>
          <c:spPr>
            <a:solidFill>
              <a:srgbClr val="009BB4"/>
            </a:solidFill>
            <a:ln w="25400">
              <a:noFill/>
            </a:ln>
          </c:spPr>
          <c:invertIfNegative val="0"/>
          <c:dLbls>
            <c:dLbl>
              <c:idx val="0"/>
              <c:layout>
                <c:manualLayout>
                  <c:x val="-0.10329382511396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2F-41E1-B8F8-BF39CF02E2FC}"/>
                </c:ext>
              </c:extLst>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D_ENG!$G$303:$G$308</c:f>
              <c:strCache>
                <c:ptCount val="6"/>
                <c:pt idx="0">
                  <c:v>Exchange opinions 
within the enterprise</c:v>
                </c:pt>
                <c:pt idx="1">
                  <c:v>Involve customers in innovation of products</c:v>
                </c:pt>
                <c:pt idx="2">
                  <c:v>Collaborate with 
business partners</c:v>
                </c:pt>
                <c:pt idx="3">
                  <c:v>Recruitment 
of employees</c:v>
                </c:pt>
                <c:pt idx="4">
                  <c:v>Obtain customer
opinions or questions</c:v>
                </c:pt>
                <c:pt idx="5">
                  <c:v>Develop the enterprise's 
image or launching products</c:v>
                </c:pt>
              </c:strCache>
            </c:strRef>
          </c:cat>
          <c:val>
            <c:numRef>
              <c:f>D_ENG!$H$303:$H$308</c:f>
              <c:numCache>
                <c:formatCode>0%</c:formatCode>
                <c:ptCount val="6"/>
                <c:pt idx="0">
                  <c:v>0.18</c:v>
                </c:pt>
                <c:pt idx="1">
                  <c:v>0.23</c:v>
                </c:pt>
                <c:pt idx="2">
                  <c:v>0.28000000000000003</c:v>
                </c:pt>
                <c:pt idx="3">
                  <c:v>0.56999999999999995</c:v>
                </c:pt>
                <c:pt idx="4">
                  <c:v>0.61</c:v>
                </c:pt>
                <c:pt idx="5">
                  <c:v>0.89</c:v>
                </c:pt>
              </c:numCache>
            </c:numRef>
          </c:val>
          <c:extLst>
            <c:ext xmlns:c16="http://schemas.microsoft.com/office/drawing/2014/chart" uri="{C3380CC4-5D6E-409C-BE32-E72D297353CC}">
              <c16:uniqueId val="{00000001-0C2F-41E1-B8F8-BF39CF02E2FC}"/>
            </c:ext>
          </c:extLst>
        </c:ser>
        <c:dLbls>
          <c:showLegendKey val="0"/>
          <c:showVal val="0"/>
          <c:showCatName val="0"/>
          <c:showSerName val="0"/>
          <c:showPercent val="0"/>
          <c:showBubbleSize val="0"/>
        </c:dLbls>
        <c:gapWidth val="70"/>
        <c:axId val="184493568"/>
        <c:axId val="177610048"/>
      </c:barChart>
      <c:catAx>
        <c:axId val="184493568"/>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177610048"/>
        <c:crosses val="autoZero"/>
        <c:auto val="1"/>
        <c:lblAlgn val="ctr"/>
        <c:lblOffset val="100"/>
        <c:noMultiLvlLbl val="0"/>
      </c:catAx>
      <c:valAx>
        <c:axId val="177610048"/>
        <c:scaling>
          <c:orientation val="minMax"/>
          <c:max val="1"/>
          <c:min val="0"/>
        </c:scaling>
        <c:delete val="0"/>
        <c:axPos val="b"/>
        <c:numFmt formatCode="0%" sourceLinked="1"/>
        <c:majorTickMark val="none"/>
        <c:minorTickMark val="none"/>
        <c:tickLblPos val="none"/>
        <c:spPr>
          <a:ln w="9525">
            <a:noFill/>
          </a:ln>
        </c:spPr>
        <c:crossAx val="184493568"/>
        <c:crosses val="autoZero"/>
        <c:crossBetween val="between"/>
        <c:majorUnit val="0.05"/>
        <c:minorUnit val="0.01"/>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D2</a:t>
            </a:r>
            <a:r>
              <a:rPr lang="cs-CZ" sz="800"/>
              <a:t>0</a:t>
            </a:r>
            <a:r>
              <a:rPr lang="en-US" sz="800"/>
              <a:t> Enterprises in EU countries using online social networks </a:t>
            </a:r>
            <a:endParaRPr lang="cs-CZ" sz="800"/>
          </a:p>
          <a:p>
            <a:pPr>
              <a:defRPr sz="800"/>
            </a:pPr>
            <a:r>
              <a:rPr lang="en-US" sz="800"/>
              <a:t>such as Facebook or LinkedIn</a:t>
            </a:r>
            <a:r>
              <a:rPr lang="cs-CZ" sz="800"/>
              <a:t> (%)*</a:t>
            </a:r>
            <a:endParaRPr lang="en-US" sz="800"/>
          </a:p>
        </c:rich>
      </c:tx>
      <c:layout>
        <c:manualLayout>
          <c:xMode val="edge"/>
          <c:yMode val="edge"/>
          <c:x val="0.22096085953018599"/>
          <c:y val="7.8395061728395096E-3"/>
        </c:manualLayout>
      </c:layout>
      <c:overlay val="0"/>
    </c:title>
    <c:autoTitleDeleted val="0"/>
    <c:plotArea>
      <c:layout>
        <c:manualLayout>
          <c:layoutTarget val="inner"/>
          <c:xMode val="edge"/>
          <c:yMode val="edge"/>
          <c:x val="6.5949831649831703E-2"/>
          <c:y val="0.10228368055555601"/>
          <c:w val="0.90411750841750804"/>
          <c:h val="0.56456849178306956"/>
        </c:manualLayout>
      </c:layout>
      <c:barChart>
        <c:barDir val="col"/>
        <c:grouping val="clustered"/>
        <c:varyColors val="0"/>
        <c:ser>
          <c:idx val="0"/>
          <c:order val="0"/>
          <c:tx>
            <c:strRef>
              <c:f>D_ENG!$L$315</c:f>
              <c:strCache>
                <c:ptCount val="1"/>
                <c:pt idx="0">
                  <c:v> 2017</c:v>
                </c:pt>
              </c:strCache>
            </c:strRef>
          </c:tx>
          <c:spPr>
            <a:solidFill>
              <a:srgbClr val="009BB4"/>
            </a:solidFill>
            <a:ln>
              <a:noFill/>
            </a:ln>
          </c:spPr>
          <c:invertIfNegative val="0"/>
          <c:dPt>
            <c:idx val="4"/>
            <c:invertIfNegative val="0"/>
            <c:bubble3D val="0"/>
            <c:spPr>
              <a:solidFill>
                <a:srgbClr val="009BB4"/>
              </a:solidFill>
              <a:ln w="19050">
                <a:noFill/>
              </a:ln>
            </c:spPr>
            <c:extLst>
              <c:ext xmlns:c16="http://schemas.microsoft.com/office/drawing/2014/chart" uri="{C3380CC4-5D6E-409C-BE32-E72D297353CC}">
                <c16:uniqueId val="{00000001-BEB7-457B-A98D-32F52056733A}"/>
              </c:ext>
            </c:extLst>
          </c:dPt>
          <c:dPt>
            <c:idx val="6"/>
            <c:invertIfNegative val="0"/>
            <c:bubble3D val="0"/>
            <c:spPr>
              <a:solidFill>
                <a:srgbClr val="009BB4"/>
              </a:solidFill>
              <a:ln w="19050">
                <a:noFill/>
              </a:ln>
            </c:spPr>
            <c:extLst>
              <c:ext xmlns:c16="http://schemas.microsoft.com/office/drawing/2014/chart" uri="{C3380CC4-5D6E-409C-BE32-E72D297353CC}">
                <c16:uniqueId val="{00000003-BEB7-457B-A98D-32F52056733A}"/>
              </c:ext>
            </c:extLst>
          </c:dPt>
          <c:dPt>
            <c:idx val="8"/>
            <c:invertIfNegative val="0"/>
            <c:bubble3D val="0"/>
            <c:spPr>
              <a:solidFill>
                <a:srgbClr val="009BB4"/>
              </a:solidFill>
              <a:ln w="19050">
                <a:noFill/>
              </a:ln>
            </c:spPr>
            <c:extLst>
              <c:ext xmlns:c16="http://schemas.microsoft.com/office/drawing/2014/chart" uri="{C3380CC4-5D6E-409C-BE32-E72D297353CC}">
                <c16:uniqueId val="{00000005-BEB7-457B-A98D-32F52056733A}"/>
              </c:ext>
            </c:extLst>
          </c:dPt>
          <c:dPt>
            <c:idx val="11"/>
            <c:invertIfNegative val="0"/>
            <c:bubble3D val="0"/>
            <c:spPr>
              <a:solidFill>
                <a:srgbClr val="009BB4"/>
              </a:solidFill>
              <a:ln w="19050">
                <a:noFill/>
              </a:ln>
            </c:spPr>
            <c:extLst>
              <c:ext xmlns:c16="http://schemas.microsoft.com/office/drawing/2014/chart" uri="{C3380CC4-5D6E-409C-BE32-E72D297353CC}">
                <c16:uniqueId val="{00000007-BEB7-457B-A98D-32F52056733A}"/>
              </c:ext>
            </c:extLst>
          </c:dPt>
          <c:dPt>
            <c:idx val="13"/>
            <c:invertIfNegative val="0"/>
            <c:bubble3D val="0"/>
            <c:spPr>
              <a:solidFill>
                <a:srgbClr val="009BB4"/>
              </a:solidFill>
              <a:ln w="19050">
                <a:noFill/>
              </a:ln>
            </c:spPr>
            <c:extLst>
              <c:ext xmlns:c16="http://schemas.microsoft.com/office/drawing/2014/chart" uri="{C3380CC4-5D6E-409C-BE32-E72D297353CC}">
                <c16:uniqueId val="{00000009-BEB7-457B-A98D-32F52056733A}"/>
              </c:ext>
            </c:extLst>
          </c:dPt>
          <c:dPt>
            <c:idx val="15"/>
            <c:invertIfNegative val="0"/>
            <c:bubble3D val="0"/>
            <c:spPr>
              <a:solidFill>
                <a:srgbClr val="009BB4"/>
              </a:solidFill>
              <a:ln w="9525">
                <a:solidFill>
                  <a:srgbClr val="FF0000"/>
                </a:solidFill>
              </a:ln>
            </c:spPr>
            <c:extLst>
              <c:ext xmlns:c16="http://schemas.microsoft.com/office/drawing/2014/chart" uri="{C3380CC4-5D6E-409C-BE32-E72D297353CC}">
                <c16:uniqueId val="{0000000B-BEB7-457B-A98D-32F52056733A}"/>
              </c:ext>
            </c:extLst>
          </c:dPt>
          <c:dPt>
            <c:idx val="16"/>
            <c:invertIfNegative val="0"/>
            <c:bubble3D val="0"/>
            <c:spPr>
              <a:solidFill>
                <a:srgbClr val="009BB4"/>
              </a:solidFill>
              <a:ln w="19050">
                <a:noFill/>
              </a:ln>
            </c:spPr>
            <c:extLst>
              <c:ext xmlns:c16="http://schemas.microsoft.com/office/drawing/2014/chart" uri="{C3380CC4-5D6E-409C-BE32-E72D297353CC}">
                <c16:uniqueId val="{0000000D-BEB7-457B-A98D-32F52056733A}"/>
              </c:ext>
            </c:extLst>
          </c:dPt>
          <c:dPt>
            <c:idx val="24"/>
            <c:invertIfNegative val="0"/>
            <c:bubble3D val="0"/>
            <c:spPr>
              <a:solidFill>
                <a:srgbClr val="009BB4"/>
              </a:solidFill>
              <a:ln>
                <a:solidFill>
                  <a:srgbClr val="FF0000"/>
                </a:solidFill>
              </a:ln>
            </c:spPr>
            <c:extLst>
              <c:ext xmlns:c16="http://schemas.microsoft.com/office/drawing/2014/chart" uri="{C3380CC4-5D6E-409C-BE32-E72D297353CC}">
                <c16:uniqueId val="{0000000F-BEB7-457B-A98D-32F52056733A}"/>
              </c:ext>
            </c:extLst>
          </c:dPt>
          <c:dPt>
            <c:idx val="26"/>
            <c:invertIfNegative val="0"/>
            <c:bubble3D val="0"/>
            <c:extLst>
              <c:ext xmlns:c16="http://schemas.microsoft.com/office/drawing/2014/chart" uri="{C3380CC4-5D6E-409C-BE32-E72D297353CC}">
                <c16:uniqueId val="{00000010-BEB7-457B-A98D-32F52056733A}"/>
              </c:ext>
            </c:extLst>
          </c:dPt>
          <c:dLbls>
            <c:dLbl>
              <c:idx val="16"/>
              <c:layout>
                <c:manualLayout>
                  <c:x val="0"/>
                  <c:y val="8.97848426461143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B7-457B-A98D-32F52056733A}"/>
                </c:ext>
              </c:extLst>
            </c:dLbl>
            <c:dLbl>
              <c:idx val="18"/>
              <c:layout>
                <c:manualLayout>
                  <c:x val="-7.7968871359544794E-17"/>
                  <c:y val="9.79415542710340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EB7-457B-A98D-32F52056733A}"/>
                </c:ext>
              </c:extLst>
            </c:dLbl>
            <c:dLbl>
              <c:idx val="28"/>
              <c:layout>
                <c:manualLayout>
                  <c:x val="-1.539951410965879E-16"/>
                  <c:y val="9.41951054354148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EB7-457B-A98D-32F52056733A}"/>
                </c:ext>
              </c:extLst>
            </c:dLbl>
            <c:spPr>
              <a:noFill/>
              <a:ln>
                <a:noFill/>
              </a:ln>
              <a:effectLst/>
            </c:spPr>
            <c:txPr>
              <a:bodyPr rot="-5400000" vert="horz"/>
              <a:lstStyle/>
              <a:p>
                <a:pPr>
                  <a:defRPr sz="800"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D_ENG!$K$316:$K$344</c:f>
              <c:strCache>
                <c:ptCount val="29"/>
                <c:pt idx="0">
                  <c:v>Malta</c:v>
                </c:pt>
                <c:pt idx="1">
                  <c:v>Ireland</c:v>
                </c:pt>
                <c:pt idx="2">
                  <c:v>Denmark</c:v>
                </c:pt>
                <c:pt idx="3">
                  <c:v>Netherlands</c:v>
                </c:pt>
                <c:pt idx="4">
                  <c:v>Cyprus</c:v>
                </c:pt>
                <c:pt idx="5">
                  <c:v>Sweden</c:v>
                </c:pt>
                <c:pt idx="6">
                  <c:v>Finland</c:v>
                </c:pt>
                <c:pt idx="7">
                  <c:v>United Kingdom</c:v>
                </c:pt>
                <c:pt idx="8">
                  <c:v>Belgium</c:v>
                </c:pt>
                <c:pt idx="9">
                  <c:v>Luxembourg </c:v>
                </c:pt>
                <c:pt idx="10">
                  <c:v>Austria</c:v>
                </c:pt>
                <c:pt idx="11">
                  <c:v>Spain</c:v>
                </c:pt>
                <c:pt idx="12">
                  <c:v>Greece</c:v>
                </c:pt>
                <c:pt idx="13">
                  <c:v>Lithuania</c:v>
                </c:pt>
                <c:pt idx="14">
                  <c:v>Portugal</c:v>
                </c:pt>
                <c:pt idx="15">
                  <c:v>EU28</c:v>
                </c:pt>
                <c:pt idx="16">
                  <c:v>Slovenia</c:v>
                </c:pt>
                <c:pt idx="17">
                  <c:v>Italy</c:v>
                </c:pt>
                <c:pt idx="18">
                  <c:v>Croatia</c:v>
                </c:pt>
                <c:pt idx="19">
                  <c:v>Germany</c:v>
                </c:pt>
                <c:pt idx="20">
                  <c:v>France</c:v>
                </c:pt>
                <c:pt idx="21">
                  <c:v>Estonia</c:v>
                </c:pt>
                <c:pt idx="22">
                  <c:v>Hungary</c:v>
                </c:pt>
                <c:pt idx="23">
                  <c:v>Slovakia</c:v>
                </c:pt>
                <c:pt idx="24">
                  <c:v>Czech Republic</c:v>
                </c:pt>
                <c:pt idx="25">
                  <c:v>Romania</c:v>
                </c:pt>
                <c:pt idx="26">
                  <c:v>Bulgaria</c:v>
                </c:pt>
                <c:pt idx="27">
                  <c:v>Latvia</c:v>
                </c:pt>
                <c:pt idx="28">
                  <c:v>Poland</c:v>
                </c:pt>
              </c:strCache>
            </c:strRef>
          </c:cat>
          <c:val>
            <c:numRef>
              <c:f>D_ENG!$L$316:$L$344</c:f>
              <c:numCache>
                <c:formatCode>0%</c:formatCode>
                <c:ptCount val="29"/>
                <c:pt idx="0">
                  <c:v>0.73099999999999998</c:v>
                </c:pt>
                <c:pt idx="1">
                  <c:v>0.66600000000000004</c:v>
                </c:pt>
                <c:pt idx="2">
                  <c:v>0.66500000000000004</c:v>
                </c:pt>
                <c:pt idx="3">
                  <c:v>0.66400000000000003</c:v>
                </c:pt>
                <c:pt idx="4">
                  <c:v>0.65300000000000002</c:v>
                </c:pt>
                <c:pt idx="5">
                  <c:v>0.63</c:v>
                </c:pt>
                <c:pt idx="6">
                  <c:v>0.60699999999999998</c:v>
                </c:pt>
                <c:pt idx="7">
                  <c:v>0.60199999999999998</c:v>
                </c:pt>
                <c:pt idx="8">
                  <c:v>0.56699999999999995</c:v>
                </c:pt>
                <c:pt idx="9">
                  <c:v>0.51600000000000001</c:v>
                </c:pt>
                <c:pt idx="10">
                  <c:v>0.50800000000000001</c:v>
                </c:pt>
                <c:pt idx="11">
                  <c:v>0.48899999999999999</c:v>
                </c:pt>
                <c:pt idx="12">
                  <c:v>0.48499999999999999</c:v>
                </c:pt>
                <c:pt idx="13">
                  <c:v>0.46600000000000003</c:v>
                </c:pt>
                <c:pt idx="14">
                  <c:v>0.45200000000000001</c:v>
                </c:pt>
                <c:pt idx="15">
                  <c:v>0.45</c:v>
                </c:pt>
                <c:pt idx="16">
                  <c:v>0.44900000000000001</c:v>
                </c:pt>
                <c:pt idx="17">
                  <c:v>0.42099999999999999</c:v>
                </c:pt>
                <c:pt idx="18">
                  <c:v>0.40699999999999997</c:v>
                </c:pt>
                <c:pt idx="19">
                  <c:v>0.40100000000000002</c:v>
                </c:pt>
                <c:pt idx="20">
                  <c:v>0.39500000000000002</c:v>
                </c:pt>
                <c:pt idx="21">
                  <c:v>0.38900000000000001</c:v>
                </c:pt>
                <c:pt idx="22">
                  <c:v>0.35699999999999998</c:v>
                </c:pt>
                <c:pt idx="23">
                  <c:v>0.35099999999999998</c:v>
                </c:pt>
                <c:pt idx="24">
                  <c:v>0.34100000000000003</c:v>
                </c:pt>
                <c:pt idx="25">
                  <c:v>0.34</c:v>
                </c:pt>
                <c:pt idx="26">
                  <c:v>0.33600000000000002</c:v>
                </c:pt>
                <c:pt idx="27">
                  <c:v>0.29199999999999998</c:v>
                </c:pt>
                <c:pt idx="28">
                  <c:v>0.26</c:v>
                </c:pt>
              </c:numCache>
            </c:numRef>
          </c:val>
          <c:extLst>
            <c:ext xmlns:c16="http://schemas.microsoft.com/office/drawing/2014/chart" uri="{C3380CC4-5D6E-409C-BE32-E72D297353CC}">
              <c16:uniqueId val="{00000013-BEB7-457B-A98D-32F52056733A}"/>
            </c:ext>
          </c:extLst>
        </c:ser>
        <c:dLbls>
          <c:showLegendKey val="0"/>
          <c:showVal val="0"/>
          <c:showCatName val="0"/>
          <c:showSerName val="0"/>
          <c:showPercent val="0"/>
          <c:showBubbleSize val="0"/>
        </c:dLbls>
        <c:gapWidth val="50"/>
        <c:axId val="184494080"/>
        <c:axId val="184436416"/>
      </c:barChart>
      <c:barChart>
        <c:barDir val="col"/>
        <c:grouping val="clustered"/>
        <c:varyColors val="0"/>
        <c:ser>
          <c:idx val="1"/>
          <c:order val="1"/>
          <c:tx>
            <c:strRef>
              <c:f>D_ENG!$M$315</c:f>
              <c:strCache>
                <c:ptCount val="1"/>
                <c:pt idx="0">
                  <c:v> 2013</c:v>
                </c:pt>
              </c:strCache>
            </c:strRef>
          </c:tx>
          <c:spPr>
            <a:solidFill>
              <a:srgbClr val="47E5FF"/>
            </a:solidFill>
          </c:spPr>
          <c:invertIfNegative val="0"/>
          <c:dLbls>
            <c:spPr>
              <a:noFill/>
              <a:ln>
                <a:noFill/>
              </a:ln>
              <a:effectLst/>
            </c:spPr>
            <c:txPr>
              <a:bodyPr rot="-5400000" vert="horz"/>
              <a:lstStyle/>
              <a:p>
                <a:pPr>
                  <a:defRPr b="1"/>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D_ENG!$K$316:$K$344</c:f>
              <c:strCache>
                <c:ptCount val="29"/>
                <c:pt idx="0">
                  <c:v>Malta</c:v>
                </c:pt>
                <c:pt idx="1">
                  <c:v>Ireland</c:v>
                </c:pt>
                <c:pt idx="2">
                  <c:v>Denmark</c:v>
                </c:pt>
                <c:pt idx="3">
                  <c:v>Netherlands</c:v>
                </c:pt>
                <c:pt idx="4">
                  <c:v>Cyprus</c:v>
                </c:pt>
                <c:pt idx="5">
                  <c:v>Sweden</c:v>
                </c:pt>
                <c:pt idx="6">
                  <c:v>Finland</c:v>
                </c:pt>
                <c:pt idx="7">
                  <c:v>United Kingdom</c:v>
                </c:pt>
                <c:pt idx="8">
                  <c:v>Belgium</c:v>
                </c:pt>
                <c:pt idx="9">
                  <c:v>Luxembourg </c:v>
                </c:pt>
                <c:pt idx="10">
                  <c:v>Austria</c:v>
                </c:pt>
                <c:pt idx="11">
                  <c:v>Spain</c:v>
                </c:pt>
                <c:pt idx="12">
                  <c:v>Greece</c:v>
                </c:pt>
                <c:pt idx="13">
                  <c:v>Lithuania</c:v>
                </c:pt>
                <c:pt idx="14">
                  <c:v>Portugal</c:v>
                </c:pt>
                <c:pt idx="15">
                  <c:v>EU28</c:v>
                </c:pt>
                <c:pt idx="16">
                  <c:v>Slovenia</c:v>
                </c:pt>
                <c:pt idx="17">
                  <c:v>Italy</c:v>
                </c:pt>
                <c:pt idx="18">
                  <c:v>Croatia</c:v>
                </c:pt>
                <c:pt idx="19">
                  <c:v>Germany</c:v>
                </c:pt>
                <c:pt idx="20">
                  <c:v>France</c:v>
                </c:pt>
                <c:pt idx="21">
                  <c:v>Estonia</c:v>
                </c:pt>
                <c:pt idx="22">
                  <c:v>Hungary</c:v>
                </c:pt>
                <c:pt idx="23">
                  <c:v>Slovakia</c:v>
                </c:pt>
                <c:pt idx="24">
                  <c:v>Czech Republic</c:v>
                </c:pt>
                <c:pt idx="25">
                  <c:v>Romania</c:v>
                </c:pt>
                <c:pt idx="26">
                  <c:v>Bulgaria</c:v>
                </c:pt>
                <c:pt idx="27">
                  <c:v>Latvia</c:v>
                </c:pt>
                <c:pt idx="28">
                  <c:v>Poland</c:v>
                </c:pt>
              </c:strCache>
            </c:strRef>
          </c:cat>
          <c:val>
            <c:numRef>
              <c:f>D_ENG!$M$316:$M$344</c:f>
              <c:numCache>
                <c:formatCode>0%</c:formatCode>
                <c:ptCount val="29"/>
                <c:pt idx="0">
                  <c:v>0.52257600000000004</c:v>
                </c:pt>
                <c:pt idx="1">
                  <c:v>0.45955099999999999</c:v>
                </c:pt>
                <c:pt idx="2">
                  <c:v>0.36225299999999999</c:v>
                </c:pt>
                <c:pt idx="3">
                  <c:v>0.45197399999999999</c:v>
                </c:pt>
                <c:pt idx="4">
                  <c:v>0.37264900000000001</c:v>
                </c:pt>
                <c:pt idx="5">
                  <c:v>0.41616300000000001</c:v>
                </c:pt>
                <c:pt idx="6">
                  <c:v>0.33726600000000001</c:v>
                </c:pt>
                <c:pt idx="7">
                  <c:v>0.40414099999999997</c:v>
                </c:pt>
                <c:pt idx="8">
                  <c:v>0.31325999999999998</c:v>
                </c:pt>
                <c:pt idx="9">
                  <c:v>0.26072600000000001</c:v>
                </c:pt>
                <c:pt idx="10">
                  <c:v>0.34726699999999999</c:v>
                </c:pt>
                <c:pt idx="11">
                  <c:v>0.28327799999999997</c:v>
                </c:pt>
                <c:pt idx="12">
                  <c:v>0.28765299999999999</c:v>
                </c:pt>
                <c:pt idx="13">
                  <c:v>0.31497199999999997</c:v>
                </c:pt>
                <c:pt idx="14">
                  <c:v>0.33382800000000001</c:v>
                </c:pt>
                <c:pt idx="15">
                  <c:v>0.27500200000000002</c:v>
                </c:pt>
                <c:pt idx="16">
                  <c:v>0.33769399999999999</c:v>
                </c:pt>
                <c:pt idx="17">
                  <c:v>0.211365</c:v>
                </c:pt>
                <c:pt idx="18">
                  <c:v>0.29558699999999999</c:v>
                </c:pt>
                <c:pt idx="19">
                  <c:v>0.291709</c:v>
                </c:pt>
                <c:pt idx="20">
                  <c:v>0.17080999999999999</c:v>
                </c:pt>
                <c:pt idx="21">
                  <c:v>0.24304200000000001</c:v>
                </c:pt>
                <c:pt idx="22">
                  <c:v>0.22112799999999999</c:v>
                </c:pt>
                <c:pt idx="23">
                  <c:v>0.21223800000000001</c:v>
                </c:pt>
                <c:pt idx="24">
                  <c:v>0.148253</c:v>
                </c:pt>
                <c:pt idx="25">
                  <c:v>0.171793</c:v>
                </c:pt>
                <c:pt idx="27">
                  <c:v>0.12902</c:v>
                </c:pt>
                <c:pt idx="28">
                  <c:v>0.15616099999999999</c:v>
                </c:pt>
              </c:numCache>
            </c:numRef>
          </c:val>
          <c:extLst>
            <c:ext xmlns:c16="http://schemas.microsoft.com/office/drawing/2014/chart" uri="{C3380CC4-5D6E-409C-BE32-E72D297353CC}">
              <c16:uniqueId val="{00000014-BEB7-457B-A98D-32F52056733A}"/>
            </c:ext>
          </c:extLst>
        </c:ser>
        <c:dLbls>
          <c:showLegendKey val="0"/>
          <c:showVal val="0"/>
          <c:showCatName val="0"/>
          <c:showSerName val="0"/>
          <c:showPercent val="0"/>
          <c:showBubbleSize val="0"/>
        </c:dLbls>
        <c:gapWidth val="200"/>
        <c:axId val="184611328"/>
        <c:axId val="184436992"/>
      </c:barChart>
      <c:catAx>
        <c:axId val="184494080"/>
        <c:scaling>
          <c:orientation val="minMax"/>
        </c:scaling>
        <c:delete val="0"/>
        <c:axPos val="b"/>
        <c:numFmt formatCode="General" sourceLinked="0"/>
        <c:majorTickMark val="out"/>
        <c:minorTickMark val="none"/>
        <c:tickLblPos val="nextTo"/>
        <c:spPr>
          <a:ln w="3175">
            <a:solidFill>
              <a:schemeClr val="tx1"/>
            </a:solidFill>
          </a:ln>
        </c:spPr>
        <c:crossAx val="184436416"/>
        <c:crosses val="autoZero"/>
        <c:auto val="1"/>
        <c:lblAlgn val="ctr"/>
        <c:lblOffset val="100"/>
        <c:noMultiLvlLbl val="0"/>
      </c:catAx>
      <c:valAx>
        <c:axId val="184436416"/>
        <c:scaling>
          <c:orientation val="minMax"/>
          <c:max val="0.75"/>
          <c:min val="0"/>
        </c:scaling>
        <c:delete val="1"/>
        <c:axPos val="l"/>
        <c:numFmt formatCode="0%" sourceLinked="1"/>
        <c:majorTickMark val="out"/>
        <c:minorTickMark val="none"/>
        <c:tickLblPos val="nextTo"/>
        <c:crossAx val="184494080"/>
        <c:crosses val="autoZero"/>
        <c:crossBetween val="between"/>
        <c:majorUnit val="0.15"/>
        <c:minorUnit val="0.05"/>
      </c:valAx>
      <c:valAx>
        <c:axId val="184436992"/>
        <c:scaling>
          <c:orientation val="minMax"/>
          <c:max val="0.75"/>
        </c:scaling>
        <c:delete val="0"/>
        <c:axPos val="r"/>
        <c:numFmt formatCode="0%" sourceLinked="1"/>
        <c:majorTickMark val="none"/>
        <c:minorTickMark val="none"/>
        <c:tickLblPos val="none"/>
        <c:crossAx val="184611328"/>
        <c:crosses val="max"/>
        <c:crossBetween val="between"/>
        <c:majorUnit val="0.25"/>
      </c:valAx>
      <c:catAx>
        <c:axId val="184611328"/>
        <c:scaling>
          <c:orientation val="minMax"/>
        </c:scaling>
        <c:delete val="1"/>
        <c:axPos val="b"/>
        <c:numFmt formatCode="General" sourceLinked="0"/>
        <c:majorTickMark val="out"/>
        <c:minorTickMark val="none"/>
        <c:tickLblPos val="none"/>
        <c:crossAx val="184436992"/>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86300513884532803"/>
          <c:y val="0.128610802469136"/>
          <c:w val="9.0013430159151406E-2"/>
          <c:h val="0.15949938271604899"/>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55632438802292505"/>
        </c:manualLayout>
      </c:layout>
      <c:barChart>
        <c:barDir val="col"/>
        <c:grouping val="clustered"/>
        <c:varyColors val="0"/>
        <c:ser>
          <c:idx val="0"/>
          <c:order val="0"/>
          <c:tx>
            <c:strRef>
              <c:f>D_ENG!$H$346</c:f>
              <c:strCache>
                <c:ptCount val="1"/>
                <c:pt idx="0">
                  <c:v> 2014</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D_ENG!$G$347:$G$350</c:f>
              <c:strCache>
                <c:ptCount val="4"/>
                <c:pt idx="0">
                  <c:v>Total</c:v>
                </c:pt>
                <c:pt idx="1">
                  <c:v>Small</c:v>
                </c:pt>
                <c:pt idx="2">
                  <c:v>Medium</c:v>
                </c:pt>
                <c:pt idx="3">
                  <c:v>Large</c:v>
                </c:pt>
              </c:strCache>
            </c:strRef>
          </c:cat>
          <c:val>
            <c:numRef>
              <c:f>D_ENG!$H$347:$H$350</c:f>
              <c:numCache>
                <c:formatCode>0%</c:formatCode>
                <c:ptCount val="4"/>
                <c:pt idx="0">
                  <c:v>0.15</c:v>
                </c:pt>
                <c:pt idx="1">
                  <c:v>0.15</c:v>
                </c:pt>
                <c:pt idx="2">
                  <c:v>0.17</c:v>
                </c:pt>
                <c:pt idx="3">
                  <c:v>0.19</c:v>
                </c:pt>
              </c:numCache>
            </c:numRef>
          </c:val>
          <c:extLst>
            <c:ext xmlns:c16="http://schemas.microsoft.com/office/drawing/2014/chart" uri="{C3380CC4-5D6E-409C-BE32-E72D297353CC}">
              <c16:uniqueId val="{00000000-0290-4E45-BF86-169BE75CA71A}"/>
            </c:ext>
          </c:extLst>
        </c:ser>
        <c:ser>
          <c:idx val="1"/>
          <c:order val="1"/>
          <c:tx>
            <c:strRef>
              <c:f>D_ENG!$I$346</c:f>
              <c:strCache>
                <c:ptCount val="1"/>
                <c:pt idx="0">
                  <c:v> 2016</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D_ENG!$G$347:$G$350</c:f>
              <c:strCache>
                <c:ptCount val="4"/>
                <c:pt idx="0">
                  <c:v>Total</c:v>
                </c:pt>
                <c:pt idx="1">
                  <c:v>Small</c:v>
                </c:pt>
                <c:pt idx="2">
                  <c:v>Medium</c:v>
                </c:pt>
                <c:pt idx="3">
                  <c:v>Large</c:v>
                </c:pt>
              </c:strCache>
            </c:strRef>
          </c:cat>
          <c:val>
            <c:numRef>
              <c:f>D_ENG!$I$347:$I$350</c:f>
              <c:numCache>
                <c:formatCode>0%</c:formatCode>
                <c:ptCount val="4"/>
                <c:pt idx="0">
                  <c:v>0.18</c:v>
                </c:pt>
                <c:pt idx="1">
                  <c:v>0.17</c:v>
                </c:pt>
                <c:pt idx="2">
                  <c:v>0.22</c:v>
                </c:pt>
                <c:pt idx="3">
                  <c:v>0.3</c:v>
                </c:pt>
              </c:numCache>
            </c:numRef>
          </c:val>
          <c:extLst>
            <c:ext xmlns:c16="http://schemas.microsoft.com/office/drawing/2014/chart" uri="{C3380CC4-5D6E-409C-BE32-E72D297353CC}">
              <c16:uniqueId val="{00000001-0290-4E45-BF86-169BE75CA71A}"/>
            </c:ext>
          </c:extLst>
        </c:ser>
        <c:ser>
          <c:idx val="2"/>
          <c:order val="2"/>
          <c:tx>
            <c:strRef>
              <c:f>D_ENG!$J$346</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D_ENG!$G$347:$G$350</c:f>
              <c:strCache>
                <c:ptCount val="4"/>
                <c:pt idx="0">
                  <c:v>Total</c:v>
                </c:pt>
                <c:pt idx="1">
                  <c:v>Small</c:v>
                </c:pt>
                <c:pt idx="2">
                  <c:v>Medium</c:v>
                </c:pt>
                <c:pt idx="3">
                  <c:v>Large</c:v>
                </c:pt>
              </c:strCache>
            </c:strRef>
          </c:cat>
          <c:val>
            <c:numRef>
              <c:f>D_ENG!$J$347:$J$350</c:f>
              <c:numCache>
                <c:formatCode>0%</c:formatCode>
                <c:ptCount val="4"/>
                <c:pt idx="0">
                  <c:v>0.22</c:v>
                </c:pt>
                <c:pt idx="1">
                  <c:v>0.2</c:v>
                </c:pt>
                <c:pt idx="2">
                  <c:v>0.28000000000000003</c:v>
                </c:pt>
                <c:pt idx="3">
                  <c:v>0.39</c:v>
                </c:pt>
              </c:numCache>
            </c:numRef>
          </c:val>
          <c:extLst>
            <c:ext xmlns:c16="http://schemas.microsoft.com/office/drawing/2014/chart" uri="{C3380CC4-5D6E-409C-BE32-E72D297353CC}">
              <c16:uniqueId val="{00000002-0290-4E45-BF86-169BE75CA71A}"/>
            </c:ext>
          </c:extLst>
        </c:ser>
        <c:dLbls>
          <c:showLegendKey val="0"/>
          <c:showVal val="1"/>
          <c:showCatName val="0"/>
          <c:showSerName val="0"/>
          <c:showPercent val="0"/>
          <c:showBubbleSize val="0"/>
        </c:dLbls>
        <c:gapWidth val="50"/>
        <c:overlap val="1"/>
        <c:axId val="184612864"/>
        <c:axId val="184438720"/>
      </c:barChart>
      <c:catAx>
        <c:axId val="184612864"/>
        <c:scaling>
          <c:orientation val="minMax"/>
        </c:scaling>
        <c:delete val="0"/>
        <c:axPos val="b"/>
        <c:numFmt formatCode="General" sourceLinked="1"/>
        <c:majorTickMark val="out"/>
        <c:minorTickMark val="none"/>
        <c:tickLblPos val="nextTo"/>
        <c:spPr>
          <a:ln w="3175">
            <a:solidFill>
              <a:schemeClr val="tx1"/>
            </a:solidFill>
          </a:ln>
        </c:spPr>
        <c:crossAx val="184438720"/>
        <c:crosses val="autoZero"/>
        <c:auto val="1"/>
        <c:lblAlgn val="ctr"/>
        <c:lblOffset val="100"/>
        <c:noMultiLvlLbl val="0"/>
      </c:catAx>
      <c:valAx>
        <c:axId val="184438720"/>
        <c:scaling>
          <c:orientation val="minMax"/>
          <c:max val="0.8"/>
          <c:min val="0"/>
        </c:scaling>
        <c:delete val="0"/>
        <c:axPos val="l"/>
        <c:numFmt formatCode="0%" sourceLinked="1"/>
        <c:majorTickMark val="none"/>
        <c:minorTickMark val="none"/>
        <c:tickLblPos val="none"/>
        <c:crossAx val="184612864"/>
        <c:crosses val="autoZero"/>
        <c:crossBetween val="between"/>
      </c:valAx>
      <c:spPr>
        <a:ln w="12700">
          <a:solidFill>
            <a:srgbClr val="A6A6A6"/>
          </a:solidFill>
        </a:ln>
      </c:spPr>
    </c:plotArea>
    <c:legend>
      <c:legendPos val="t"/>
      <c:layout>
        <c:manualLayout>
          <c:xMode val="edge"/>
          <c:yMode val="edge"/>
          <c:x val="0.134556430446194"/>
          <c:y val="0.22664684771546401"/>
          <c:w val="0.44906456692913399"/>
          <c:h val="0.10099041191279701"/>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800" b="1">
                <a:effectLst/>
              </a:rPr>
              <a:t>Figure D22 Enterprises in the Czech Republic using selected paid cloud computing services</a:t>
            </a:r>
            <a:r>
              <a:rPr lang="cs-CZ" sz="800" b="1" baseline="0">
                <a:effectLst/>
              </a:rPr>
              <a:t>; </a:t>
            </a:r>
            <a:r>
              <a:rPr lang="cs-CZ" sz="800" b="1">
                <a:effectLst/>
              </a:rPr>
              <a:t>2017 </a:t>
            </a:r>
            <a:r>
              <a:rPr lang="cs-CZ" sz="800" b="1" baseline="0">
                <a:effectLst/>
              </a:rPr>
              <a:t>(%)*</a:t>
            </a:r>
            <a:endParaRPr lang="cs-CZ" sz="800">
              <a:effectLst/>
            </a:endParaRPr>
          </a:p>
        </c:rich>
      </c:tx>
      <c:overlay val="0"/>
    </c:title>
    <c:autoTitleDeleted val="0"/>
    <c:plotArea>
      <c:layout>
        <c:manualLayout>
          <c:layoutTarget val="inner"/>
          <c:xMode val="edge"/>
          <c:yMode val="edge"/>
          <c:x val="0.47204759405074398"/>
          <c:y val="0.19028871391076099"/>
          <c:w val="0.48606649168853899"/>
          <c:h val="0.67655966081162899"/>
        </c:manualLayout>
      </c:layout>
      <c:barChart>
        <c:barDir val="bar"/>
        <c:grouping val="clustered"/>
        <c:varyColors val="0"/>
        <c:ser>
          <c:idx val="0"/>
          <c:order val="0"/>
          <c:spPr>
            <a:solidFill>
              <a:srgbClr val="009BB4"/>
            </a:solidFill>
            <a:ln w="25400">
              <a:noFill/>
            </a:ln>
          </c:spPr>
          <c:invertIfNegative val="0"/>
          <c:dLbls>
            <c:dLbl>
              <c:idx val="0"/>
              <c:layout>
                <c:manualLayout>
                  <c:x val="-0.10329382511396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A2-45D8-8F9A-06E442E3BFC7}"/>
                </c:ext>
              </c:extLst>
            </c:dLbl>
            <c:spPr>
              <a:noFill/>
              <a:ln w="25400">
                <a:noFill/>
              </a:ln>
            </c:spPr>
            <c:txPr>
              <a:bodyPr rot="0" vert="horz"/>
              <a:lstStyle/>
              <a:p>
                <a:pPr algn="ctr">
                  <a:defRPr sz="800" b="1" i="0" u="none" strike="noStrike" baseline="0">
                    <a:solidFill>
                      <a:schemeClr val="bg1"/>
                    </a:solidFill>
                    <a:latin typeface="Arial CE"/>
                    <a:ea typeface="Arial CE"/>
                    <a:cs typeface="Arial CE"/>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D_ENG!$G$357:$G$363</c:f>
              <c:strCache>
                <c:ptCount val="7"/>
                <c:pt idx="0">
                  <c:v>Computing power</c:v>
                </c:pt>
                <c:pt idx="1">
                  <c:v>CRM applications</c:v>
                </c:pt>
                <c:pt idx="2">
                  <c:v>Finance or accounting software</c:v>
                </c:pt>
                <c:pt idx="3">
                  <c:v>Hosting the enterprises' databases</c:v>
                </c:pt>
                <c:pt idx="4">
                  <c:v>Office software</c:v>
                </c:pt>
                <c:pt idx="5">
                  <c:v>Storage of files</c:v>
                </c:pt>
                <c:pt idx="6">
                  <c:v>E-mail</c:v>
                </c:pt>
              </c:strCache>
            </c:strRef>
          </c:cat>
          <c:val>
            <c:numRef>
              <c:f>D_ENG!$H$357:$H$363</c:f>
              <c:numCache>
                <c:formatCode>0%</c:formatCode>
                <c:ptCount val="7"/>
                <c:pt idx="0">
                  <c:v>0.04</c:v>
                </c:pt>
                <c:pt idx="1">
                  <c:v>0.05</c:v>
                </c:pt>
                <c:pt idx="2">
                  <c:v>0.08</c:v>
                </c:pt>
                <c:pt idx="3">
                  <c:v>0.09</c:v>
                </c:pt>
                <c:pt idx="4">
                  <c:v>0.11</c:v>
                </c:pt>
                <c:pt idx="5">
                  <c:v>0.13</c:v>
                </c:pt>
                <c:pt idx="6">
                  <c:v>0.17</c:v>
                </c:pt>
              </c:numCache>
            </c:numRef>
          </c:val>
          <c:extLst>
            <c:ext xmlns:c16="http://schemas.microsoft.com/office/drawing/2014/chart" uri="{C3380CC4-5D6E-409C-BE32-E72D297353CC}">
              <c16:uniqueId val="{00000001-09A2-45D8-8F9A-06E442E3BFC7}"/>
            </c:ext>
          </c:extLst>
        </c:ser>
        <c:dLbls>
          <c:showLegendKey val="0"/>
          <c:showVal val="0"/>
          <c:showCatName val="0"/>
          <c:showSerName val="0"/>
          <c:showPercent val="0"/>
          <c:showBubbleSize val="0"/>
        </c:dLbls>
        <c:gapWidth val="70"/>
        <c:axId val="179130368"/>
        <c:axId val="184439872"/>
      </c:barChart>
      <c:catAx>
        <c:axId val="179130368"/>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800" b="0" i="0" u="none" strike="noStrike" baseline="0">
                <a:solidFill>
                  <a:srgbClr val="000000"/>
                </a:solidFill>
                <a:latin typeface="Arial CE"/>
                <a:ea typeface="Arial CE"/>
                <a:cs typeface="Arial CE"/>
              </a:defRPr>
            </a:pPr>
            <a:endParaRPr lang="cs-CZ"/>
          </a:p>
        </c:txPr>
        <c:crossAx val="184439872"/>
        <c:crosses val="autoZero"/>
        <c:auto val="1"/>
        <c:lblAlgn val="ctr"/>
        <c:lblOffset val="100"/>
        <c:noMultiLvlLbl val="0"/>
      </c:catAx>
      <c:valAx>
        <c:axId val="184439872"/>
        <c:scaling>
          <c:orientation val="minMax"/>
          <c:max val="0.2"/>
          <c:min val="0"/>
        </c:scaling>
        <c:delete val="0"/>
        <c:axPos val="b"/>
        <c:numFmt formatCode="0%" sourceLinked="1"/>
        <c:majorTickMark val="none"/>
        <c:minorTickMark val="none"/>
        <c:tickLblPos val="none"/>
        <c:spPr>
          <a:ln w="9525">
            <a:noFill/>
          </a:ln>
        </c:spPr>
        <c:crossAx val="179130368"/>
        <c:crosses val="autoZero"/>
        <c:crossBetween val="between"/>
        <c:majorUnit val="0.05"/>
        <c:minorUnit val="0.01"/>
      </c:valAx>
      <c:spPr>
        <a:noFill/>
        <a:ln w="12700">
          <a:solidFill>
            <a:srgbClr val="A6A6A6"/>
          </a:solidFill>
          <a:prstDash val="solid"/>
        </a:ln>
      </c:spPr>
    </c:plotArea>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CE"/>
          <a:ea typeface="Arial CE"/>
          <a:cs typeface="Arial CE"/>
        </a:defRPr>
      </a:pPr>
      <a:endParaRPr lang="cs-CZ"/>
    </a:p>
  </c:txPr>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Figure D2</a:t>
            </a:r>
            <a:r>
              <a:rPr lang="cs-CZ" sz="800"/>
              <a:t>3</a:t>
            </a:r>
            <a:r>
              <a:rPr lang="en-US" sz="800"/>
              <a:t> Enterprises in EU countries using paid cloud computing services</a:t>
            </a:r>
            <a:r>
              <a:rPr lang="cs-CZ" sz="800"/>
              <a:t>;</a:t>
            </a:r>
            <a:r>
              <a:rPr lang="cs-CZ" sz="800" baseline="0"/>
              <a:t> </a:t>
            </a:r>
            <a:r>
              <a:rPr lang="en-US" sz="800"/>
              <a:t>2017</a:t>
            </a:r>
            <a:r>
              <a:rPr lang="cs-CZ" sz="800"/>
              <a:t> </a:t>
            </a:r>
            <a:r>
              <a:rPr lang="en-US" sz="800"/>
              <a:t>(%)</a:t>
            </a:r>
            <a:r>
              <a:rPr lang="cs-CZ" sz="800"/>
              <a:t>*</a:t>
            </a:r>
            <a:endParaRPr lang="en-US" sz="800"/>
          </a:p>
        </c:rich>
      </c:tx>
      <c:overlay val="0"/>
    </c:title>
    <c:autoTitleDeleted val="0"/>
    <c:plotArea>
      <c:layout>
        <c:manualLayout>
          <c:layoutTarget val="inner"/>
          <c:xMode val="edge"/>
          <c:yMode val="edge"/>
          <c:x val="6.5949831649831703E-2"/>
          <c:y val="0.10228368055555601"/>
          <c:w val="0.90411750841750804"/>
          <c:h val="0.60425972222222202"/>
        </c:manualLayout>
      </c:layout>
      <c:barChart>
        <c:barDir val="col"/>
        <c:grouping val="clustered"/>
        <c:varyColors val="0"/>
        <c:ser>
          <c:idx val="0"/>
          <c:order val="0"/>
          <c:tx>
            <c:strRef>
              <c:f>D_ENG!$L$371</c:f>
              <c:strCache>
                <c:ptCount val="1"/>
                <c:pt idx="0">
                  <c:v> All enterprises (10+ employees)</c:v>
                </c:pt>
              </c:strCache>
            </c:strRef>
          </c:tx>
          <c:spPr>
            <a:solidFill>
              <a:srgbClr val="009BB4"/>
            </a:solidFill>
            <a:ln>
              <a:noFill/>
            </a:ln>
          </c:spPr>
          <c:invertIfNegative val="0"/>
          <c:dPt>
            <c:idx val="6"/>
            <c:invertIfNegative val="0"/>
            <c:bubble3D val="0"/>
            <c:spPr>
              <a:solidFill>
                <a:srgbClr val="009BB4"/>
              </a:solidFill>
              <a:ln w="19050">
                <a:noFill/>
              </a:ln>
            </c:spPr>
            <c:extLst>
              <c:ext xmlns:c16="http://schemas.microsoft.com/office/drawing/2014/chart" uri="{C3380CC4-5D6E-409C-BE32-E72D297353CC}">
                <c16:uniqueId val="{00000001-6911-48B6-82A2-32ED41AA4993}"/>
              </c:ext>
            </c:extLst>
          </c:dPt>
          <c:dPt>
            <c:idx val="8"/>
            <c:invertIfNegative val="0"/>
            <c:bubble3D val="0"/>
            <c:spPr>
              <a:solidFill>
                <a:srgbClr val="009BB4"/>
              </a:solidFill>
              <a:ln w="19050">
                <a:noFill/>
              </a:ln>
            </c:spPr>
            <c:extLst>
              <c:ext xmlns:c16="http://schemas.microsoft.com/office/drawing/2014/chart" uri="{C3380CC4-5D6E-409C-BE32-E72D297353CC}">
                <c16:uniqueId val="{00000003-6911-48B6-82A2-32ED41AA4993}"/>
              </c:ext>
            </c:extLst>
          </c:dPt>
          <c:dPt>
            <c:idx val="9"/>
            <c:invertIfNegative val="0"/>
            <c:bubble3D val="0"/>
            <c:spPr>
              <a:solidFill>
                <a:srgbClr val="009BB4"/>
              </a:solidFill>
              <a:ln w="19050">
                <a:noFill/>
              </a:ln>
            </c:spPr>
            <c:extLst>
              <c:ext xmlns:c16="http://schemas.microsoft.com/office/drawing/2014/chart" uri="{C3380CC4-5D6E-409C-BE32-E72D297353CC}">
                <c16:uniqueId val="{00000005-6911-48B6-82A2-32ED41AA4993}"/>
              </c:ext>
            </c:extLst>
          </c:dPt>
          <c:dPt>
            <c:idx val="11"/>
            <c:invertIfNegative val="0"/>
            <c:bubble3D val="0"/>
            <c:spPr>
              <a:solidFill>
                <a:srgbClr val="009BB4"/>
              </a:solidFill>
              <a:ln w="19050">
                <a:noFill/>
              </a:ln>
            </c:spPr>
            <c:extLst>
              <c:ext xmlns:c16="http://schemas.microsoft.com/office/drawing/2014/chart" uri="{C3380CC4-5D6E-409C-BE32-E72D297353CC}">
                <c16:uniqueId val="{00000007-6911-48B6-82A2-32ED41AA4993}"/>
              </c:ext>
            </c:extLst>
          </c:dPt>
          <c:dPt>
            <c:idx val="13"/>
            <c:invertIfNegative val="0"/>
            <c:bubble3D val="0"/>
            <c:spPr>
              <a:solidFill>
                <a:srgbClr val="009BB4"/>
              </a:solidFill>
              <a:ln w="19050">
                <a:noFill/>
              </a:ln>
            </c:spPr>
            <c:extLst>
              <c:ext xmlns:c16="http://schemas.microsoft.com/office/drawing/2014/chart" uri="{C3380CC4-5D6E-409C-BE32-E72D297353CC}">
                <c16:uniqueId val="{00000009-6911-48B6-82A2-32ED41AA4993}"/>
              </c:ext>
            </c:extLst>
          </c:dPt>
          <c:dPt>
            <c:idx val="15"/>
            <c:invertIfNegative val="0"/>
            <c:bubble3D val="0"/>
            <c:spPr>
              <a:solidFill>
                <a:srgbClr val="009BB4"/>
              </a:solidFill>
              <a:ln w="9525">
                <a:solidFill>
                  <a:srgbClr val="FF0000"/>
                </a:solidFill>
              </a:ln>
            </c:spPr>
            <c:extLst>
              <c:ext xmlns:c16="http://schemas.microsoft.com/office/drawing/2014/chart" uri="{C3380CC4-5D6E-409C-BE32-E72D297353CC}">
                <c16:uniqueId val="{0000000B-6911-48B6-82A2-32ED41AA4993}"/>
              </c:ext>
            </c:extLst>
          </c:dPt>
          <c:dPt>
            <c:idx val="16"/>
            <c:invertIfNegative val="0"/>
            <c:bubble3D val="0"/>
            <c:spPr>
              <a:solidFill>
                <a:srgbClr val="009BB4"/>
              </a:solidFill>
              <a:ln w="19050">
                <a:noFill/>
              </a:ln>
            </c:spPr>
            <c:extLst>
              <c:ext xmlns:c16="http://schemas.microsoft.com/office/drawing/2014/chart" uri="{C3380CC4-5D6E-409C-BE32-E72D297353CC}">
                <c16:uniqueId val="{0000000D-6911-48B6-82A2-32ED41AA4993}"/>
              </c:ext>
            </c:extLst>
          </c:dPt>
          <c:dPt>
            <c:idx val="18"/>
            <c:invertIfNegative val="0"/>
            <c:bubble3D val="0"/>
            <c:extLst>
              <c:ext xmlns:c16="http://schemas.microsoft.com/office/drawing/2014/chart" uri="{C3380CC4-5D6E-409C-BE32-E72D297353CC}">
                <c16:uniqueId val="{0000000E-6911-48B6-82A2-32ED41AA4993}"/>
              </c:ext>
            </c:extLst>
          </c:dPt>
          <c:dPt>
            <c:idx val="19"/>
            <c:invertIfNegative val="0"/>
            <c:bubble3D val="0"/>
            <c:spPr>
              <a:solidFill>
                <a:srgbClr val="009BB4"/>
              </a:solidFill>
              <a:ln>
                <a:solidFill>
                  <a:srgbClr val="FF0000"/>
                </a:solidFill>
              </a:ln>
            </c:spPr>
            <c:extLst>
              <c:ext xmlns:c16="http://schemas.microsoft.com/office/drawing/2014/chart" uri="{C3380CC4-5D6E-409C-BE32-E72D297353CC}">
                <c16:uniqueId val="{00000010-6911-48B6-82A2-32ED41AA4993}"/>
              </c:ext>
            </c:extLst>
          </c:dPt>
          <c:dPt>
            <c:idx val="20"/>
            <c:invertIfNegative val="0"/>
            <c:bubble3D val="0"/>
            <c:spPr>
              <a:solidFill>
                <a:srgbClr val="009BB4"/>
              </a:solidFill>
              <a:ln w="19050">
                <a:noFill/>
              </a:ln>
            </c:spPr>
            <c:extLst>
              <c:ext xmlns:c16="http://schemas.microsoft.com/office/drawing/2014/chart" uri="{C3380CC4-5D6E-409C-BE32-E72D297353CC}">
                <c16:uniqueId val="{00000012-6911-48B6-82A2-32ED41AA4993}"/>
              </c:ext>
            </c:extLst>
          </c:dPt>
          <c:dLbls>
            <c:spPr>
              <a:noFill/>
              <a:ln>
                <a:noFill/>
              </a:ln>
              <a:effectLst/>
            </c:spPr>
            <c:txPr>
              <a:bodyPr rot="-5400000" vert="horz"/>
              <a:lstStyle/>
              <a:p>
                <a:pPr>
                  <a:defRPr sz="800" b="1">
                    <a:solidFill>
                      <a:sysClr val="windowText" lastClr="000000"/>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D_ENG!$K$372:$K$400</c:f>
              <c:strCache>
                <c:ptCount val="29"/>
                <c:pt idx="0">
                  <c:v>Finland</c:v>
                </c:pt>
                <c:pt idx="1">
                  <c:v>Denmark</c:v>
                </c:pt>
                <c:pt idx="2">
                  <c:v>Sweden**</c:v>
                </c:pt>
                <c:pt idx="3">
                  <c:v>Belgium</c:v>
                </c:pt>
                <c:pt idx="4">
                  <c:v>Ireland**</c:v>
                </c:pt>
                <c:pt idx="5">
                  <c:v>United Kingdom**</c:v>
                </c:pt>
                <c:pt idx="6">
                  <c:v>Netherlands**</c:v>
                </c:pt>
                <c:pt idx="7">
                  <c:v>Croatia</c:v>
                </c:pt>
                <c:pt idx="8">
                  <c:v>Malta**</c:v>
                </c:pt>
                <c:pt idx="9">
                  <c:v>Spain</c:v>
                </c:pt>
                <c:pt idx="10">
                  <c:v>Lithuania</c:v>
                </c:pt>
                <c:pt idx="11">
                  <c:v>Estonia**</c:v>
                </c:pt>
                <c:pt idx="12">
                  <c:v>Portugal</c:v>
                </c:pt>
                <c:pt idx="13">
                  <c:v>Slovakia</c:v>
                </c:pt>
                <c:pt idx="14">
                  <c:v>Slovenia</c:v>
                </c:pt>
                <c:pt idx="15">
                  <c:v>Czech Republic</c:v>
                </c:pt>
                <c:pt idx="16">
                  <c:v>Cyprus</c:v>
                </c:pt>
                <c:pt idx="17">
                  <c:v>Italy**</c:v>
                </c:pt>
                <c:pt idx="18">
                  <c:v>Austria</c:v>
                </c:pt>
                <c:pt idx="19">
                  <c:v>EU28**</c:v>
                </c:pt>
                <c:pt idx="20">
                  <c:v>Luxembourg**</c:v>
                </c:pt>
                <c:pt idx="21">
                  <c:v>France**</c:v>
                </c:pt>
                <c:pt idx="22">
                  <c:v>Hungary</c:v>
                </c:pt>
                <c:pt idx="23">
                  <c:v>Germany**</c:v>
                </c:pt>
                <c:pt idx="24">
                  <c:v>Latvia</c:v>
                </c:pt>
                <c:pt idx="25">
                  <c:v>Greece</c:v>
                </c:pt>
                <c:pt idx="26">
                  <c:v>Romania</c:v>
                </c:pt>
                <c:pt idx="27">
                  <c:v>Poland</c:v>
                </c:pt>
                <c:pt idx="28">
                  <c:v>Bulgaria</c:v>
                </c:pt>
              </c:strCache>
            </c:strRef>
          </c:cat>
          <c:val>
            <c:numRef>
              <c:f>D_ENG!$L$372:$L$400</c:f>
              <c:numCache>
                <c:formatCode>0%</c:formatCode>
                <c:ptCount val="29"/>
                <c:pt idx="0">
                  <c:v>0.65600000000000003</c:v>
                </c:pt>
                <c:pt idx="1">
                  <c:v>0.505</c:v>
                </c:pt>
                <c:pt idx="2">
                  <c:v>0.48159800000000003</c:v>
                </c:pt>
                <c:pt idx="3">
                  <c:v>0.39600000000000002</c:v>
                </c:pt>
                <c:pt idx="4">
                  <c:v>0.36075800000000002</c:v>
                </c:pt>
                <c:pt idx="5">
                  <c:v>0.34664800000000001</c:v>
                </c:pt>
                <c:pt idx="6">
                  <c:v>0.34525</c:v>
                </c:pt>
                <c:pt idx="7">
                  <c:v>0.312</c:v>
                </c:pt>
                <c:pt idx="8">
                  <c:v>0.28445799999999999</c:v>
                </c:pt>
                <c:pt idx="9">
                  <c:v>0.23499999999999999</c:v>
                </c:pt>
                <c:pt idx="10">
                  <c:v>0.23200000000000001</c:v>
                </c:pt>
                <c:pt idx="11">
                  <c:v>0.22839100000000001</c:v>
                </c:pt>
                <c:pt idx="12">
                  <c:v>0.22600000000000001</c:v>
                </c:pt>
                <c:pt idx="13">
                  <c:v>0.222</c:v>
                </c:pt>
                <c:pt idx="14">
                  <c:v>0.221</c:v>
                </c:pt>
                <c:pt idx="15">
                  <c:v>0.22</c:v>
                </c:pt>
                <c:pt idx="16">
                  <c:v>0.217</c:v>
                </c:pt>
                <c:pt idx="17">
                  <c:v>0.215084</c:v>
                </c:pt>
                <c:pt idx="18">
                  <c:v>0.21</c:v>
                </c:pt>
                <c:pt idx="19">
                  <c:v>0.20935300000000001</c:v>
                </c:pt>
                <c:pt idx="20">
                  <c:v>0.18828400000000001</c:v>
                </c:pt>
                <c:pt idx="21">
                  <c:v>0.171102</c:v>
                </c:pt>
                <c:pt idx="22">
                  <c:v>0.16300000000000001</c:v>
                </c:pt>
                <c:pt idx="23">
                  <c:v>0.16256599999999999</c:v>
                </c:pt>
                <c:pt idx="24">
                  <c:v>0.12</c:v>
                </c:pt>
                <c:pt idx="25">
                  <c:v>0.11</c:v>
                </c:pt>
                <c:pt idx="26">
                  <c:v>0.108</c:v>
                </c:pt>
                <c:pt idx="27">
                  <c:v>0.1</c:v>
                </c:pt>
                <c:pt idx="28">
                  <c:v>0.08</c:v>
                </c:pt>
              </c:numCache>
            </c:numRef>
          </c:val>
          <c:extLst>
            <c:ext xmlns:c16="http://schemas.microsoft.com/office/drawing/2014/chart" uri="{C3380CC4-5D6E-409C-BE32-E72D297353CC}">
              <c16:uniqueId val="{00000013-6911-48B6-82A2-32ED41AA4993}"/>
            </c:ext>
          </c:extLst>
        </c:ser>
        <c:dLbls>
          <c:showLegendKey val="0"/>
          <c:showVal val="0"/>
          <c:showCatName val="0"/>
          <c:showSerName val="0"/>
          <c:showPercent val="0"/>
          <c:showBubbleSize val="0"/>
        </c:dLbls>
        <c:gapWidth val="50"/>
        <c:axId val="179130880"/>
        <c:axId val="184441600"/>
      </c:barChart>
      <c:barChart>
        <c:barDir val="col"/>
        <c:grouping val="clustered"/>
        <c:varyColors val="0"/>
        <c:ser>
          <c:idx val="1"/>
          <c:order val="1"/>
          <c:tx>
            <c:strRef>
              <c:f>D_ENG!$M$371</c:f>
              <c:strCache>
                <c:ptCount val="1"/>
                <c:pt idx="0">
                  <c:v> Large enterprises (250+ employees)</c:v>
                </c:pt>
              </c:strCache>
            </c:strRef>
          </c:tx>
          <c:spPr>
            <a:solidFill>
              <a:srgbClr val="47E5FF"/>
            </a:solidFill>
          </c:spPr>
          <c:invertIfNegative val="0"/>
          <c:dPt>
            <c:idx val="15"/>
            <c:invertIfNegative val="0"/>
            <c:bubble3D val="0"/>
            <c:spPr>
              <a:solidFill>
                <a:srgbClr val="47E5FF"/>
              </a:solidFill>
              <a:ln>
                <a:solidFill>
                  <a:srgbClr val="FF0000"/>
                </a:solidFill>
              </a:ln>
            </c:spPr>
            <c:extLst>
              <c:ext xmlns:c16="http://schemas.microsoft.com/office/drawing/2014/chart" uri="{C3380CC4-5D6E-409C-BE32-E72D297353CC}">
                <c16:uniqueId val="{00000015-6911-48B6-82A2-32ED41AA4993}"/>
              </c:ext>
            </c:extLst>
          </c:dPt>
          <c:dPt>
            <c:idx val="18"/>
            <c:invertIfNegative val="0"/>
            <c:bubble3D val="0"/>
            <c:spPr>
              <a:solidFill>
                <a:srgbClr val="47E5FF"/>
              </a:solidFill>
              <a:ln>
                <a:noFill/>
              </a:ln>
            </c:spPr>
            <c:extLst>
              <c:ext xmlns:c16="http://schemas.microsoft.com/office/drawing/2014/chart" uri="{C3380CC4-5D6E-409C-BE32-E72D297353CC}">
                <c16:uniqueId val="{00000017-6911-48B6-82A2-32ED41AA4993}"/>
              </c:ext>
            </c:extLst>
          </c:dPt>
          <c:dPt>
            <c:idx val="19"/>
            <c:invertIfNegative val="0"/>
            <c:bubble3D val="0"/>
            <c:spPr>
              <a:solidFill>
                <a:srgbClr val="47E5FF"/>
              </a:solidFill>
              <a:ln>
                <a:solidFill>
                  <a:srgbClr val="FF0000"/>
                </a:solidFill>
              </a:ln>
            </c:spPr>
            <c:extLst>
              <c:ext xmlns:c16="http://schemas.microsoft.com/office/drawing/2014/chart" uri="{C3380CC4-5D6E-409C-BE32-E72D297353CC}">
                <c16:uniqueId val="{00000019-6911-48B6-82A2-32ED41AA4993}"/>
              </c:ext>
            </c:extLst>
          </c:dPt>
          <c:dLbls>
            <c:dLbl>
              <c:idx val="0"/>
              <c:layout>
                <c:manualLayout>
                  <c:x val="0"/>
                  <c:y val="4.703703703703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911-48B6-82A2-32ED41AA4993}"/>
                </c:ext>
              </c:extLst>
            </c:dLbl>
            <c:spPr>
              <a:noFill/>
              <a:ln>
                <a:noFill/>
              </a:ln>
              <a:effectLst/>
            </c:spPr>
            <c:txPr>
              <a:bodyPr rot="-5400000" vert="horz"/>
              <a:lstStyle/>
              <a:p>
                <a:pPr>
                  <a:defRPr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D_ENG!$K$372:$K$400</c:f>
              <c:strCache>
                <c:ptCount val="29"/>
                <c:pt idx="0">
                  <c:v>Finland</c:v>
                </c:pt>
                <c:pt idx="1">
                  <c:v>Denmark</c:v>
                </c:pt>
                <c:pt idx="2">
                  <c:v>Sweden**</c:v>
                </c:pt>
                <c:pt idx="3">
                  <c:v>Belgium</c:v>
                </c:pt>
                <c:pt idx="4">
                  <c:v>Ireland**</c:v>
                </c:pt>
                <c:pt idx="5">
                  <c:v>United Kingdom**</c:v>
                </c:pt>
                <c:pt idx="6">
                  <c:v>Netherlands**</c:v>
                </c:pt>
                <c:pt idx="7">
                  <c:v>Croatia</c:v>
                </c:pt>
                <c:pt idx="8">
                  <c:v>Malta**</c:v>
                </c:pt>
                <c:pt idx="9">
                  <c:v>Spain</c:v>
                </c:pt>
                <c:pt idx="10">
                  <c:v>Lithuania</c:v>
                </c:pt>
                <c:pt idx="11">
                  <c:v>Estonia**</c:v>
                </c:pt>
                <c:pt idx="12">
                  <c:v>Portugal</c:v>
                </c:pt>
                <c:pt idx="13">
                  <c:v>Slovakia</c:v>
                </c:pt>
                <c:pt idx="14">
                  <c:v>Slovenia</c:v>
                </c:pt>
                <c:pt idx="15">
                  <c:v>Czech Republic</c:v>
                </c:pt>
                <c:pt idx="16">
                  <c:v>Cyprus</c:v>
                </c:pt>
                <c:pt idx="17">
                  <c:v>Italy**</c:v>
                </c:pt>
                <c:pt idx="18">
                  <c:v>Austria</c:v>
                </c:pt>
                <c:pt idx="19">
                  <c:v>EU28**</c:v>
                </c:pt>
                <c:pt idx="20">
                  <c:v>Luxembourg**</c:v>
                </c:pt>
                <c:pt idx="21">
                  <c:v>France**</c:v>
                </c:pt>
                <c:pt idx="22">
                  <c:v>Hungary</c:v>
                </c:pt>
                <c:pt idx="23">
                  <c:v>Germany**</c:v>
                </c:pt>
                <c:pt idx="24">
                  <c:v>Latvia</c:v>
                </c:pt>
                <c:pt idx="25">
                  <c:v>Greece</c:v>
                </c:pt>
                <c:pt idx="26">
                  <c:v>Romania</c:v>
                </c:pt>
                <c:pt idx="27">
                  <c:v>Poland</c:v>
                </c:pt>
                <c:pt idx="28">
                  <c:v>Bulgaria</c:v>
                </c:pt>
              </c:strCache>
            </c:strRef>
          </c:cat>
          <c:val>
            <c:numRef>
              <c:f>D_ENG!$M$372:$M$400</c:f>
              <c:numCache>
                <c:formatCode>0%</c:formatCode>
                <c:ptCount val="29"/>
                <c:pt idx="0">
                  <c:v>0.88585499999999995</c:v>
                </c:pt>
                <c:pt idx="1">
                  <c:v>0.681172</c:v>
                </c:pt>
                <c:pt idx="2">
                  <c:v>0.72804899999999995</c:v>
                </c:pt>
                <c:pt idx="3">
                  <c:v>0.75602899999999995</c:v>
                </c:pt>
                <c:pt idx="4">
                  <c:v>0.63170300000000001</c:v>
                </c:pt>
                <c:pt idx="5">
                  <c:v>0.61255199999999999</c:v>
                </c:pt>
                <c:pt idx="6">
                  <c:v>0.57501599999999997</c:v>
                </c:pt>
                <c:pt idx="7">
                  <c:v>0.48474600000000001</c:v>
                </c:pt>
                <c:pt idx="8">
                  <c:v>0.480769</c:v>
                </c:pt>
                <c:pt idx="9">
                  <c:v>0.50726800000000005</c:v>
                </c:pt>
                <c:pt idx="10">
                  <c:v>0.48314600000000002</c:v>
                </c:pt>
                <c:pt idx="11">
                  <c:v>0.44793899999999998</c:v>
                </c:pt>
                <c:pt idx="12">
                  <c:v>0.54630500000000004</c:v>
                </c:pt>
                <c:pt idx="13">
                  <c:v>0.32007400000000003</c:v>
                </c:pt>
                <c:pt idx="14">
                  <c:v>0.54128399999999999</c:v>
                </c:pt>
                <c:pt idx="15">
                  <c:v>0.387401</c:v>
                </c:pt>
                <c:pt idx="16">
                  <c:v>0.41145799999999999</c:v>
                </c:pt>
                <c:pt idx="17">
                  <c:v>0.49935000000000002</c:v>
                </c:pt>
                <c:pt idx="18">
                  <c:v>0.42572500000000002</c:v>
                </c:pt>
                <c:pt idx="19">
                  <c:v>0.44794499999999998</c:v>
                </c:pt>
                <c:pt idx="20">
                  <c:v>0.47593999999999997</c:v>
                </c:pt>
                <c:pt idx="21">
                  <c:v>0.48110900000000001</c:v>
                </c:pt>
                <c:pt idx="22">
                  <c:v>0.38721699999999998</c:v>
                </c:pt>
                <c:pt idx="23">
                  <c:v>0.38229200000000002</c:v>
                </c:pt>
                <c:pt idx="24">
                  <c:v>0.358491</c:v>
                </c:pt>
                <c:pt idx="25">
                  <c:v>0.380409</c:v>
                </c:pt>
                <c:pt idx="26">
                  <c:v>0.25654500000000002</c:v>
                </c:pt>
                <c:pt idx="27">
                  <c:v>0.37082700000000002</c:v>
                </c:pt>
                <c:pt idx="28">
                  <c:v>0.28570400000000001</c:v>
                </c:pt>
              </c:numCache>
            </c:numRef>
          </c:val>
          <c:extLst>
            <c:ext xmlns:c16="http://schemas.microsoft.com/office/drawing/2014/chart" uri="{C3380CC4-5D6E-409C-BE32-E72D297353CC}">
              <c16:uniqueId val="{0000001B-6911-48B6-82A2-32ED41AA4993}"/>
            </c:ext>
          </c:extLst>
        </c:ser>
        <c:dLbls>
          <c:showLegendKey val="0"/>
          <c:showVal val="0"/>
          <c:showCatName val="0"/>
          <c:showSerName val="0"/>
          <c:showPercent val="0"/>
          <c:showBubbleSize val="0"/>
        </c:dLbls>
        <c:gapWidth val="200"/>
        <c:axId val="179133440"/>
        <c:axId val="184442176"/>
      </c:barChart>
      <c:catAx>
        <c:axId val="179130880"/>
        <c:scaling>
          <c:orientation val="minMax"/>
        </c:scaling>
        <c:delete val="0"/>
        <c:axPos val="b"/>
        <c:numFmt formatCode="General" sourceLinked="0"/>
        <c:majorTickMark val="out"/>
        <c:minorTickMark val="none"/>
        <c:tickLblPos val="nextTo"/>
        <c:spPr>
          <a:ln w="3175">
            <a:solidFill>
              <a:schemeClr val="tx1"/>
            </a:solidFill>
          </a:ln>
        </c:spPr>
        <c:crossAx val="184441600"/>
        <c:crosses val="autoZero"/>
        <c:auto val="1"/>
        <c:lblAlgn val="ctr"/>
        <c:lblOffset val="100"/>
        <c:noMultiLvlLbl val="0"/>
      </c:catAx>
      <c:valAx>
        <c:axId val="184441600"/>
        <c:scaling>
          <c:orientation val="minMax"/>
          <c:max val="1"/>
          <c:min val="0"/>
        </c:scaling>
        <c:delete val="1"/>
        <c:axPos val="l"/>
        <c:numFmt formatCode="0%" sourceLinked="1"/>
        <c:majorTickMark val="out"/>
        <c:minorTickMark val="none"/>
        <c:tickLblPos val="nextTo"/>
        <c:crossAx val="179130880"/>
        <c:crosses val="autoZero"/>
        <c:crossBetween val="between"/>
        <c:majorUnit val="0.25"/>
        <c:minorUnit val="0.05"/>
      </c:valAx>
      <c:valAx>
        <c:axId val="184442176"/>
        <c:scaling>
          <c:orientation val="minMax"/>
          <c:max val="1"/>
        </c:scaling>
        <c:delete val="0"/>
        <c:axPos val="r"/>
        <c:numFmt formatCode="0%" sourceLinked="1"/>
        <c:majorTickMark val="none"/>
        <c:minorTickMark val="none"/>
        <c:tickLblPos val="none"/>
        <c:crossAx val="179133440"/>
        <c:crosses val="max"/>
        <c:crossBetween val="between"/>
        <c:majorUnit val="0.25"/>
      </c:valAx>
      <c:catAx>
        <c:axId val="179133440"/>
        <c:scaling>
          <c:orientation val="minMax"/>
        </c:scaling>
        <c:delete val="1"/>
        <c:axPos val="b"/>
        <c:numFmt formatCode="General" sourceLinked="0"/>
        <c:majorTickMark val="out"/>
        <c:minorTickMark val="none"/>
        <c:tickLblPos val="none"/>
        <c:crossAx val="184442176"/>
        <c:crosses val="autoZero"/>
        <c:auto val="1"/>
        <c:lblAlgn val="ctr"/>
        <c:lblOffset val="100"/>
        <c:noMultiLvlLbl val="0"/>
      </c:catAx>
      <c:spPr>
        <a:ln>
          <a:solidFill>
            <a:schemeClr val="tx1">
              <a:tint val="75000"/>
              <a:shade val="95000"/>
              <a:satMod val="105000"/>
            </a:schemeClr>
          </a:solidFill>
        </a:ln>
      </c:spPr>
    </c:plotArea>
    <c:legend>
      <c:legendPos val="r"/>
      <c:layout>
        <c:manualLayout>
          <c:xMode val="edge"/>
          <c:yMode val="edge"/>
          <c:x val="0.61379928747778401"/>
          <c:y val="0.13253055555555601"/>
          <c:w val="0.33940456947091602"/>
          <c:h val="0.116382098765432"/>
        </c:manualLayout>
      </c:layout>
      <c:overlay val="0"/>
      <c:spPr>
        <a:solidFill>
          <a:schemeClr val="bg1"/>
        </a:solidFill>
        <a:ln>
          <a:solidFill>
            <a:schemeClr val="bg1">
              <a:lumMod val="50000"/>
            </a:schemeClr>
          </a:solidFill>
        </a:ln>
      </c:spPr>
      <c:txPr>
        <a:bodyPr/>
        <a:lstStyle/>
        <a:p>
          <a:pPr>
            <a:defRPr b="0"/>
          </a:pPr>
          <a:endParaRPr lang="cs-CZ"/>
        </a:p>
      </c:txPr>
    </c:legend>
    <c:plotVisOnly val="1"/>
    <c:dispBlanksAs val="gap"/>
    <c:showDLblsOverMax val="0"/>
  </c:chart>
  <c:spPr>
    <a:solidFill>
      <a:schemeClr val="bg1"/>
    </a:solidFill>
    <a:ln>
      <a:noFill/>
    </a:ln>
  </c:spPr>
  <c:txPr>
    <a:bodyPr/>
    <a:lstStyle/>
    <a:p>
      <a:pPr>
        <a:defRPr sz="80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1180790724E-2"/>
          <c:y val="0.175892656275108"/>
          <c:w val="0.96494603737260098"/>
          <c:h val="0.53591622475761902"/>
        </c:manualLayout>
      </c:layout>
      <c:barChart>
        <c:barDir val="col"/>
        <c:grouping val="clustered"/>
        <c:varyColors val="0"/>
        <c:ser>
          <c:idx val="0"/>
          <c:order val="0"/>
          <c:tx>
            <c:strRef>
              <c:f>D_ENG!$H$391</c:f>
              <c:strCache>
                <c:ptCount val="1"/>
                <c:pt idx="0">
                  <c:v> 2010</c:v>
                </c:pt>
              </c:strCache>
            </c:strRef>
          </c:tx>
          <c:spPr>
            <a:solidFill>
              <a:srgbClr val="ABF3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D_ENG!$G$392:$G$395</c:f>
              <c:strCache>
                <c:ptCount val="4"/>
                <c:pt idx="0">
                  <c:v>Total</c:v>
                </c:pt>
                <c:pt idx="1">
                  <c:v>Small</c:v>
                </c:pt>
                <c:pt idx="2">
                  <c:v>Medium</c:v>
                </c:pt>
                <c:pt idx="3">
                  <c:v>Large</c:v>
                </c:pt>
              </c:strCache>
            </c:strRef>
          </c:cat>
          <c:val>
            <c:numRef>
              <c:f>D_ENG!$H$392:$H$395</c:f>
              <c:numCache>
                <c:formatCode>0%</c:formatCode>
                <c:ptCount val="4"/>
                <c:pt idx="0">
                  <c:v>0.21</c:v>
                </c:pt>
                <c:pt idx="1">
                  <c:v>0.13</c:v>
                </c:pt>
                <c:pt idx="2">
                  <c:v>0.45</c:v>
                </c:pt>
                <c:pt idx="3">
                  <c:v>0.73</c:v>
                </c:pt>
              </c:numCache>
            </c:numRef>
          </c:val>
          <c:extLst>
            <c:ext xmlns:c16="http://schemas.microsoft.com/office/drawing/2014/chart" uri="{C3380CC4-5D6E-409C-BE32-E72D297353CC}">
              <c16:uniqueId val="{00000000-D891-4425-9102-A7E4C24D5E90}"/>
            </c:ext>
          </c:extLst>
        </c:ser>
        <c:ser>
          <c:idx val="1"/>
          <c:order val="1"/>
          <c:tx>
            <c:strRef>
              <c:f>D_ENG!$I$391</c:f>
              <c:strCache>
                <c:ptCount val="1"/>
                <c:pt idx="0">
                  <c:v> 2015</c:v>
                </c:pt>
              </c:strCache>
            </c:strRef>
          </c:tx>
          <c:spPr>
            <a:solidFill>
              <a:srgbClr val="47E5FF"/>
            </a:solidFill>
          </c:spPr>
          <c:invertIfNegative val="0"/>
          <c:dLbls>
            <c:numFmt formatCode="0%" sourceLinked="0"/>
            <c:spPr>
              <a:noFill/>
              <a:ln>
                <a:noFill/>
              </a:ln>
              <a:effectLst/>
            </c:spPr>
            <c:txPr>
              <a:bodyPr rot="-5400000" vert="horz"/>
              <a:lstStyle/>
              <a:p>
                <a:pPr>
                  <a:defRPr b="1"/>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D_ENG!$G$392:$G$395</c:f>
              <c:strCache>
                <c:ptCount val="4"/>
                <c:pt idx="0">
                  <c:v>Total</c:v>
                </c:pt>
                <c:pt idx="1">
                  <c:v>Small</c:v>
                </c:pt>
                <c:pt idx="2">
                  <c:v>Medium</c:v>
                </c:pt>
                <c:pt idx="3">
                  <c:v>Large</c:v>
                </c:pt>
              </c:strCache>
            </c:strRef>
          </c:cat>
          <c:val>
            <c:numRef>
              <c:f>D_ENG!$I$392:$I$395</c:f>
              <c:numCache>
                <c:formatCode>0%</c:formatCode>
                <c:ptCount val="4"/>
                <c:pt idx="0">
                  <c:v>0.3</c:v>
                </c:pt>
                <c:pt idx="1">
                  <c:v>0.21</c:v>
                </c:pt>
                <c:pt idx="2">
                  <c:v>0.57999999999999996</c:v>
                </c:pt>
                <c:pt idx="3">
                  <c:v>0.82</c:v>
                </c:pt>
              </c:numCache>
            </c:numRef>
          </c:val>
          <c:extLst>
            <c:ext xmlns:c16="http://schemas.microsoft.com/office/drawing/2014/chart" uri="{C3380CC4-5D6E-409C-BE32-E72D297353CC}">
              <c16:uniqueId val="{00000001-D891-4425-9102-A7E4C24D5E90}"/>
            </c:ext>
          </c:extLst>
        </c:ser>
        <c:ser>
          <c:idx val="2"/>
          <c:order val="2"/>
          <c:tx>
            <c:strRef>
              <c:f>D_ENG!$J$391</c:f>
              <c:strCache>
                <c:ptCount val="1"/>
                <c:pt idx="0">
                  <c:v> 2017</c:v>
                </c:pt>
              </c:strCache>
            </c:strRef>
          </c:tx>
          <c:spPr>
            <a:solidFill>
              <a:srgbClr val="009BB4"/>
            </a:solidFill>
          </c:spPr>
          <c:invertIfNegative val="0"/>
          <c:dLbls>
            <c:numFmt formatCode="0%" sourceLinked="0"/>
            <c:spPr>
              <a:noFill/>
              <a:ln>
                <a:noFill/>
              </a:ln>
              <a:effectLst/>
            </c:spPr>
            <c:txPr>
              <a:bodyPr rot="-5400000" vert="horz"/>
              <a:lstStyle/>
              <a:p>
                <a:pPr>
                  <a:defRPr b="1">
                    <a:solidFill>
                      <a:schemeClr val="bg1"/>
                    </a:solidFill>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D_ENG!$G$392:$G$395</c:f>
              <c:strCache>
                <c:ptCount val="4"/>
                <c:pt idx="0">
                  <c:v>Total</c:v>
                </c:pt>
                <c:pt idx="1">
                  <c:v>Small</c:v>
                </c:pt>
                <c:pt idx="2">
                  <c:v>Medium</c:v>
                </c:pt>
                <c:pt idx="3">
                  <c:v>Large</c:v>
                </c:pt>
              </c:strCache>
            </c:strRef>
          </c:cat>
          <c:val>
            <c:numRef>
              <c:f>D_ENG!$J$392:$J$395</c:f>
              <c:numCache>
                <c:formatCode>0%</c:formatCode>
                <c:ptCount val="4"/>
                <c:pt idx="0">
                  <c:v>0.28000000000000003</c:v>
                </c:pt>
                <c:pt idx="1">
                  <c:v>0.2</c:v>
                </c:pt>
                <c:pt idx="2">
                  <c:v>0.53</c:v>
                </c:pt>
                <c:pt idx="3">
                  <c:v>0.77</c:v>
                </c:pt>
              </c:numCache>
            </c:numRef>
          </c:val>
          <c:extLst>
            <c:ext xmlns:c16="http://schemas.microsoft.com/office/drawing/2014/chart" uri="{C3380CC4-5D6E-409C-BE32-E72D297353CC}">
              <c16:uniqueId val="{00000002-D891-4425-9102-A7E4C24D5E90}"/>
            </c:ext>
          </c:extLst>
        </c:ser>
        <c:dLbls>
          <c:showLegendKey val="0"/>
          <c:showVal val="1"/>
          <c:showCatName val="0"/>
          <c:showSerName val="0"/>
          <c:showPercent val="0"/>
          <c:showBubbleSize val="0"/>
        </c:dLbls>
        <c:gapWidth val="50"/>
        <c:overlap val="1"/>
        <c:axId val="179131904"/>
        <c:axId val="177333376"/>
      </c:barChart>
      <c:catAx>
        <c:axId val="179131904"/>
        <c:scaling>
          <c:orientation val="minMax"/>
        </c:scaling>
        <c:delete val="0"/>
        <c:axPos val="b"/>
        <c:numFmt formatCode="General" sourceLinked="1"/>
        <c:majorTickMark val="out"/>
        <c:minorTickMark val="none"/>
        <c:tickLblPos val="nextTo"/>
        <c:spPr>
          <a:ln w="3175">
            <a:solidFill>
              <a:schemeClr val="tx1"/>
            </a:solidFill>
          </a:ln>
        </c:spPr>
        <c:crossAx val="177333376"/>
        <c:crosses val="autoZero"/>
        <c:auto val="1"/>
        <c:lblAlgn val="ctr"/>
        <c:lblOffset val="100"/>
        <c:noMultiLvlLbl val="0"/>
      </c:catAx>
      <c:valAx>
        <c:axId val="177333376"/>
        <c:scaling>
          <c:orientation val="minMax"/>
          <c:max val="1"/>
          <c:min val="0"/>
        </c:scaling>
        <c:delete val="0"/>
        <c:axPos val="l"/>
        <c:numFmt formatCode="0%" sourceLinked="1"/>
        <c:majorTickMark val="none"/>
        <c:minorTickMark val="none"/>
        <c:tickLblPos val="none"/>
        <c:crossAx val="179131904"/>
        <c:crosses val="autoZero"/>
        <c:crossBetween val="between"/>
      </c:valAx>
      <c:spPr>
        <a:ln w="12700">
          <a:solidFill>
            <a:srgbClr val="A6A6A6"/>
          </a:solidFill>
        </a:ln>
      </c:spPr>
    </c:plotArea>
    <c:legend>
      <c:legendPos val="t"/>
      <c:layout>
        <c:manualLayout>
          <c:xMode val="edge"/>
          <c:yMode val="edge"/>
          <c:x val="0.134556430446194"/>
          <c:y val="0.22664684771546401"/>
          <c:w val="0.44906456692913399"/>
          <c:h val="0.10099041191279701"/>
        </c:manualLayout>
      </c:layout>
      <c:overlay val="0"/>
      <c:spPr>
        <a:ln>
          <a:solidFill>
            <a:schemeClr val="bg1">
              <a:lumMod val="50000"/>
            </a:schemeClr>
          </a:solidFill>
        </a:ln>
      </c:spPr>
    </c:legend>
    <c:plotVisOnly val="1"/>
    <c:dispBlanksAs val="gap"/>
    <c:showDLblsOverMax val="0"/>
  </c:chart>
  <c:spPr>
    <a:ln>
      <a:noFill/>
    </a:ln>
  </c:spPr>
  <c:txPr>
    <a:bodyPr/>
    <a:lstStyle/>
    <a:p>
      <a:pPr>
        <a:defRPr sz="800" baseline="0">
          <a:latin typeface="Arial" panose="020B0604020202020204" pitchFamily="34" charset="0"/>
          <a:cs typeface="Arial" panose="020B0604020202020204" pitchFamily="34" charset="0"/>
        </a:defRPr>
      </a:pPr>
      <a:endParaRPr lang="cs-CZ"/>
    </a:p>
  </c:txPr>
  <c:externalData r:id="rId1">
    <c:autoUpdate val="0"/>
  </c:externalData>
  <c:userShapes r:id="rId2"/>
</c:chartSpace>
</file>

<file path=word/drawings/_rels/drawing26.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100.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D25 Enterprises in the</a:t>
          </a:r>
          <a:r>
            <a:rPr lang="cs-CZ" sz="800" b="1" baseline="0">
              <a:latin typeface="Arial" pitchFamily="34" charset="0"/>
              <a:cs typeface="Arial" pitchFamily="34" charset="0"/>
            </a:rPr>
            <a:t> Czech Republic</a:t>
          </a:r>
          <a:r>
            <a:rPr lang="cs-CZ" sz="800" b="1">
              <a:latin typeface="Arial" pitchFamily="34" charset="0"/>
              <a:cs typeface="Arial" pitchFamily="34" charset="0"/>
            </a:rPr>
            <a:t> using </a:t>
          </a:r>
        </a:p>
        <a:p xmlns:a="http://schemas.openxmlformats.org/drawingml/2006/main">
          <a:pPr algn="ctr"/>
          <a:r>
            <a:rPr lang="cs-CZ" sz="800" b="1">
              <a:latin typeface="Arial" pitchFamily="34" charset="0"/>
              <a:cs typeface="Arial" pitchFamily="34" charset="0"/>
            </a:rPr>
            <a:t>a CRM software application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0.02667</cdr:x>
      <cdr:y>0.83163</cdr:y>
    </cdr:from>
    <cdr:to>
      <cdr:x>1</cdr:x>
      <cdr:y>0.95918</cdr:y>
    </cdr:to>
    <cdr:sp macro="" textlink="">
      <cdr:nvSpPr>
        <cdr:cNvPr id="6" name="TextovéPole 1"/>
        <cdr:cNvSpPr txBox="1"/>
      </cdr:nvSpPr>
      <cdr:spPr>
        <a:xfrm xmlns:a="http://schemas.openxmlformats.org/drawingml/2006/main">
          <a:off x="76200" y="1552566"/>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0.0143</cdr:x>
      <cdr:y>0.90938</cdr:y>
    </cdr:from>
    <cdr:to>
      <cdr:x>0.61127</cdr:x>
      <cdr:y>0.98476</cdr:y>
    </cdr:to>
    <cdr:sp macro="" textlink="">
      <cdr:nvSpPr>
        <cdr:cNvPr id="4" name="TextovéPole 1"/>
        <cdr:cNvSpPr txBox="1"/>
      </cdr:nvSpPr>
      <cdr:spPr>
        <a:xfrm xmlns:a="http://schemas.openxmlformats.org/drawingml/2006/main">
          <a:off x="88919" y="2946389"/>
          <a:ext cx="3711555"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cdr:txBody>
    </cdr:sp>
  </cdr:relSizeAnchor>
</c:userShapes>
</file>

<file path=word/drawings/drawing102.xml><?xml version="1.0" encoding="utf-8"?>
<c:userShapes xmlns:c="http://schemas.openxmlformats.org/drawingml/2006/chart">
  <cdr:relSizeAnchor xmlns:cdr="http://schemas.openxmlformats.org/drawingml/2006/chartDrawing">
    <cdr:from>
      <cdr:x>0.02667</cdr:x>
      <cdr:y>0.8859</cdr:y>
    </cdr:from>
    <cdr:to>
      <cdr:x>1</cdr:x>
      <cdr:y>0.98205</cdr:y>
    </cdr:to>
    <cdr:sp macro="" textlink="">
      <cdr:nvSpPr>
        <cdr:cNvPr id="4" name="TextovéPole 1"/>
        <cdr:cNvSpPr txBox="1"/>
      </cdr:nvSpPr>
      <cdr:spPr>
        <a:xfrm xmlns:a="http://schemas.openxmlformats.org/drawingml/2006/main">
          <a:off x="76200" y="21939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3.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D28 Enterprises in the Czech Republic </a:t>
          </a:r>
        </a:p>
        <a:p xmlns:a="http://schemas.openxmlformats.org/drawingml/2006/main">
          <a:pPr algn="ctr"/>
          <a:r>
            <a:rPr lang="cs-CZ" sz="800" b="1">
              <a:latin typeface="Arial" pitchFamily="34" charset="0"/>
              <a:cs typeface="Arial" pitchFamily="34" charset="0"/>
            </a:rPr>
            <a:t>using data boxes for sending invoices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0.01778</cdr:x>
      <cdr:y>0.86582</cdr:y>
    </cdr:from>
    <cdr:to>
      <cdr:x>0.99111</cdr:x>
      <cdr:y>0.99338</cdr:y>
    </cdr:to>
    <cdr:sp macro="" textlink="">
      <cdr:nvSpPr>
        <cdr:cNvPr id="6" name="TextovéPole 1"/>
        <cdr:cNvSpPr txBox="1"/>
      </cdr:nvSpPr>
      <cdr:spPr>
        <a:xfrm xmlns:a="http://schemas.openxmlformats.org/drawingml/2006/main">
          <a:off x="50806" y="2493337"/>
          <a:ext cx="2781291" cy="367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4.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0.03159</cdr:x>
      <cdr:y>0.78625</cdr:y>
    </cdr:from>
    <cdr:to>
      <cdr:x>0.94418</cdr:x>
      <cdr:y>0.96329</cdr:y>
    </cdr:to>
    <cdr:sp macro="" textlink="">
      <cdr:nvSpPr>
        <cdr:cNvPr id="4" name="TextovéPole 1"/>
        <cdr:cNvSpPr txBox="1"/>
      </cdr:nvSpPr>
      <cdr:spPr>
        <a:xfrm xmlns:a="http://schemas.openxmlformats.org/drawingml/2006/main">
          <a:off x="188687" y="2447925"/>
          <a:ext cx="5450113" cy="551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enterprises with 10+ employees in a given country</a:t>
          </a:r>
          <a:endParaRPr lang="cs-CZ" sz="800">
            <a:effectLst/>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data for year</a:t>
          </a:r>
          <a:r>
            <a:rPr lang="cs-CZ" sz="800" baseline="0">
              <a:latin typeface="Arial" panose="020B0604020202020204" pitchFamily="34" charset="0"/>
              <a:cs typeface="Arial" panose="020B0604020202020204" pitchFamily="34" charset="0"/>
            </a:rPr>
            <a:t> </a:t>
          </a:r>
          <a:r>
            <a:rPr lang="cs-CZ" sz="800">
              <a:latin typeface="Arial" panose="020B0604020202020204" pitchFamily="34" charset="0"/>
              <a:cs typeface="Arial" panose="020B0604020202020204" pitchFamily="34" charset="0"/>
            </a:rPr>
            <a:t>2016</a:t>
          </a:r>
        </a:p>
        <a:p xmlns:a="http://schemas.openxmlformats.org/drawingml/2006/main">
          <a:pPr algn="l"/>
          <a:r>
            <a:rPr lang="cs-CZ" sz="800">
              <a:latin typeface="Arial" panose="020B0604020202020204" pitchFamily="34" charset="0"/>
              <a:cs typeface="Arial" panose="020B0604020202020204" pitchFamily="34" charset="0"/>
            </a:rPr>
            <a:t>*** Invoices in electronic form in a standard structure suitable for automated processing (e.g. EDI, XML, ISDOC) that are exchanged either directly or via service operators or via an electronic banking system.</a:t>
          </a:r>
        </a:p>
      </cdr:txBody>
    </cdr:sp>
  </cdr:relSizeAnchor>
</c:userShapes>
</file>

<file path=word/drawings/drawing105.xml><?xml version="1.0" encoding="utf-8"?>
<c:userShapes xmlns:c="http://schemas.openxmlformats.org/drawingml/2006/chart">
  <cdr:relSizeAnchor xmlns:cdr="http://schemas.openxmlformats.org/drawingml/2006/chartDrawing">
    <cdr:from>
      <cdr:x>0.01667</cdr:x>
      <cdr:y>0</cdr:y>
    </cdr:from>
    <cdr:to>
      <cdr:x>0.97512</cdr:x>
      <cdr:y>0.14027</cdr:y>
    </cdr:to>
    <cdr:sp macro="" textlink="">
      <cdr:nvSpPr>
        <cdr:cNvPr id="3" name="TextovéPole 1"/>
        <cdr:cNvSpPr txBox="1"/>
      </cdr:nvSpPr>
      <cdr:spPr>
        <a:xfrm xmlns:a="http://schemas.openxmlformats.org/drawingml/2006/main">
          <a:off x="49805" y="-4229100"/>
          <a:ext cx="2863537" cy="42914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D30 Enterprises in the Czech Republic  purchasing over computer networks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0.01667</cdr:x>
      <cdr:y>0.88144</cdr:y>
    </cdr:from>
    <cdr:to>
      <cdr:x>0.99</cdr:x>
      <cdr:y>0.99315</cdr:y>
    </cdr:to>
    <cdr:sp macro="" textlink="">
      <cdr:nvSpPr>
        <cdr:cNvPr id="6" name="TextovéPole 1"/>
        <cdr:cNvSpPr txBox="1"/>
      </cdr:nvSpPr>
      <cdr:spPr>
        <a:xfrm xmlns:a="http://schemas.openxmlformats.org/drawingml/2006/main">
          <a:off x="49805" y="2696714"/>
          <a:ext cx="2907993" cy="341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6.xml><?xml version="1.0" encoding="utf-8"?>
<c:userShapes xmlns:c="http://schemas.openxmlformats.org/drawingml/2006/chart">
  <cdr:relSizeAnchor xmlns:cdr="http://schemas.openxmlformats.org/drawingml/2006/chartDrawing">
    <cdr:from>
      <cdr:x>0</cdr:x>
      <cdr:y>0.90081</cdr:y>
    </cdr:from>
    <cdr:to>
      <cdr:x>0.9932</cdr:x>
      <cdr:y>0.98732</cdr:y>
    </cdr:to>
    <cdr:sp macro="" textlink="">
      <cdr:nvSpPr>
        <cdr:cNvPr id="2" name="TextovéPole 1"/>
        <cdr:cNvSpPr txBox="1"/>
      </cdr:nvSpPr>
      <cdr:spPr>
        <a:xfrm xmlns:a="http://schemas.openxmlformats.org/drawingml/2006/main">
          <a:off x="0" y="247967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7.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0.89762</cdr:y>
    </cdr:from>
    <cdr:to>
      <cdr:x>0.66489</cdr:x>
      <cdr:y>1</cdr:y>
    </cdr:to>
    <cdr:sp macro="" textlink="">
      <cdr:nvSpPr>
        <cdr:cNvPr id="4" name="TextovéPole 1"/>
        <cdr:cNvSpPr txBox="1"/>
      </cdr:nvSpPr>
      <cdr:spPr>
        <a:xfrm xmlns:a="http://schemas.openxmlformats.org/drawingml/2006/main">
          <a:off x="122012" y="2794655"/>
          <a:ext cx="3848827" cy="318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enterprises with 10+ employees in a given country</a:t>
          </a:r>
          <a:endParaRPr lang="cs-CZ" sz="800">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data for year 2015</a:t>
          </a:r>
        </a:p>
      </cdr:txBody>
    </cdr:sp>
  </cdr:relSizeAnchor>
</c:userShapes>
</file>

<file path=word/drawings/drawing108.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D33 Enterprises in the Czech Republic </a:t>
          </a:r>
        </a:p>
        <a:p xmlns:a="http://schemas.openxmlformats.org/drawingml/2006/main">
          <a:pPr algn="ctr"/>
          <a:r>
            <a:rPr lang="cs-CZ" sz="800" b="1">
              <a:latin typeface="Arial" pitchFamily="34" charset="0"/>
              <a:cs typeface="Arial" pitchFamily="34" charset="0"/>
            </a:rPr>
            <a:t>selling over computer networks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0.01775</cdr:x>
      <cdr:y>0.87244</cdr:y>
    </cdr:from>
    <cdr:to>
      <cdr:x>0.99109</cdr:x>
      <cdr:y>1</cdr:y>
    </cdr:to>
    <cdr:sp macro="" textlink="">
      <cdr:nvSpPr>
        <cdr:cNvPr id="6" name="TextovéPole 1"/>
        <cdr:cNvSpPr txBox="1"/>
      </cdr:nvSpPr>
      <cdr:spPr>
        <a:xfrm xmlns:a="http://schemas.openxmlformats.org/drawingml/2006/main">
          <a:off x="51108" y="2669169"/>
          <a:ext cx="2802952" cy="390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09.xml><?xml version="1.0" encoding="utf-8"?>
<c:userShapes xmlns:c="http://schemas.openxmlformats.org/drawingml/2006/chart">
  <cdr:relSizeAnchor xmlns:cdr="http://schemas.openxmlformats.org/drawingml/2006/chartDrawing">
    <cdr:from>
      <cdr:x>0.0068</cdr:x>
      <cdr:y>0.90081</cdr:y>
    </cdr:from>
    <cdr:to>
      <cdr:x>1</cdr:x>
      <cdr:y>0.98732</cdr:y>
    </cdr:to>
    <cdr:sp macro="" textlink="">
      <cdr:nvSpPr>
        <cdr:cNvPr id="2" name="TextovéPole 1"/>
        <cdr:cNvSpPr txBox="1"/>
      </cdr:nvSpPr>
      <cdr:spPr>
        <a:xfrm xmlns:a="http://schemas.openxmlformats.org/drawingml/2006/main">
          <a:off x="19050" y="247967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0.0202</cdr:x>
      <cdr:y>4.27355E-7</cdr:y>
    </cdr:from>
    <cdr:to>
      <cdr:x>1</cdr:x>
      <cdr:y>0.14654</cdr:y>
    </cdr:to>
    <cdr:sp macro="" textlink="">
      <cdr:nvSpPr>
        <cdr:cNvPr id="3" name="TextovéPole 2"/>
        <cdr:cNvSpPr txBox="1"/>
      </cdr:nvSpPr>
      <cdr:spPr>
        <a:xfrm xmlns:a="http://schemas.openxmlformats.org/drawingml/2006/main">
          <a:off x="57601" y="1"/>
          <a:ext cx="2793550" cy="342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a:t>
          </a:r>
          <a:r>
            <a:rPr lang="en-US" sz="800" b="1" i="0" baseline="0">
              <a:effectLst/>
              <a:latin typeface="Arial" panose="020B0604020202020204" pitchFamily="34" charset="0"/>
              <a:ea typeface="+mn-ea"/>
              <a:cs typeface="Arial" panose="020B0604020202020204" pitchFamily="34" charset="0"/>
            </a:rPr>
            <a:t>A1</a:t>
          </a:r>
          <a:r>
            <a:rPr lang="cs-CZ" sz="800" b="1" i="0" baseline="0">
              <a:effectLst/>
              <a:latin typeface="Arial" panose="020B0604020202020204" pitchFamily="34" charset="0"/>
              <a:ea typeface="+mn-ea"/>
              <a:cs typeface="Arial" panose="020B0604020202020204" pitchFamily="34" charset="0"/>
            </a:rPr>
            <a:t>1</a:t>
          </a:r>
          <a:r>
            <a:rPr lang="en-US" sz="800" b="1" i="0" baseline="0">
              <a:effectLst/>
              <a:latin typeface="Arial" panose="020B0604020202020204" pitchFamily="34" charset="0"/>
              <a:ea typeface="+mn-ea"/>
              <a:cs typeface="Arial" panose="020B0604020202020204" pitchFamily="34" charset="0"/>
            </a:rPr>
            <a:t> </a:t>
          </a:r>
          <a:r>
            <a:rPr lang="cs-CZ" sz="800" b="1" i="0" baseline="0">
              <a:effectLst/>
              <a:latin typeface="Arial" panose="020B0604020202020204" pitchFamily="34" charset="0"/>
              <a:ea typeface="+mn-ea"/>
              <a:cs typeface="Arial" panose="020B0604020202020204" pitchFamily="34" charset="0"/>
            </a:rPr>
            <a:t>The average retail price for one outgoing called minute in the mobile network in CZK</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dr:relSizeAnchor xmlns:cdr="http://schemas.openxmlformats.org/drawingml/2006/chartDrawing">
    <cdr:from>
      <cdr:x>0.04913</cdr:x>
      <cdr:y>0.90908</cdr:y>
    </cdr:from>
    <cdr:to>
      <cdr:x>1</cdr:x>
      <cdr:y>0.97877</cdr:y>
    </cdr:to>
    <cdr:sp macro="" textlink="">
      <cdr:nvSpPr>
        <cdr:cNvPr id="4" name="TextovéPole 1"/>
        <cdr:cNvSpPr txBox="1"/>
      </cdr:nvSpPr>
      <cdr:spPr>
        <a:xfrm xmlns:a="http://schemas.openxmlformats.org/drawingml/2006/main">
          <a:off x="148569" y="2127250"/>
          <a:ext cx="2875431" cy="16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110.xml><?xml version="1.0" encoding="utf-8"?>
<c:userShapes xmlns:c="http://schemas.openxmlformats.org/drawingml/2006/chart">
  <cdr:relSizeAnchor xmlns:cdr="http://schemas.openxmlformats.org/drawingml/2006/chartDrawing">
    <cdr:from>
      <cdr:x>0.24051</cdr:x>
      <cdr:y>0.93282</cdr:y>
    </cdr:from>
    <cdr:to>
      <cdr:x>0.97217</cdr:x>
      <cdr:y>1</cdr:y>
    </cdr:to>
    <cdr:sp macro="" textlink="">
      <cdr:nvSpPr>
        <cdr:cNvPr id="2" name="TextovéPole 1"/>
        <cdr:cNvSpPr txBox="1"/>
      </cdr:nvSpPr>
      <cdr:spPr>
        <a:xfrm xmlns:a="http://schemas.openxmlformats.org/drawingml/2006/main">
          <a:off x="1436420" y="3294347"/>
          <a:ext cx="4369766" cy="2372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0.73286</cdr:y>
    </cdr:from>
    <cdr:to>
      <cdr:x>0.96651</cdr:x>
      <cdr:y>0.973</cdr:y>
    </cdr:to>
    <cdr:sp macro="" textlink="">
      <cdr:nvSpPr>
        <cdr:cNvPr id="4" name="TextovéPole 1"/>
        <cdr:cNvSpPr txBox="1"/>
      </cdr:nvSpPr>
      <cdr:spPr>
        <a:xfrm xmlns:a="http://schemas.openxmlformats.org/drawingml/2006/main">
          <a:off x="122012" y="2587901"/>
          <a:ext cx="5650138" cy="847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a:p xmlns:a="http://schemas.openxmlformats.org/drawingml/2006/main">
          <a:r>
            <a:rPr lang="cs-CZ" sz="800">
              <a:effectLst/>
              <a:latin typeface="Arial" panose="020B0604020202020204" pitchFamily="34" charset="0"/>
              <a:ea typeface="+mn-ea"/>
              <a:cs typeface="Arial" panose="020B0604020202020204" pitchFamily="34" charset="0"/>
            </a:rPr>
            <a:t>** Includes any enterprises that during the reference year received at least one electronic order over the internet or other computer network via a enterprise's website or ‘apps’ or via an e-commerce marketplace website or ‘apps’ used by several enterprises for trading products or by using EDI-type message.</a:t>
          </a:r>
          <a:endParaRPr lang="cs-CZ" sz="400">
            <a:effectLst/>
            <a:latin typeface="Arial" panose="020B0604020202020204" pitchFamily="34" charset="0"/>
            <a:cs typeface="Arial" panose="020B0604020202020204" pitchFamily="34" charset="0"/>
          </a:endParaRPr>
        </a:p>
        <a:p xmlns:a="http://schemas.openxmlformats.org/drawingml/2006/main">
          <a:r>
            <a:rPr lang="cs-CZ" sz="800">
              <a:effectLst/>
              <a:latin typeface="Arial" panose="020B0604020202020204" pitchFamily="34" charset="0"/>
              <a:ea typeface="+mn-ea"/>
              <a:cs typeface="Arial" panose="020B0604020202020204" pitchFamily="34" charset="0"/>
            </a:rPr>
            <a:t>*** Electronic transmission of messages suitable for automated processing, i.e. using EDI or XML standards for business-to-business eCommerce transactions without the individual messages being typed manually.</a:t>
          </a:r>
          <a:endParaRPr lang="cs-CZ" sz="400">
            <a:effectLst/>
            <a:latin typeface="Arial" panose="020B0604020202020204" pitchFamily="34" charset="0"/>
            <a:cs typeface="Arial" panose="020B0604020202020204" pitchFamily="34" charset="0"/>
          </a:endParaRPr>
        </a:p>
        <a:p xmlns:a="http://schemas.openxmlformats.org/drawingml/2006/main">
          <a:pPr algn="l"/>
          <a:endParaRPr lang="cs-CZ" sz="400">
            <a:latin typeface="Arial" panose="020B0604020202020204" pitchFamily="34" charset="0"/>
            <a:cs typeface="Arial" panose="020B0604020202020204" pitchFamily="34" charset="0"/>
          </a:endParaRPr>
        </a:p>
      </cdr:txBody>
    </cdr:sp>
  </cdr:relSizeAnchor>
</c:userShapes>
</file>

<file path=word/drawings/drawing111.xml><?xml version="1.0" encoding="utf-8"?>
<c:userShapes xmlns:c="http://schemas.openxmlformats.org/drawingml/2006/chart">
  <cdr:relSizeAnchor xmlns:cdr="http://schemas.openxmlformats.org/drawingml/2006/chartDrawing">
    <cdr:from>
      <cdr:x>3.59544E-7</cdr:x>
      <cdr:y>0</cdr:y>
    </cdr:from>
    <cdr:to>
      <cdr:x>1</cdr:x>
      <cdr:y>0.17647</cdr:y>
    </cdr:to>
    <cdr:sp macro="" textlink="">
      <cdr:nvSpPr>
        <cdr:cNvPr id="3" name="TextovéPole 1"/>
        <cdr:cNvSpPr txBox="1"/>
      </cdr:nvSpPr>
      <cdr:spPr>
        <a:xfrm xmlns:a="http://schemas.openxmlformats.org/drawingml/2006/main">
          <a:off x="1" y="0"/>
          <a:ext cx="2781299" cy="3714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D36 Enterprises in the Czech Republic </a:t>
          </a:r>
        </a:p>
        <a:p xmlns:a="http://schemas.openxmlformats.org/drawingml/2006/main">
          <a:pPr algn="ctr"/>
          <a:r>
            <a:rPr lang="cs-CZ" sz="800" b="1">
              <a:latin typeface="Arial" pitchFamily="34" charset="0"/>
              <a:cs typeface="Arial" pitchFamily="34" charset="0"/>
            </a:rPr>
            <a:t>providing employees with selected devices </a:t>
          </a:r>
        </a:p>
        <a:p xmlns:a="http://schemas.openxmlformats.org/drawingml/2006/main">
          <a:pPr algn="ctr"/>
          <a:r>
            <a:rPr lang="cs-CZ" sz="800" b="1">
              <a:latin typeface="Arial" pitchFamily="34" charset="0"/>
              <a:cs typeface="Arial" pitchFamily="34" charset="0"/>
            </a:rPr>
            <a:t>that</a:t>
          </a:r>
          <a:r>
            <a:rPr lang="cs-CZ" sz="800" b="1" baseline="0">
              <a:latin typeface="Arial" pitchFamily="34" charset="0"/>
              <a:cs typeface="Arial" pitchFamily="34" charset="0"/>
            </a:rPr>
            <a:t> </a:t>
          </a:r>
          <a:r>
            <a:rPr lang="cs-CZ" sz="800" b="1">
              <a:latin typeface="Arial" pitchFamily="34" charset="0"/>
              <a:cs typeface="Arial" pitchFamily="34" charset="0"/>
            </a:rPr>
            <a:t>allow internet connection; 2017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6"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2.xml><?xml version="1.0" encoding="utf-8"?>
<c:userShapes xmlns:c="http://schemas.openxmlformats.org/drawingml/2006/chart">
  <cdr:relSizeAnchor xmlns:cdr="http://schemas.openxmlformats.org/drawingml/2006/chartDrawing">
    <cdr:from>
      <cdr:x>0</cdr:x>
      <cdr:y>0</cdr:y>
    </cdr:from>
    <cdr:to>
      <cdr:x>0.95845</cdr:x>
      <cdr:y>0.16742</cdr:y>
    </cdr:to>
    <cdr:sp macro="" textlink="">
      <cdr:nvSpPr>
        <cdr:cNvPr id="3" name="TextovéPole 1"/>
        <cdr:cNvSpPr txBox="1"/>
      </cdr:nvSpPr>
      <cdr:spPr>
        <a:xfrm xmlns:a="http://schemas.openxmlformats.org/drawingml/2006/main">
          <a:off x="0" y="0"/>
          <a:ext cx="2665737" cy="3524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D37 Employees in the Czech Republic </a:t>
          </a:r>
        </a:p>
        <a:p xmlns:a="http://schemas.openxmlformats.org/drawingml/2006/main">
          <a:pPr algn="ctr"/>
          <a:r>
            <a:rPr lang="cs-CZ" sz="800" b="1">
              <a:latin typeface="Arial" pitchFamily="34" charset="0"/>
              <a:cs typeface="Arial" pitchFamily="34" charset="0"/>
            </a:rPr>
            <a:t>using portable devices that allow internet connection for business purposes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0.85671</cdr:y>
    </cdr:from>
    <cdr:to>
      <cdr:x>1</cdr:x>
      <cdr:y>0.96984</cdr:y>
    </cdr:to>
    <cdr:sp macro="" textlink="">
      <cdr:nvSpPr>
        <cdr:cNvPr id="6" name="TextovéPole 1"/>
        <cdr:cNvSpPr txBox="1"/>
      </cdr:nvSpPr>
      <cdr:spPr>
        <a:xfrm xmlns:a="http://schemas.openxmlformats.org/drawingml/2006/main">
          <a:off x="0" y="180340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3.xml><?xml version="1.0" encoding="utf-8"?>
<c:userShapes xmlns:c="http://schemas.openxmlformats.org/drawingml/2006/chart">
  <cdr:relSizeAnchor xmlns:cdr="http://schemas.openxmlformats.org/drawingml/2006/chartDrawing">
    <cdr:from>
      <cdr:x>0.24192</cdr:x>
      <cdr:y>0.92391</cdr:y>
    </cdr:from>
    <cdr:to>
      <cdr:x>0.97358</cdr:x>
      <cdr:y>0.99109</cdr:y>
    </cdr:to>
    <cdr:sp macro="" textlink="">
      <cdr:nvSpPr>
        <cdr:cNvPr id="2" name="TextovéPole 1"/>
        <cdr:cNvSpPr txBox="1"/>
      </cdr:nvSpPr>
      <cdr:spPr>
        <a:xfrm xmlns:a="http://schemas.openxmlformats.org/drawingml/2006/main">
          <a:off x="1504077" y="2993467"/>
          <a:ext cx="4548986" cy="2176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0.90938</cdr:y>
    </cdr:from>
    <cdr:to>
      <cdr:x>0.57603</cdr:x>
      <cdr:y>0.98476</cdr:y>
    </cdr:to>
    <cdr:sp macro="" textlink="">
      <cdr:nvSpPr>
        <cdr:cNvPr id="4" name="TextovéPole 1"/>
        <cdr:cNvSpPr txBox="1"/>
      </cdr:nvSpPr>
      <cdr:spPr>
        <a:xfrm xmlns:a="http://schemas.openxmlformats.org/drawingml/2006/main">
          <a:off x="127020" y="2946389"/>
          <a:ext cx="3454360"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in a given size class and country  </a:t>
          </a:r>
        </a:p>
      </cdr:txBody>
    </cdr:sp>
  </cdr:relSizeAnchor>
</c:userShapes>
</file>

<file path=word/drawings/drawing114.xml><?xml version="1.0" encoding="utf-8"?>
<c:userShapes xmlns:c="http://schemas.openxmlformats.org/drawingml/2006/chart">
  <cdr:relSizeAnchor xmlns:cdr="http://schemas.openxmlformats.org/drawingml/2006/chartDrawing">
    <cdr:from>
      <cdr:x>0.01027</cdr:x>
      <cdr:y>0.0181</cdr:y>
    </cdr:from>
    <cdr:to>
      <cdr:x>0.96872</cdr:x>
      <cdr:y>0.15837</cdr:y>
    </cdr:to>
    <cdr:sp macro="" textlink="">
      <cdr:nvSpPr>
        <cdr:cNvPr id="3" name="TextovéPole 1"/>
        <cdr:cNvSpPr txBox="1"/>
      </cdr:nvSpPr>
      <cdr:spPr>
        <a:xfrm xmlns:a="http://schemas.openxmlformats.org/drawingml/2006/main">
          <a:off x="28575" y="3810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D40 ICT specialists in enterprises with ICT specialists in the Czech Republic</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0.85671</cdr:y>
    </cdr:from>
    <cdr:to>
      <cdr:x>1</cdr:x>
      <cdr:y>0.96984</cdr:y>
    </cdr:to>
    <cdr:sp macro="" textlink="">
      <cdr:nvSpPr>
        <cdr:cNvPr id="6" name="TextovéPole 1"/>
        <cdr:cNvSpPr txBox="1"/>
      </cdr:nvSpPr>
      <cdr:spPr>
        <a:xfrm xmlns:a="http://schemas.openxmlformats.org/drawingml/2006/main">
          <a:off x="0" y="180340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5.xml><?xml version="1.0" encoding="utf-8"?>
<c:userShapes xmlns:c="http://schemas.openxmlformats.org/drawingml/2006/chart">
  <cdr:relSizeAnchor xmlns:cdr="http://schemas.openxmlformats.org/drawingml/2006/chartDrawing">
    <cdr:from>
      <cdr:x>0.01027</cdr:x>
      <cdr:y>0.0181</cdr:y>
    </cdr:from>
    <cdr:to>
      <cdr:x>0.96872</cdr:x>
      <cdr:y>0.15837</cdr:y>
    </cdr:to>
    <cdr:sp macro="" textlink="">
      <cdr:nvSpPr>
        <cdr:cNvPr id="3" name="TextovéPole 1"/>
        <cdr:cNvSpPr txBox="1"/>
      </cdr:nvSpPr>
      <cdr:spPr>
        <a:xfrm xmlns:a="http://schemas.openxmlformats.org/drawingml/2006/main">
          <a:off x="28575" y="3810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D39 ICT specialists in all enterprises </a:t>
          </a:r>
        </a:p>
        <a:p xmlns:a="http://schemas.openxmlformats.org/drawingml/2006/main">
          <a:pPr algn="ctr"/>
          <a:r>
            <a:rPr lang="cs-CZ" sz="800" b="1">
              <a:latin typeface="Arial" pitchFamily="34" charset="0"/>
              <a:cs typeface="Arial" pitchFamily="34" charset="0"/>
            </a:rPr>
            <a:t>in the Czech Republic</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0.8552</cdr:y>
    </cdr:from>
    <cdr:to>
      <cdr:x>1</cdr:x>
      <cdr:y>0.96833</cdr:y>
    </cdr:to>
    <cdr:sp macro="" textlink="">
      <cdr:nvSpPr>
        <cdr:cNvPr id="6" name="TextovéPole 1"/>
        <cdr:cNvSpPr txBox="1"/>
      </cdr:nvSpPr>
      <cdr:spPr>
        <a:xfrm xmlns:a="http://schemas.openxmlformats.org/drawingml/2006/main">
          <a:off x="0" y="1800216"/>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6.xml><?xml version="1.0" encoding="utf-8"?>
<c:userShapes xmlns:c="http://schemas.openxmlformats.org/drawingml/2006/chart">
  <cdr:relSizeAnchor xmlns:cdr="http://schemas.openxmlformats.org/drawingml/2006/chartDrawing">
    <cdr:from>
      <cdr:x>0.00412</cdr:x>
      <cdr:y>0.00751</cdr:y>
    </cdr:from>
    <cdr:to>
      <cdr:x>0.96257</cdr:x>
      <cdr:y>0.14778</cdr:y>
    </cdr:to>
    <cdr:sp macro="" textlink="">
      <cdr:nvSpPr>
        <cdr:cNvPr id="3" name="TextovéPole 1"/>
        <cdr:cNvSpPr txBox="1"/>
      </cdr:nvSpPr>
      <cdr:spPr>
        <a:xfrm xmlns:a="http://schemas.openxmlformats.org/drawingml/2006/main">
          <a:off x="12742" y="20284"/>
          <a:ext cx="2967002" cy="3786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D41 Enterprises in the Czech Republic having vacancies for ICT specialists that were difficult to fill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0.85671</cdr:y>
    </cdr:from>
    <cdr:to>
      <cdr:x>1</cdr:x>
      <cdr:y>0.96984</cdr:y>
    </cdr:to>
    <cdr:sp macro="" textlink="">
      <cdr:nvSpPr>
        <cdr:cNvPr id="6" name="TextovéPole 1"/>
        <cdr:cNvSpPr txBox="1"/>
      </cdr:nvSpPr>
      <cdr:spPr>
        <a:xfrm xmlns:a="http://schemas.openxmlformats.org/drawingml/2006/main">
          <a:off x="0" y="180340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7.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D42 Enterprises in the Czech Republic providing training for ICT specialists </a:t>
          </a:r>
        </a:p>
        <a:p xmlns:a="http://schemas.openxmlformats.org/drawingml/2006/main">
          <a:pPr algn="ctr"/>
          <a:r>
            <a:rPr lang="cs-CZ" sz="800" b="1">
              <a:latin typeface="Arial" pitchFamily="34" charset="0"/>
              <a:cs typeface="Arial" pitchFamily="34" charset="0"/>
            </a:rPr>
            <a:t>to develop their ICT related skills</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0.17347</cdr:y>
    </cdr:to>
    <cdr:sp macro="" textlink="">
      <cdr:nvSpPr>
        <cdr:cNvPr id="5" name="TextovéPole 1"/>
        <cdr:cNvSpPr txBox="1"/>
      </cdr:nvSpPr>
      <cdr:spPr>
        <a:xfrm xmlns:a="http://schemas.openxmlformats.org/drawingml/2006/main">
          <a:off x="0" y="0"/>
          <a:ext cx="2738771"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0.02111</cdr:x>
      <cdr:y>0.85204</cdr:y>
    </cdr:from>
    <cdr:to>
      <cdr:x>0.99444</cdr:x>
      <cdr:y>0.97959</cdr:y>
    </cdr:to>
    <cdr:sp macro="" textlink="">
      <cdr:nvSpPr>
        <cdr:cNvPr id="6" name="TextovéPole 1"/>
        <cdr:cNvSpPr txBox="1"/>
      </cdr:nvSpPr>
      <cdr:spPr>
        <a:xfrm xmlns:a="http://schemas.openxmlformats.org/drawingml/2006/main">
          <a:off x="60325" y="1590666"/>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118.xml><?xml version="1.0" encoding="utf-8"?>
<c:userShapes xmlns:c="http://schemas.openxmlformats.org/drawingml/2006/chart">
  <cdr:relSizeAnchor xmlns:cdr="http://schemas.openxmlformats.org/drawingml/2006/chartDrawing">
    <cdr:from>
      <cdr:x>0.04671</cdr:x>
      <cdr:y>0.08247</cdr:y>
    </cdr:from>
    <cdr:to>
      <cdr:x>0.99151</cdr:x>
      <cdr:y>0.12367</cdr:y>
    </cdr:to>
    <cdr:sp macro="" textlink="">
      <cdr:nvSpPr>
        <cdr:cNvPr id="2" name="TextovéPole 1"/>
        <cdr:cNvSpPr txBox="1"/>
      </cdr:nvSpPr>
      <cdr:spPr>
        <a:xfrm xmlns:a="http://schemas.openxmlformats.org/drawingml/2006/main">
          <a:off x="209551" y="222316"/>
          <a:ext cx="4238625" cy="1110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0.04246</cdr:x>
      <cdr:y>0</cdr:y>
    </cdr:from>
    <cdr:to>
      <cdr:x>0.98089</cdr:x>
      <cdr:y>0.20512</cdr:y>
    </cdr:to>
    <cdr:sp macro="" textlink="">
      <cdr:nvSpPr>
        <cdr:cNvPr id="3" name="TextovéPole 2"/>
        <cdr:cNvSpPr txBox="1"/>
      </cdr:nvSpPr>
      <cdr:spPr>
        <a:xfrm xmlns:a="http://schemas.openxmlformats.org/drawingml/2006/main">
          <a:off x="129928" y="0"/>
          <a:ext cx="2871595" cy="516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800" b="1">
              <a:latin typeface="Arial" pitchFamily="34" charset="0"/>
              <a:cs typeface="Arial" pitchFamily="34" charset="0"/>
            </a:rPr>
            <a:t>Figure E1 Number of verified copies issued </a:t>
          </a:r>
        </a:p>
        <a:p xmlns:a="http://schemas.openxmlformats.org/drawingml/2006/main">
          <a:pPr algn="ctr"/>
          <a:r>
            <a:rPr lang="cs-CZ" sz="800" b="1">
              <a:latin typeface="Arial" pitchFamily="34" charset="0"/>
              <a:cs typeface="Arial" pitchFamily="34" charset="0"/>
            </a:rPr>
            <a:t>'at</a:t>
          </a:r>
          <a:r>
            <a:rPr lang="cs-CZ" sz="800" b="1" baseline="0">
              <a:latin typeface="Arial" pitchFamily="34" charset="0"/>
              <a:cs typeface="Arial" pitchFamily="34" charset="0"/>
            </a:rPr>
            <a:t> the desk' of the Czech POINT public contact points for selected services (thous.)</a:t>
          </a:r>
          <a:endParaRPr lang="cs-CZ" sz="800" b="1">
            <a:latin typeface="Arial" pitchFamily="34" charset="0"/>
            <a:cs typeface="Arial" pitchFamily="34" charset="0"/>
          </a:endParaRPr>
        </a:p>
      </cdr:txBody>
    </cdr:sp>
  </cdr:relSizeAnchor>
  <cdr:relSizeAnchor xmlns:cdr="http://schemas.openxmlformats.org/drawingml/2006/chartDrawing">
    <cdr:from>
      <cdr:x>0.28948</cdr:x>
      <cdr:y>0.92414</cdr:y>
    </cdr:from>
    <cdr:to>
      <cdr:x>0.98177</cdr:x>
      <cdr:y>1</cdr:y>
    </cdr:to>
    <cdr:sp macro="" textlink="">
      <cdr:nvSpPr>
        <cdr:cNvPr id="5" name="TextovéPole 1"/>
        <cdr:cNvSpPr txBox="1"/>
      </cdr:nvSpPr>
      <cdr:spPr>
        <a:xfrm xmlns:a="http://schemas.openxmlformats.org/drawingml/2006/main">
          <a:off x="885824" y="2328828"/>
          <a:ext cx="2118393" cy="1911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Ministry of</a:t>
          </a:r>
          <a:r>
            <a:rPr lang="cs-CZ" sz="800" i="1" baseline="0">
              <a:latin typeface="Arial" pitchFamily="34" charset="0"/>
              <a:cs typeface="Arial" pitchFamily="34" charset="0"/>
            </a:rPr>
            <a:t> </a:t>
          </a:r>
          <a:r>
            <a:rPr lang="cs-CZ" sz="800" i="1">
              <a:latin typeface="Arial" pitchFamily="34" charset="0"/>
              <a:cs typeface="Arial" pitchFamily="34" charset="0"/>
            </a:rPr>
            <a:t>the Interior, 2018</a:t>
          </a:r>
        </a:p>
      </cdr:txBody>
    </cdr:sp>
  </cdr:relSizeAnchor>
</c:userShapes>
</file>

<file path=word/drawings/drawing119.xml><?xml version="1.0" encoding="utf-8"?>
<c:userShapes xmlns:c="http://schemas.openxmlformats.org/drawingml/2006/chart">
  <cdr:relSizeAnchor xmlns:cdr="http://schemas.openxmlformats.org/drawingml/2006/chartDrawing">
    <cdr:from>
      <cdr:x>0.24307</cdr:x>
      <cdr:y>0.91482</cdr:y>
    </cdr:from>
    <cdr:to>
      <cdr:x>0.99853</cdr:x>
      <cdr:y>1</cdr:y>
    </cdr:to>
    <cdr:sp macro="" textlink="">
      <cdr:nvSpPr>
        <cdr:cNvPr id="2" name="TextovéPole 1"/>
        <cdr:cNvSpPr txBox="1"/>
      </cdr:nvSpPr>
      <cdr:spPr>
        <a:xfrm xmlns:a="http://schemas.openxmlformats.org/drawingml/2006/main">
          <a:off x="734999" y="2309495"/>
          <a:ext cx="2284426" cy="2146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Ministry of the Interior, 2018</a:t>
          </a:r>
        </a:p>
      </cdr:txBody>
    </cdr:sp>
  </cdr:relSizeAnchor>
  <cdr:relSizeAnchor xmlns:cdr="http://schemas.openxmlformats.org/drawingml/2006/chartDrawing">
    <cdr:from>
      <cdr:x>0</cdr:x>
      <cdr:y>3.96876E-7</cdr:y>
    </cdr:from>
    <cdr:to>
      <cdr:x>0.99853</cdr:x>
      <cdr:y>0.16633</cdr:y>
    </cdr:to>
    <cdr:sp macro="" textlink="">
      <cdr:nvSpPr>
        <cdr:cNvPr id="3" name="TextovéPole 1"/>
        <cdr:cNvSpPr txBox="1"/>
      </cdr:nvSpPr>
      <cdr:spPr>
        <a:xfrm xmlns:a="http://schemas.openxmlformats.org/drawingml/2006/main">
          <a:off x="0" y="1"/>
          <a:ext cx="3019425" cy="419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E2 Number of authorized conversions of documents issued at Czech</a:t>
          </a:r>
          <a:r>
            <a:rPr lang="cs-CZ" sz="800" b="1" baseline="0">
              <a:latin typeface="Arial" pitchFamily="34" charset="0"/>
              <a:cs typeface="Arial" pitchFamily="34" charset="0"/>
            </a:rPr>
            <a:t> POINT public contact points (thous.)</a:t>
          </a:r>
          <a:endParaRPr lang="cs-CZ" sz="800" b="1">
            <a:latin typeface="Arial" pitchFamily="34" charset="0"/>
            <a:cs typeface="Arial"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0.91487</cdr:y>
    </cdr:from>
    <cdr:to>
      <cdr:x>0.99841</cdr:x>
      <cdr:y>0.97527</cdr:y>
    </cdr:to>
    <cdr:sp macro="" textlink="">
      <cdr:nvSpPr>
        <cdr:cNvPr id="3" name="TextovéPole 1"/>
        <cdr:cNvSpPr txBox="1"/>
      </cdr:nvSpPr>
      <cdr:spPr>
        <a:xfrm xmlns:a="http://schemas.openxmlformats.org/drawingml/2006/main">
          <a:off x="0" y="2470150"/>
          <a:ext cx="2875431" cy="16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120.xml><?xml version="1.0" encoding="utf-8"?>
<c:userShapes xmlns:c="http://schemas.openxmlformats.org/drawingml/2006/chart">
  <cdr:relSizeAnchor xmlns:cdr="http://schemas.openxmlformats.org/drawingml/2006/chartDrawing">
    <cdr:from>
      <cdr:x>0.34334</cdr:x>
      <cdr:y>0.88836</cdr:y>
    </cdr:from>
    <cdr:to>
      <cdr:x>0.97333</cdr:x>
      <cdr:y>0.98286</cdr:y>
    </cdr:to>
    <cdr:sp macro="" textlink="">
      <cdr:nvSpPr>
        <cdr:cNvPr id="2" name="Textové pole 1"/>
        <cdr:cNvSpPr txBox="1"/>
      </cdr:nvSpPr>
      <cdr:spPr>
        <a:xfrm xmlns:a="http://schemas.openxmlformats.org/drawingml/2006/main">
          <a:off x="1038225" y="2238375"/>
          <a:ext cx="19050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i="1">
              <a:latin typeface="Arial" panose="020B0604020202020204" pitchFamily="34" charset="0"/>
              <a:cs typeface="Arial" panose="020B0604020202020204" pitchFamily="34" charset="0"/>
            </a:rPr>
            <a:t>Source: Ministry of the Interior, 2018</a:t>
          </a:r>
        </a:p>
      </cdr:txBody>
    </cdr:sp>
  </cdr:relSizeAnchor>
</c:userShapes>
</file>

<file path=word/drawings/drawing121.xml><?xml version="1.0" encoding="utf-8"?>
<c:userShapes xmlns:c="http://schemas.openxmlformats.org/drawingml/2006/chart">
  <cdr:relSizeAnchor xmlns:cdr="http://schemas.openxmlformats.org/drawingml/2006/chartDrawing">
    <cdr:from>
      <cdr:x>0.24736</cdr:x>
      <cdr:y>0.8958</cdr:y>
    </cdr:from>
    <cdr:to>
      <cdr:x>0.9644</cdr:x>
      <cdr:y>0.96762</cdr:y>
    </cdr:to>
    <cdr:sp macro="" textlink="">
      <cdr:nvSpPr>
        <cdr:cNvPr id="2" name="TextovéPole 1"/>
        <cdr:cNvSpPr txBox="1"/>
      </cdr:nvSpPr>
      <cdr:spPr>
        <a:xfrm xmlns:a="http://schemas.openxmlformats.org/drawingml/2006/main">
          <a:off x="752476" y="2257424"/>
          <a:ext cx="21812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the Interior, 2018</a:t>
          </a:r>
          <a:endParaRPr lang="cs-CZ"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userShapes>
</file>

<file path=word/drawings/drawing122.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a:t>
          </a:r>
          <a:r>
            <a:rPr lang="cs-CZ" sz="800" b="1" baseline="0">
              <a:latin typeface="Arial" pitchFamily="34" charset="0"/>
              <a:cs typeface="Arial" pitchFamily="34" charset="0"/>
            </a:rPr>
            <a:t> </a:t>
          </a:r>
          <a:r>
            <a:rPr lang="cs-CZ" sz="800" b="1">
              <a:latin typeface="Arial" pitchFamily="34" charset="0"/>
              <a:cs typeface="Arial" pitchFamily="34" charset="0"/>
            </a:rPr>
            <a:t>E5 Number of newly</a:t>
          </a:r>
          <a:r>
            <a:rPr lang="cs-CZ" sz="800" b="1" baseline="0">
              <a:latin typeface="Arial" pitchFamily="34" charset="0"/>
              <a:cs typeface="Arial" pitchFamily="34" charset="0"/>
            </a:rPr>
            <a:t> activated Data Boxes in the Czech Republic (thous.)</a:t>
          </a:r>
          <a:endParaRPr lang="cs-CZ" sz="800" b="1">
            <a:latin typeface="Arial" pitchFamily="34" charset="0"/>
            <a:cs typeface="Arial" pitchFamily="34" charset="0"/>
          </a:endParaRPr>
        </a:p>
      </cdr:txBody>
    </cdr:sp>
  </cdr:relSizeAnchor>
  <cdr:relSizeAnchor xmlns:cdr="http://schemas.openxmlformats.org/drawingml/2006/chartDrawing">
    <cdr:from>
      <cdr:x>0.26302</cdr:x>
      <cdr:y>0.89592</cdr:y>
    </cdr:from>
    <cdr:to>
      <cdr:x>0.97344</cdr:x>
      <cdr:y>0.9903</cdr:y>
    </cdr:to>
    <cdr:sp macro="" textlink="">
      <cdr:nvSpPr>
        <cdr:cNvPr id="4" name="TextovéPole 1"/>
        <cdr:cNvSpPr txBox="1"/>
      </cdr:nvSpPr>
      <cdr:spPr>
        <a:xfrm xmlns:a="http://schemas.openxmlformats.org/drawingml/2006/main">
          <a:off x="800015" y="2257425"/>
          <a:ext cx="2160849" cy="237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Ministry of the Interior, 2018</a:t>
          </a:r>
        </a:p>
      </cdr:txBody>
    </cdr:sp>
  </cdr:relSizeAnchor>
  <cdr:relSizeAnchor xmlns:cdr="http://schemas.openxmlformats.org/drawingml/2006/chartDrawing">
    <cdr:from>
      <cdr:x>0.00554</cdr:x>
      <cdr:y>0.26697</cdr:y>
    </cdr:from>
    <cdr:to>
      <cdr:x>0.07756</cdr:x>
      <cdr:y>0.44344</cdr:y>
    </cdr:to>
    <cdr:sp macro="" textlink="">
      <cdr:nvSpPr>
        <cdr:cNvPr id="5" name="TextovéPole 4"/>
        <cdr:cNvSpPr txBox="1"/>
      </cdr:nvSpPr>
      <cdr:spPr>
        <a:xfrm xmlns:a="http://schemas.openxmlformats.org/drawingml/2006/main" rot="16200000">
          <a:off x="-42862" y="623887"/>
          <a:ext cx="37147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b="1">
              <a:solidFill>
                <a:schemeClr val="bg1"/>
              </a:solidFill>
            </a:rPr>
            <a:t>//</a:t>
          </a:r>
        </a:p>
      </cdr:txBody>
    </cdr:sp>
  </cdr:relSizeAnchor>
</c:userShapes>
</file>

<file path=word/drawings/drawing123.xml><?xml version="1.0" encoding="utf-8"?>
<c:userShapes xmlns:c="http://schemas.openxmlformats.org/drawingml/2006/chart">
  <cdr:relSizeAnchor xmlns:cdr="http://schemas.openxmlformats.org/drawingml/2006/chartDrawing">
    <cdr:from>
      <cdr:x>0.01972</cdr:x>
      <cdr:y>0</cdr:y>
    </cdr:from>
    <cdr:to>
      <cdr:x>0.97465</cdr:x>
      <cdr:y>0.15612</cdr:y>
    </cdr:to>
    <cdr:sp macro="" textlink="">
      <cdr:nvSpPr>
        <cdr:cNvPr id="2" name="TextovéPole 1"/>
        <cdr:cNvSpPr txBox="1"/>
      </cdr:nvSpPr>
      <cdr:spPr>
        <a:xfrm xmlns:a="http://schemas.openxmlformats.org/drawingml/2006/main">
          <a:off x="66681" y="0"/>
          <a:ext cx="3228976" cy="3524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800" b="1">
              <a:latin typeface="Arial" panose="020B0604020202020204" pitchFamily="34" charset="0"/>
              <a:cs typeface="Arial" panose="020B0604020202020204" pitchFamily="34" charset="0"/>
            </a:rPr>
            <a:t>Figure E6 Number of new Data Boxes in the Czech Republic by type of entity (thous.)</a:t>
          </a:r>
        </a:p>
      </cdr:txBody>
    </cdr:sp>
  </cdr:relSizeAnchor>
  <cdr:relSizeAnchor xmlns:cdr="http://schemas.openxmlformats.org/drawingml/2006/chartDrawing">
    <cdr:from>
      <cdr:x>0.26774</cdr:x>
      <cdr:y>0.8997</cdr:y>
    </cdr:from>
    <cdr:to>
      <cdr:x>0.96338</cdr:x>
      <cdr:y>0.97908</cdr:y>
    </cdr:to>
    <cdr:sp macro="" textlink="">
      <cdr:nvSpPr>
        <cdr:cNvPr id="3" name="TextovéPole 2"/>
        <cdr:cNvSpPr txBox="1"/>
      </cdr:nvSpPr>
      <cdr:spPr>
        <a:xfrm xmlns:a="http://schemas.openxmlformats.org/drawingml/2006/main">
          <a:off x="809625" y="2266949"/>
          <a:ext cx="2103511"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the Interior, 2018</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124.xml><?xml version="1.0" encoding="utf-8"?>
<c:userShapes xmlns:c="http://schemas.openxmlformats.org/drawingml/2006/chart">
  <cdr:relSizeAnchor xmlns:cdr="http://schemas.openxmlformats.org/drawingml/2006/chartDrawing">
    <cdr:from>
      <cdr:x>0.33605</cdr:x>
      <cdr:y>0.39455</cdr:y>
    </cdr:from>
    <cdr:to>
      <cdr:x>0.8494</cdr:x>
      <cdr:y>0.72708</cdr:y>
    </cdr:to>
    <cdr:sp macro="" textlink="">
      <cdr:nvSpPr>
        <cdr:cNvPr id="3" name="TextovéPole 1">
          <a:extLst xmlns:a="http://schemas.openxmlformats.org/drawingml/2006/main">
            <a:ext uri="{FF2B5EF4-FFF2-40B4-BE49-F238E27FC236}">
              <a16:creationId xmlns:a16="http://schemas.microsoft.com/office/drawing/2014/main" id="{00000000-0008-0000-0A00-000008000000}"/>
            </a:ext>
          </a:extLst>
        </cdr:cNvPr>
        <cdr:cNvSpPr txBox="1"/>
      </cdr:nvSpPr>
      <cdr:spPr>
        <a:xfrm xmlns:a="http://schemas.openxmlformats.org/drawingml/2006/main">
          <a:off x="611362" y="781679"/>
          <a:ext cx="933924" cy="658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anose="020B0604020202020204" pitchFamily="34" charset="0"/>
              <a:cs typeface="Arial" panose="020B0604020202020204" pitchFamily="34" charset="0"/>
            </a:rPr>
            <a:t>102,8 mil.  transactions</a:t>
          </a:r>
        </a:p>
        <a:p xmlns:a="http://schemas.openxmlformats.org/drawingml/2006/main">
          <a:pPr algn="ctr"/>
          <a:r>
            <a:rPr lang="cs-CZ" sz="800" b="1" baseline="0">
              <a:latin typeface="Arial" panose="020B0604020202020204" pitchFamily="34" charset="0"/>
              <a:cs typeface="Arial" panose="020B0604020202020204" pitchFamily="34" charset="0"/>
            </a:rPr>
            <a:t> </a:t>
          </a:r>
          <a:r>
            <a:rPr lang="cs-CZ" sz="800" b="1">
              <a:latin typeface="Arial" panose="020B0604020202020204" pitchFamily="34" charset="0"/>
              <a:cs typeface="Arial" panose="020B0604020202020204" pitchFamily="34" charset="0"/>
            </a:rPr>
            <a:t>total</a:t>
          </a:r>
          <a:endParaRPr lang="en-US" sz="800" b="1">
            <a:latin typeface="Arial" panose="020B0604020202020204" pitchFamily="34" charset="0"/>
            <a:cs typeface="Arial" panose="020B0604020202020204" pitchFamily="34" charset="0"/>
          </a:endParaRPr>
        </a:p>
      </cdr:txBody>
    </cdr:sp>
  </cdr:relSizeAnchor>
</c:userShapes>
</file>

<file path=word/drawings/drawing125.xml><?xml version="1.0" encoding="utf-8"?>
<c:userShapes xmlns:c="http://schemas.openxmlformats.org/drawingml/2006/chart">
  <cdr:relSizeAnchor xmlns:cdr="http://schemas.openxmlformats.org/drawingml/2006/chartDrawing">
    <cdr:from>
      <cdr:x>0.17635</cdr:x>
      <cdr:y>0.48657</cdr:y>
    </cdr:from>
    <cdr:to>
      <cdr:x>0.4375</cdr:x>
      <cdr:y>0.68003</cdr:y>
    </cdr:to>
    <cdr:sp macro="" textlink="">
      <cdr:nvSpPr>
        <cdr:cNvPr id="2" name="TextovéPole 1">
          <a:extLst xmlns:a="http://schemas.openxmlformats.org/drawingml/2006/main">
            <a:ext uri="{FF2B5EF4-FFF2-40B4-BE49-F238E27FC236}">
              <a16:creationId xmlns:a16="http://schemas.microsoft.com/office/drawing/2014/main" id="{00000000-0008-0000-0A00-000008000000}"/>
            </a:ext>
          </a:extLst>
        </cdr:cNvPr>
        <cdr:cNvSpPr txBox="1"/>
      </cdr:nvSpPr>
      <cdr:spPr>
        <a:xfrm xmlns:a="http://schemas.openxmlformats.org/drawingml/2006/main">
          <a:off x="591257" y="1401189"/>
          <a:ext cx="875593" cy="5571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anose="020B0604020202020204" pitchFamily="34" charset="0"/>
              <a:cs typeface="Arial" panose="020B0604020202020204" pitchFamily="34" charset="0"/>
            </a:rPr>
            <a:t>45,4 mil.  transactions </a:t>
          </a:r>
        </a:p>
        <a:p xmlns:a="http://schemas.openxmlformats.org/drawingml/2006/main">
          <a:pPr algn="ctr"/>
          <a:r>
            <a:rPr lang="cs-CZ" sz="800" b="1">
              <a:latin typeface="Arial" panose="020B0604020202020204" pitchFamily="34" charset="0"/>
              <a:cs typeface="Arial" panose="020B0604020202020204" pitchFamily="34" charset="0"/>
            </a:rPr>
            <a:t>total</a:t>
          </a:r>
          <a:endParaRPr lang="en-US"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0.05556</cdr:x>
      <cdr:y>0.00378</cdr:y>
    </cdr:from>
    <cdr:to>
      <cdr:x>0.92721</cdr:x>
      <cdr:y>0.16396</cdr:y>
    </cdr:to>
    <cdr:sp macro="" textlink="">
      <cdr:nvSpPr>
        <cdr:cNvPr id="4" name="TextovéPole 1"/>
        <cdr:cNvSpPr txBox="1"/>
      </cdr:nvSpPr>
      <cdr:spPr>
        <a:xfrm xmlns:a="http://schemas.openxmlformats.org/drawingml/2006/main">
          <a:off x="200025" y="9525"/>
          <a:ext cx="3137940" cy="4036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E7 Number of e-transactions made </a:t>
          </a:r>
        </a:p>
        <a:p xmlns:a="http://schemas.openxmlformats.org/drawingml/2006/main">
          <a:pPr algn="ctr"/>
          <a:r>
            <a:rPr lang="cs-CZ" sz="800" b="1">
              <a:latin typeface="Arial" pitchFamily="34" charset="0"/>
              <a:cs typeface="Arial" pitchFamily="34" charset="0"/>
            </a:rPr>
            <a:t>via Data Boxes in the Czech Republic by type of entities that conducted these transactions (mil.; %) </a:t>
          </a:r>
        </a:p>
      </cdr:txBody>
    </cdr:sp>
  </cdr:relSizeAnchor>
  <cdr:relSizeAnchor xmlns:cdr="http://schemas.openxmlformats.org/drawingml/2006/chartDrawing">
    <cdr:from>
      <cdr:x>0.35985</cdr:x>
      <cdr:y>0.89754</cdr:y>
    </cdr:from>
    <cdr:to>
      <cdr:x>0.96682</cdr:x>
      <cdr:y>0.97152</cdr:y>
    </cdr:to>
    <cdr:sp macro="" textlink="">
      <cdr:nvSpPr>
        <cdr:cNvPr id="5" name="TextovéPole 1"/>
        <cdr:cNvSpPr txBox="1"/>
      </cdr:nvSpPr>
      <cdr:spPr>
        <a:xfrm xmlns:a="http://schemas.openxmlformats.org/drawingml/2006/main">
          <a:off x="1295399" y="2261513"/>
          <a:ext cx="2184973" cy="1864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i="1">
              <a:latin typeface="Arial" pitchFamily="34" charset="0"/>
              <a:cs typeface="Arial" pitchFamily="34" charset="0"/>
            </a:rPr>
            <a:t>Source: Ministry of the Interior, 2018</a:t>
          </a:r>
        </a:p>
      </cdr:txBody>
    </cdr:sp>
  </cdr:relSizeAnchor>
</c:userShapes>
</file>

<file path=word/drawings/drawing126.xml><?xml version="1.0" encoding="utf-8"?>
<c:userShapes xmlns:c="http://schemas.openxmlformats.org/drawingml/2006/chart">
  <cdr:relSizeAnchor xmlns:cdr="http://schemas.openxmlformats.org/drawingml/2006/chartDrawing">
    <cdr:from>
      <cdr:x>0.06645</cdr:x>
      <cdr:y>0.9</cdr:y>
    </cdr:from>
    <cdr:to>
      <cdr:x>0.9103</cdr:x>
      <cdr:y>0.9875</cdr:y>
    </cdr:to>
    <cdr:sp macro="" textlink="">
      <cdr:nvSpPr>
        <cdr:cNvPr id="2" name="TextovéPole 1"/>
        <cdr:cNvSpPr txBox="1"/>
      </cdr:nvSpPr>
      <cdr:spPr>
        <a:xfrm xmlns:a="http://schemas.openxmlformats.org/drawingml/2006/main">
          <a:off x="190502" y="2057400"/>
          <a:ext cx="24193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Source: </a:t>
          </a:r>
          <a:r>
            <a:rPr lang="cs-CZ" sz="800" i="1" baseline="0">
              <a:latin typeface="Arial" panose="020B0604020202020204" pitchFamily="34" charset="0"/>
              <a:cs typeface="Arial" panose="020B0604020202020204" pitchFamily="34" charset="0"/>
            </a:rPr>
            <a:t> Ministry of the Interior, 2018</a:t>
          </a:r>
          <a:endParaRPr lang="cs-CZ" sz="800" i="1">
            <a:latin typeface="Arial" panose="020B0604020202020204" pitchFamily="34" charset="0"/>
            <a:cs typeface="Arial" panose="020B0604020202020204" pitchFamily="34" charset="0"/>
          </a:endParaRPr>
        </a:p>
      </cdr:txBody>
    </cdr:sp>
  </cdr:relSizeAnchor>
</c:userShapes>
</file>

<file path=word/drawings/drawing127.xml><?xml version="1.0" encoding="utf-8"?>
<c:userShapes xmlns:c="http://schemas.openxmlformats.org/drawingml/2006/chart">
  <cdr:relSizeAnchor xmlns:cdr="http://schemas.openxmlformats.org/drawingml/2006/chartDrawing">
    <cdr:from>
      <cdr:x>0.17955</cdr:x>
      <cdr:y>0.92641</cdr:y>
    </cdr:from>
    <cdr:to>
      <cdr:x>0.97574</cdr:x>
      <cdr:y>0.97627</cdr:y>
    </cdr:to>
    <cdr:sp macro="" textlink="">
      <cdr:nvSpPr>
        <cdr:cNvPr id="2" name="TextovéPole 1"/>
        <cdr:cNvSpPr txBox="1"/>
      </cdr:nvSpPr>
      <cdr:spPr>
        <a:xfrm xmlns:a="http://schemas.openxmlformats.org/drawingml/2006/main">
          <a:off x="542925" y="2667798"/>
          <a:ext cx="2407575" cy="143583"/>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Financial Administration,</a:t>
          </a:r>
          <a:r>
            <a:rPr lang="cs-CZ" sz="800" i="1">
              <a:effectLst/>
              <a:latin typeface="Arial" panose="020B0604020202020204" pitchFamily="34" charset="0"/>
              <a:ea typeface="+mn-ea"/>
              <a:cs typeface="Arial" panose="020B0604020202020204" pitchFamily="34" charset="0"/>
            </a:rPr>
            <a:t> 2018</a:t>
          </a:r>
          <a:endParaRPr lang="cs-CZ" sz="400">
            <a:effectLst/>
            <a:latin typeface="Arial" panose="020B0604020202020204" pitchFamily="34" charset="0"/>
            <a:cs typeface="Arial" panose="020B0604020202020204" pitchFamily="34" charset="0"/>
          </a:endParaRPr>
        </a:p>
      </cdr:txBody>
    </cdr:sp>
  </cdr:relSizeAnchor>
</c:userShapes>
</file>

<file path=word/drawings/drawing128.xml><?xml version="1.0" encoding="utf-8"?>
<c:userShapes xmlns:c="http://schemas.openxmlformats.org/drawingml/2006/chart">
  <cdr:relSizeAnchor xmlns:cdr="http://schemas.openxmlformats.org/drawingml/2006/chartDrawing">
    <cdr:from>
      <cdr:x>0.21735</cdr:x>
      <cdr:y>0.93275</cdr:y>
    </cdr:from>
    <cdr:to>
      <cdr:x>0.97541</cdr:x>
      <cdr:y>0.97957</cdr:y>
    </cdr:to>
    <cdr:sp macro="" textlink="">
      <cdr:nvSpPr>
        <cdr:cNvPr id="2" name="TextovéPole 1"/>
        <cdr:cNvSpPr txBox="1"/>
      </cdr:nvSpPr>
      <cdr:spPr>
        <a:xfrm xmlns:a="http://schemas.openxmlformats.org/drawingml/2006/main">
          <a:off x="657225" y="2686050"/>
          <a:ext cx="2292286" cy="134856"/>
        </a:xfrm>
        <a:prstGeom xmlns:a="http://schemas.openxmlformats.org/drawingml/2006/main" prst="rect">
          <a:avLst/>
        </a:prstGeom>
      </cdr:spPr>
      <cdr:txBody>
        <a:bodyPr xmlns:a="http://schemas.openxmlformats.org/drawingml/2006/main" wrap="square" lIns="36000" tIns="18000" rIns="36000" bIns="18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Financial Administration,</a:t>
          </a:r>
          <a:r>
            <a:rPr lang="cs-CZ" sz="800" i="1">
              <a:effectLst/>
              <a:latin typeface="Arial" panose="020B0604020202020204" pitchFamily="34" charset="0"/>
              <a:ea typeface="+mn-ea"/>
              <a:cs typeface="Arial" panose="020B0604020202020204" pitchFamily="34" charset="0"/>
            </a:rPr>
            <a:t> 2018</a:t>
          </a:r>
          <a:endParaRPr lang="cs-CZ" sz="800">
            <a:effectLst/>
            <a:latin typeface="Arial" panose="020B0604020202020204" pitchFamily="34" charset="0"/>
            <a:cs typeface="Arial" panose="020B0604020202020204" pitchFamily="34" charset="0"/>
          </a:endParaRPr>
        </a:p>
      </cdr:txBody>
    </cdr:sp>
  </cdr:relSizeAnchor>
</c:userShapes>
</file>

<file path=word/drawings/drawing129.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aged 16+</a:t>
          </a:r>
        </a:p>
      </cdr:txBody>
    </cdr:sp>
  </cdr:relSizeAnchor>
  <cdr:relSizeAnchor xmlns:cdr="http://schemas.openxmlformats.org/drawingml/2006/chartDrawing">
    <cdr:from>
      <cdr:x>0</cdr:x>
      <cdr:y>0.91365</cdr:y>
    </cdr:from>
    <cdr:to>
      <cdr:x>0.9917</cdr:x>
      <cdr:y>1</cdr:y>
    </cdr:to>
    <cdr:sp macro="" textlink="">
      <cdr:nvSpPr>
        <cdr:cNvPr id="3" name="TextovéPole 1"/>
        <cdr:cNvSpPr txBox="1"/>
      </cdr:nvSpPr>
      <cdr:spPr>
        <a:xfrm xmlns:a="http://schemas.openxmlformats.org/drawingml/2006/main">
          <a:off x="0" y="3124200"/>
          <a:ext cx="2998772"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ICT use survey in households, 2018</a:t>
          </a:r>
          <a:endParaRPr lang="cs-CZ" sz="800">
            <a:latin typeface="Arial" panose="020B06040202020202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0.12243</cdr:x>
      <cdr:y>0.91405</cdr:y>
    </cdr:from>
    <cdr:to>
      <cdr:x>1</cdr:x>
      <cdr:y>0.97371</cdr:y>
    </cdr:to>
    <cdr:sp macro="" textlink="">
      <cdr:nvSpPr>
        <cdr:cNvPr id="3" name="TextovéPole 1"/>
        <cdr:cNvSpPr txBox="1"/>
      </cdr:nvSpPr>
      <cdr:spPr>
        <a:xfrm xmlns:a="http://schemas.openxmlformats.org/drawingml/2006/main">
          <a:off x="401170" y="2498725"/>
          <a:ext cx="2875431" cy="16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130.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baseline="0">
              <a:latin typeface="Arial" panose="020B0604020202020204" pitchFamily="34" charset="0"/>
              <a:cs typeface="Arial" panose="020B0604020202020204" pitchFamily="34" charset="0"/>
            </a:rPr>
            <a:t>* </a:t>
          </a:r>
          <a:r>
            <a:rPr lang="cs-CZ" sz="800" baseline="0">
              <a:effectLst/>
              <a:latin typeface="Arial" panose="020B0604020202020204" pitchFamily="34" charset="0"/>
              <a:ea typeface="+mn-ea"/>
              <a:cs typeface="+mn-cs"/>
            </a:rPr>
            <a:t>as a percentage of all individuals aged 16+</a:t>
          </a:r>
          <a:endParaRPr lang="cs-CZ" sz="800" baseline="0">
            <a:effectLst/>
            <a:latin typeface="Arial" panose="020B0604020202020204" pitchFamily="34" charset="0"/>
          </a:endParaRPr>
        </a:p>
      </cdr:txBody>
    </cdr:sp>
  </cdr:relSizeAnchor>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 2018</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0.0189</cdr:x>
      <cdr:y>0.00836</cdr:y>
    </cdr:from>
    <cdr:to>
      <cdr:x>0.96384</cdr:x>
      <cdr:y>0.14204</cdr:y>
    </cdr:to>
    <cdr:sp macro="" textlink="">
      <cdr:nvSpPr>
        <cdr:cNvPr id="4" name="TextovéPole 3"/>
        <cdr:cNvSpPr txBox="1"/>
      </cdr:nvSpPr>
      <cdr:spPr>
        <a:xfrm xmlns:a="http://schemas.openxmlformats.org/drawingml/2006/main">
          <a:off x="57150" y="28575"/>
          <a:ext cx="28575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E12 Individuals in the Czech Republic aged 16+ using the internet for interaction with public authorities for selected activities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3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0.0189</cdr:x>
      <cdr:y>0.82118</cdr:y>
    </cdr:from>
    <cdr:to>
      <cdr:x>0.76907</cdr:x>
      <cdr:y>0.89656</cdr:y>
    </cdr:to>
    <cdr:sp macro="" textlink="">
      <cdr:nvSpPr>
        <cdr:cNvPr id="4" name="TextovéPole 1"/>
        <cdr:cNvSpPr txBox="1"/>
      </cdr:nvSpPr>
      <cdr:spPr>
        <a:xfrm xmlns:a="http://schemas.openxmlformats.org/drawingml/2006/main">
          <a:off x="117494" y="2660639"/>
          <a:ext cx="4664055"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latin typeface="Arial" pitchFamily="34" charset="0"/>
              <a:ea typeface="+mn-ea"/>
              <a:cs typeface="Arial" pitchFamily="34" charset="0"/>
            </a:rPr>
            <a:t>* as a percentage of</a:t>
          </a:r>
          <a:r>
            <a:rPr lang="cs-CZ" sz="800" baseline="0">
              <a:latin typeface="Arial" pitchFamily="34" charset="0"/>
              <a:ea typeface="+mn-ea"/>
              <a:cs typeface="Arial" pitchFamily="34" charset="0"/>
            </a:rPr>
            <a:t> on individuals aged 16 to 74 in a given country</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0.00787</cdr:x>
      <cdr:y>0.03234</cdr:y>
    </cdr:from>
    <cdr:to>
      <cdr:x>0.99223</cdr:x>
      <cdr:y>0.13475</cdr:y>
    </cdr:to>
    <cdr:sp macro="" textlink="">
      <cdr:nvSpPr>
        <cdr:cNvPr id="5" name="TextovéPole 4"/>
        <cdr:cNvSpPr txBox="1"/>
      </cdr:nvSpPr>
      <cdr:spPr>
        <a:xfrm xmlns:a="http://schemas.openxmlformats.org/drawingml/2006/main">
          <a:off x="47625" y="100585"/>
          <a:ext cx="5953125" cy="318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800" b="1">
              <a:latin typeface="Arial" pitchFamily="34" charset="0"/>
              <a:ea typeface="+mn-ea"/>
              <a:cs typeface="Arial" pitchFamily="34" charset="0"/>
            </a:rPr>
            <a:t>Figure E13 Individuals</a:t>
          </a:r>
          <a:r>
            <a:rPr lang="cs-CZ" sz="800" b="1" baseline="0">
              <a:latin typeface="Arial" pitchFamily="34" charset="0"/>
              <a:ea typeface="+mn-ea"/>
              <a:cs typeface="Arial" pitchFamily="34" charset="0"/>
            </a:rPr>
            <a:t> </a:t>
          </a:r>
          <a:r>
            <a:rPr lang="cs-CZ" sz="800" b="1">
              <a:latin typeface="Arial" pitchFamily="34" charset="0"/>
              <a:ea typeface="+mn-ea"/>
              <a:cs typeface="Arial" pitchFamily="34" charset="0"/>
            </a:rPr>
            <a:t>in EU countries aged 16–74 using the internet for interaction with public authorities; 2017* </a:t>
          </a:r>
        </a:p>
      </cdr:txBody>
    </cdr:sp>
  </cdr:relSizeAnchor>
</c:userShapes>
</file>

<file path=word/drawings/drawing132.xml><?xml version="1.0" encoding="utf-8"?>
<c:userShapes xmlns:c="http://schemas.openxmlformats.org/drawingml/2006/chart">
  <cdr:relSizeAnchor xmlns:cdr="http://schemas.openxmlformats.org/drawingml/2006/chartDrawing">
    <cdr:from>
      <cdr:x>0.0567</cdr:x>
      <cdr:y>0.90365</cdr:y>
    </cdr:from>
    <cdr:to>
      <cdr:x>0.98274</cdr:x>
      <cdr:y>0.97724</cdr:y>
    </cdr:to>
    <cdr:sp macro="" textlink="">
      <cdr:nvSpPr>
        <cdr:cNvPr id="5" name="TextovéPole 1"/>
        <cdr:cNvSpPr txBox="1"/>
      </cdr:nvSpPr>
      <cdr:spPr>
        <a:xfrm xmlns:a="http://schemas.openxmlformats.org/drawingml/2006/main">
          <a:off x="153080" y="2114550"/>
          <a:ext cx="2500318" cy="1721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School Inspection, 2018</a:t>
          </a:r>
          <a:endParaRPr lang="en-US" sz="800">
            <a:effectLst/>
            <a:latin typeface="Arial" panose="020B0604020202020204" pitchFamily="34" charset="0"/>
            <a:cs typeface="Arial" panose="020B0604020202020204" pitchFamily="34" charset="0"/>
          </a:endParaRP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0.03885</cdr:x>
      <cdr:y>0.82767</cdr:y>
    </cdr:from>
    <cdr:to>
      <cdr:x>0.99639</cdr:x>
      <cdr:y>0.95013</cdr:y>
    </cdr:to>
    <cdr:sp macro="" textlink="">
      <cdr:nvSpPr>
        <cdr:cNvPr id="8" name="TextovéPole 1"/>
        <cdr:cNvSpPr txBox="1"/>
      </cdr:nvSpPr>
      <cdr:spPr>
        <a:xfrm xmlns:a="http://schemas.openxmlformats.org/drawingml/2006/main">
          <a:off x="117475" y="1936750"/>
          <a:ext cx="2895617" cy="286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schools</a:t>
          </a:r>
          <a:r>
            <a:rPr lang="cs-CZ" sz="800" baseline="0">
              <a:latin typeface="Arial" panose="020B0604020202020204" pitchFamily="34" charset="0"/>
              <a:cs typeface="Arial" panose="020B0604020202020204" pitchFamily="34" charset="0"/>
            </a:rPr>
            <a:t> of a given type</a:t>
          </a:r>
          <a:endParaRPr lang="cs-CZ" sz="800">
            <a:latin typeface="Arial" panose="020B0604020202020204" pitchFamily="34" charset="0"/>
            <a:cs typeface="Arial" panose="020B0604020202020204" pitchFamily="34" charset="0"/>
          </a:endParaRPr>
        </a:p>
      </cdr:txBody>
    </cdr:sp>
  </cdr:relSizeAnchor>
</c:userShapes>
</file>

<file path=word/drawings/drawing133.xml><?xml version="1.0" encoding="utf-8"?>
<c:userShapes xmlns:c="http://schemas.openxmlformats.org/drawingml/2006/chart">
  <cdr:relSizeAnchor xmlns:cdr="http://schemas.openxmlformats.org/drawingml/2006/chartDrawing">
    <cdr:from>
      <cdr:x>0.13891</cdr:x>
      <cdr:y>0.91848</cdr:y>
    </cdr:from>
    <cdr:to>
      <cdr:x>0.98647</cdr:x>
      <cdr:y>0.9903</cdr:y>
    </cdr:to>
    <cdr:sp macro="" textlink="">
      <cdr:nvSpPr>
        <cdr:cNvPr id="2" name="TextovéPole 1"/>
        <cdr:cNvSpPr txBox="1"/>
      </cdr:nvSpPr>
      <cdr:spPr>
        <a:xfrm xmlns:a="http://schemas.openxmlformats.org/drawingml/2006/main">
          <a:off x="400050" y="2314576"/>
          <a:ext cx="2440984" cy="1809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a:t>
          </a:r>
          <a:r>
            <a:rPr lang="cs-CZ" sz="800" i="1" baseline="0">
              <a:effectLst/>
              <a:latin typeface="Arial" panose="020B0604020202020204" pitchFamily="34" charset="0"/>
              <a:ea typeface="+mn-ea"/>
              <a:cs typeface="Arial" panose="020B0604020202020204" pitchFamily="34" charset="0"/>
            </a:rPr>
            <a:t> Czech School Inspection, 2018</a:t>
          </a:r>
          <a:endParaRPr lang="en-US" sz="800">
            <a:effectLst/>
            <a:latin typeface="Arial" panose="020B0604020202020204" pitchFamily="34" charset="0"/>
            <a:cs typeface="Arial" panose="020B0604020202020204" pitchFamily="34" charset="0"/>
          </a:endParaRPr>
        </a:p>
        <a:p xmlns:a="http://schemas.openxmlformats.org/drawingml/2006/main">
          <a:pPr algn="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0.02016</cdr:y>
    </cdr:from>
    <cdr:to>
      <cdr:x>1</cdr:x>
      <cdr:y>0.16631</cdr:y>
    </cdr:to>
    <cdr:sp macro="" textlink="">
      <cdr:nvSpPr>
        <cdr:cNvPr id="4" name="TextovéPole 1"/>
        <cdr:cNvSpPr txBox="1"/>
      </cdr:nvSpPr>
      <cdr:spPr>
        <a:xfrm xmlns:a="http://schemas.openxmlformats.org/drawingml/2006/main">
          <a:off x="0" y="50800"/>
          <a:ext cx="3060000" cy="3683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Figure F2 Elementary and secondary schools in the Czech Republic with a website and Student information system</a:t>
          </a:r>
          <a:r>
            <a:rPr lang="cs-CZ" sz="800" b="1" baseline="0">
              <a:latin typeface="Arial" pitchFamily="34" charset="0"/>
              <a:cs typeface="Arial" pitchFamily="34" charset="0"/>
            </a:rPr>
            <a:t> (</a:t>
          </a:r>
          <a:r>
            <a:rPr lang="cs-CZ" sz="800" b="1">
              <a:latin typeface="Arial" pitchFamily="34" charset="0"/>
              <a:cs typeface="Arial" pitchFamily="34" charset="0"/>
            </a:rPr>
            <a:t>%)*</a:t>
          </a:r>
        </a:p>
      </cdr:txBody>
    </cdr:sp>
  </cdr:relSizeAnchor>
  <cdr:relSizeAnchor xmlns:cdr="http://schemas.openxmlformats.org/drawingml/2006/chartDrawing">
    <cdr:from>
      <cdr:x>0</cdr:x>
      <cdr:y>0.85171</cdr:y>
    </cdr:from>
    <cdr:to>
      <cdr:x>0.94628</cdr:x>
      <cdr:y>0.9629</cdr:y>
    </cdr:to>
    <cdr:sp macro="" textlink="">
      <cdr:nvSpPr>
        <cdr:cNvPr id="5" name="TextovéPole 1"/>
        <cdr:cNvSpPr txBox="1"/>
      </cdr:nvSpPr>
      <cdr:spPr>
        <a:xfrm xmlns:a="http://schemas.openxmlformats.org/drawingml/2006/main">
          <a:off x="0" y="2146300"/>
          <a:ext cx="2895609" cy="2802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schools</a:t>
          </a:r>
          <a:r>
            <a:rPr lang="cs-CZ" sz="800" baseline="0">
              <a:latin typeface="Arial" panose="020B0604020202020204" pitchFamily="34" charset="0"/>
              <a:cs typeface="Arial" panose="020B0604020202020204" pitchFamily="34" charset="0"/>
            </a:rPr>
            <a:t> of a given type</a:t>
          </a:r>
          <a:endParaRPr lang="cs-CZ" sz="800">
            <a:latin typeface="Arial" panose="020B0604020202020204" pitchFamily="34" charset="0"/>
            <a:cs typeface="Arial" panose="020B0604020202020204" pitchFamily="34" charset="0"/>
          </a:endParaRPr>
        </a:p>
      </cdr:txBody>
    </cdr:sp>
  </cdr:relSizeAnchor>
</c:userShapes>
</file>

<file path=word/drawings/drawing134.xml><?xml version="1.0" encoding="utf-8"?>
<c:userShapes xmlns:c="http://schemas.openxmlformats.org/drawingml/2006/chart">
  <cdr:relSizeAnchor xmlns:cdr="http://schemas.openxmlformats.org/drawingml/2006/chartDrawing">
    <cdr:from>
      <cdr:x>0.0063</cdr:x>
      <cdr:y>0.86935</cdr:y>
    </cdr:from>
    <cdr:to>
      <cdr:x>0.99219</cdr:x>
      <cdr:y>0.99786</cdr:y>
    </cdr:to>
    <cdr:sp macro="" textlink="">
      <cdr:nvSpPr>
        <cdr:cNvPr id="2" name="TextovéPole 1"/>
        <cdr:cNvSpPr txBox="1"/>
      </cdr:nvSpPr>
      <cdr:spPr>
        <a:xfrm xmlns:a="http://schemas.openxmlformats.org/drawingml/2006/main">
          <a:off x="19049" y="2190750"/>
          <a:ext cx="298132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Education, Youth and Sports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0.01575</cdr:x>
      <cdr:y>0.88068</cdr:y>
    </cdr:from>
    <cdr:to>
      <cdr:x>0.97644</cdr:x>
      <cdr:y>0.97707</cdr:y>
    </cdr:to>
    <cdr:sp macro="" textlink="">
      <cdr:nvSpPr>
        <cdr:cNvPr id="3" name="TextovéPole 1"/>
        <cdr:cNvSpPr txBox="1"/>
      </cdr:nvSpPr>
      <cdr:spPr>
        <a:xfrm xmlns:a="http://schemas.openxmlformats.org/drawingml/2006/main">
          <a:off x="47625" y="2219325"/>
          <a:ext cx="2905125" cy="242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 </a:t>
          </a:r>
          <a:endParaRPr lang="cs-CZ" sz="800">
            <a:latin typeface="Arial" panose="020B0604020202020204" pitchFamily="34" charset="0"/>
            <a:cs typeface="Arial" panose="020B0604020202020204" pitchFamily="34" charset="0"/>
          </a:endParaRPr>
        </a:p>
      </cdr:txBody>
    </cdr:sp>
  </cdr:relSizeAnchor>
</c:userShapes>
</file>

<file path=word/drawings/drawing135.xml><?xml version="1.0" encoding="utf-8"?>
<c:userShapes xmlns:c="http://schemas.openxmlformats.org/drawingml/2006/chart">
  <cdr:relSizeAnchor xmlns:cdr="http://schemas.openxmlformats.org/drawingml/2006/chartDrawing">
    <cdr:from>
      <cdr:x>0.0063</cdr:x>
      <cdr:y>0.86935</cdr:y>
    </cdr:from>
    <cdr:to>
      <cdr:x>0.99219</cdr:x>
      <cdr:y>0.99786</cdr:y>
    </cdr:to>
    <cdr:sp macro="" textlink="">
      <cdr:nvSpPr>
        <cdr:cNvPr id="2" name="TextovéPole 1"/>
        <cdr:cNvSpPr txBox="1"/>
      </cdr:nvSpPr>
      <cdr:spPr>
        <a:xfrm xmlns:a="http://schemas.openxmlformats.org/drawingml/2006/main">
          <a:off x="19049" y="2190750"/>
          <a:ext cx="2981325"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Ministry of Education, Youth and Sports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0.01575</cdr:x>
      <cdr:y>0.88068</cdr:y>
    </cdr:from>
    <cdr:to>
      <cdr:x>0.97644</cdr:x>
      <cdr:y>0.97707</cdr:y>
    </cdr:to>
    <cdr:sp macro="" textlink="">
      <cdr:nvSpPr>
        <cdr:cNvPr id="3" name="TextovéPole 1"/>
        <cdr:cNvSpPr txBox="1"/>
      </cdr:nvSpPr>
      <cdr:spPr>
        <a:xfrm xmlns:a="http://schemas.openxmlformats.org/drawingml/2006/main">
          <a:off x="47625" y="2219325"/>
          <a:ext cx="2905125" cy="242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 </a:t>
          </a:r>
          <a:endParaRPr lang="cs-CZ" sz="800">
            <a:latin typeface="Arial" panose="020B0604020202020204" pitchFamily="34" charset="0"/>
            <a:cs typeface="Arial" panose="020B0604020202020204" pitchFamily="34" charset="0"/>
          </a:endParaRPr>
        </a:p>
      </cdr:txBody>
    </cdr:sp>
  </cdr:relSizeAnchor>
</c:userShapes>
</file>

<file path=word/drawings/drawing136.xml><?xml version="1.0" encoding="utf-8"?>
<c:userShapes xmlns:c="http://schemas.openxmlformats.org/drawingml/2006/chart">
  <cdr:relSizeAnchor xmlns:cdr="http://schemas.openxmlformats.org/drawingml/2006/chartDrawing">
    <cdr:from>
      <cdr:x>0.04044</cdr:x>
      <cdr:y>0.86631</cdr:y>
    </cdr:from>
    <cdr:to>
      <cdr:x>0.98855</cdr:x>
      <cdr:y>0.98072</cdr:y>
    </cdr:to>
    <cdr:sp macro="" textlink="">
      <cdr:nvSpPr>
        <cdr:cNvPr id="3" name="TextovéPole 1"/>
        <cdr:cNvSpPr txBox="1"/>
      </cdr:nvSpPr>
      <cdr:spPr>
        <a:xfrm xmlns:a="http://schemas.openxmlformats.org/drawingml/2006/main">
          <a:off x="122291" y="2339049"/>
          <a:ext cx="2867085" cy="308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Ministry of Education, Youth and Sports </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endParaRPr lang="cs-CZ" sz="800">
            <a:effectLst/>
            <a:latin typeface="Arial" panose="020B0604020202020204" pitchFamily="34" charset="0"/>
            <a:cs typeface="Arial" panose="020B0604020202020204" pitchFamily="34" charset="0"/>
          </a:endParaRPr>
        </a:p>
      </cdr:txBody>
    </cdr:sp>
  </cdr:relSizeAnchor>
</c:userShapes>
</file>

<file path=word/drawings/drawing137.xml><?xml version="1.0" encoding="utf-8"?>
<c:userShapes xmlns:c="http://schemas.openxmlformats.org/drawingml/2006/chart">
  <cdr:relSizeAnchor xmlns:cdr="http://schemas.openxmlformats.org/drawingml/2006/chartDrawing">
    <cdr:from>
      <cdr:x>0.10137</cdr:x>
      <cdr:y>0.85843</cdr:y>
    </cdr:from>
    <cdr:to>
      <cdr:x>0.9732</cdr:x>
      <cdr:y>0.97283</cdr:y>
    </cdr:to>
    <cdr:sp macro="" textlink="">
      <cdr:nvSpPr>
        <cdr:cNvPr id="2" name="TextovéPole 1"/>
        <cdr:cNvSpPr txBox="1"/>
      </cdr:nvSpPr>
      <cdr:spPr>
        <a:xfrm xmlns:a="http://schemas.openxmlformats.org/drawingml/2006/main">
          <a:off x="317500" y="2317750"/>
          <a:ext cx="2730557" cy="308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Ministry of Education, Youth and Sports </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r>
            <a:rPr lang="cs-CZ" sz="800" i="1" baseline="0">
              <a:effectLst/>
              <a:latin typeface="Arial" panose="020B0604020202020204" pitchFamily="34" charset="0"/>
              <a:ea typeface="+mn-ea"/>
              <a:cs typeface="Arial" panose="020B0604020202020204" pitchFamily="34" charset="0"/>
            </a:rPr>
            <a:t>of  the Czech Republic</a:t>
          </a:r>
          <a:r>
            <a:rPr lang="cs-CZ" sz="800" i="1">
              <a:effectLst/>
              <a:latin typeface="Arial" panose="020B0604020202020204" pitchFamily="34" charset="0"/>
              <a:ea typeface="+mn-ea"/>
              <a:cs typeface="Arial" panose="020B0604020202020204" pitchFamily="34" charset="0"/>
            </a:rPr>
            <a:t>, 2018</a:t>
          </a:r>
          <a:endParaRPr lang="en-US" sz="800">
            <a:effectLst/>
            <a:latin typeface="Arial" panose="020B0604020202020204" pitchFamily="34" charset="0"/>
            <a:cs typeface="Arial" panose="020B0604020202020204" pitchFamily="34" charset="0"/>
          </a:endParaRPr>
        </a:p>
        <a:p xmlns:a="http://schemas.openxmlformats.org/drawingml/2006/main">
          <a:pPr algn="r" eaLnBrk="1" fontAlgn="auto" latinLnBrk="0" hangingPunct="1"/>
          <a:endParaRPr lang="cs-CZ" sz="800">
            <a:effectLst/>
            <a:latin typeface="Arial" panose="020B0604020202020204" pitchFamily="34" charset="0"/>
            <a:cs typeface="Arial" panose="020B0604020202020204" pitchFamily="34" charset="0"/>
          </a:endParaRPr>
        </a:p>
      </cdr:txBody>
    </cdr:sp>
  </cdr:relSizeAnchor>
</c:userShapes>
</file>

<file path=word/drawings/drawing138.xml><?xml version="1.0" encoding="utf-8"?>
<c:userShapes xmlns:c="http://schemas.openxmlformats.org/drawingml/2006/chart">
  <cdr:relSizeAnchor xmlns:cdr="http://schemas.openxmlformats.org/drawingml/2006/chartDrawing">
    <cdr:from>
      <cdr:x>0.23732</cdr:x>
      <cdr:y>0.92425</cdr:y>
    </cdr:from>
    <cdr:to>
      <cdr:x>0.96898</cdr:x>
      <cdr:y>0.99143</cdr:y>
    </cdr:to>
    <cdr:sp macro="" textlink="">
      <cdr:nvSpPr>
        <cdr:cNvPr id="2" name="TextovéPole 1"/>
        <cdr:cNvSpPr txBox="1"/>
      </cdr:nvSpPr>
      <cdr:spPr>
        <a:xfrm xmlns:a="http://schemas.openxmlformats.org/drawingml/2006/main">
          <a:off x="1190682" y="3202926"/>
          <a:ext cx="3670884" cy="2328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OECD 2015,</a:t>
          </a:r>
          <a:r>
            <a:rPr lang="cs-CZ" sz="800" i="1" baseline="0">
              <a:latin typeface="Arial" panose="020B0604020202020204" pitchFamily="34" charset="0"/>
              <a:cs typeface="Arial" panose="020B0604020202020204" pitchFamily="34" charset="0"/>
            </a:rPr>
            <a:t> survey PISA</a:t>
          </a:r>
          <a:endParaRPr lang="cs-CZ" sz="800"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0.05323</cdr:x>
      <cdr:y>0.89191</cdr:y>
    </cdr:from>
    <cdr:to>
      <cdr:x>0.94101</cdr:x>
      <cdr:y>0.95605</cdr:y>
    </cdr:to>
    <cdr:sp macro="" textlink="">
      <cdr:nvSpPr>
        <cdr:cNvPr id="3" name="TextovéPole 2"/>
        <cdr:cNvSpPr txBox="1"/>
      </cdr:nvSpPr>
      <cdr:spPr>
        <a:xfrm xmlns:a="http://schemas.openxmlformats.org/drawingml/2006/main">
          <a:off x="267065" y="3090864"/>
          <a:ext cx="4454159"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as a percentage of all 15 years old students in a given country</a:t>
          </a:r>
        </a:p>
      </cdr:txBody>
    </cdr:sp>
  </cdr:relSizeAnchor>
  <cdr:relSizeAnchor xmlns:cdr="http://schemas.openxmlformats.org/drawingml/2006/chartDrawing">
    <cdr:from>
      <cdr:x>0.02348</cdr:x>
      <cdr:y>0.01176</cdr:y>
    </cdr:from>
    <cdr:to>
      <cdr:x>0.97849</cdr:x>
      <cdr:y>0.07644</cdr:y>
    </cdr:to>
    <cdr:sp macro="" textlink="">
      <cdr:nvSpPr>
        <cdr:cNvPr id="4" name="TextovéPole 3"/>
        <cdr:cNvSpPr txBox="1"/>
      </cdr:nvSpPr>
      <cdr:spPr>
        <a:xfrm xmlns:a="http://schemas.openxmlformats.org/drawingml/2006/main">
          <a:off x="142875" y="38100"/>
          <a:ext cx="58102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Figure F</a:t>
          </a:r>
          <a:r>
            <a:rPr lang="cs-CZ" sz="800" b="1" i="0" baseline="0">
              <a:effectLst/>
              <a:latin typeface="Arial" panose="020B0604020202020204" pitchFamily="34" charset="0"/>
              <a:ea typeface="+mn-ea"/>
              <a:cs typeface="Arial" panose="020B0604020202020204" pitchFamily="34" charset="0"/>
            </a:rPr>
            <a:t>7 </a:t>
          </a:r>
          <a:r>
            <a:rPr lang="en-US" sz="800" b="1" i="0" baseline="0">
              <a:effectLst/>
              <a:latin typeface="Arial" panose="020B0604020202020204" pitchFamily="34" charset="0"/>
              <a:ea typeface="+mn-ea"/>
              <a:cs typeface="Arial" panose="020B0604020202020204" pitchFamily="34" charset="0"/>
            </a:rPr>
            <a:t>15 years old students in EU countries with</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the </a:t>
          </a:r>
          <a:r>
            <a:rPr lang="cs-CZ" sz="800" b="1" i="0" baseline="0">
              <a:effectLst/>
              <a:latin typeface="Arial" panose="020B0604020202020204" pitchFamily="34" charset="0"/>
              <a:ea typeface="+mn-ea"/>
              <a:cs typeface="Arial" panose="020B0604020202020204" pitchFamily="34" charset="0"/>
            </a:rPr>
            <a:t>i</a:t>
          </a:r>
          <a:r>
            <a:rPr lang="en-US" sz="800" b="1" i="0" baseline="0">
              <a:effectLst/>
              <a:latin typeface="Arial" panose="020B0604020202020204" pitchFamily="34" charset="0"/>
              <a:ea typeface="+mn-ea"/>
              <a:cs typeface="Arial" panose="020B0604020202020204" pitchFamily="34" charset="0"/>
            </a:rPr>
            <a:t>nternet access at school; 2015</a:t>
          </a:r>
          <a:r>
            <a:rPr lang="cs-CZ" sz="800" b="1" i="0" baseline="0">
              <a:effectLst/>
              <a:latin typeface="Arial" panose="020B0604020202020204" pitchFamily="34" charset="0"/>
              <a:ea typeface="+mn-ea"/>
              <a:cs typeface="Arial" panose="020B0604020202020204" pitchFamily="34" charset="0"/>
            </a:rPr>
            <a:t>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139.xml><?xml version="1.0" encoding="utf-8"?>
<c:userShapes xmlns:c="http://schemas.openxmlformats.org/drawingml/2006/chart">
  <cdr:relSizeAnchor xmlns:cdr="http://schemas.openxmlformats.org/drawingml/2006/chartDrawing">
    <cdr:from>
      <cdr:x>0.00311</cdr:x>
      <cdr:y>0.88132</cdr:y>
    </cdr:from>
    <cdr:to>
      <cdr:x>0.98647</cdr:x>
      <cdr:y>0.97839</cdr:y>
    </cdr:to>
    <cdr:sp macro="" textlink="">
      <cdr:nvSpPr>
        <cdr:cNvPr id="2" name="TextovéPole 1"/>
        <cdr:cNvSpPr txBox="1"/>
      </cdr:nvSpPr>
      <cdr:spPr>
        <a:xfrm xmlns:a="http://schemas.openxmlformats.org/drawingml/2006/main">
          <a:off x="9525" y="2162175"/>
          <a:ext cx="3009073" cy="238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400" i="1">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0.02016</cdr:y>
    </cdr:from>
    <cdr:to>
      <cdr:x>1</cdr:x>
      <cdr:y>0.16631</cdr:y>
    </cdr:to>
    <cdr:sp macro="" textlink="">
      <cdr:nvSpPr>
        <cdr:cNvPr id="4" name="TextovéPole 1"/>
        <cdr:cNvSpPr txBox="1"/>
      </cdr:nvSpPr>
      <cdr:spPr>
        <a:xfrm xmlns:a="http://schemas.openxmlformats.org/drawingml/2006/main">
          <a:off x="0" y="50800"/>
          <a:ext cx="3060000" cy="3683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800" b="1">
              <a:latin typeface="Arial" pitchFamily="34" charset="0"/>
              <a:cs typeface="Arial" pitchFamily="34" charset="0"/>
            </a:rPr>
            <a:t>Figure F9 Students and individuals </a:t>
          </a:r>
        </a:p>
        <a:p xmlns:a="http://schemas.openxmlformats.org/drawingml/2006/main">
          <a:pPr algn="ctr"/>
          <a:r>
            <a:rPr lang="cs-CZ" sz="800" b="1">
              <a:latin typeface="Arial" pitchFamily="34" charset="0"/>
              <a:cs typeface="Arial" pitchFamily="34" charset="0"/>
            </a:rPr>
            <a:t>in the Czech Republic using internet on mobile phone </a:t>
          </a:r>
        </a:p>
        <a:p xmlns:a="http://schemas.openxmlformats.org/drawingml/2006/main">
          <a:pPr algn="ctr"/>
          <a:r>
            <a:rPr lang="cs-CZ" sz="800" b="1">
              <a:latin typeface="Arial" pitchFamily="34" charset="0"/>
              <a:cs typeface="Arial" pitchFamily="34" charset="0"/>
            </a:rPr>
            <a:t>by type of network (%)*</a:t>
          </a:r>
        </a:p>
      </cdr:txBody>
    </cdr:sp>
  </cdr:relSizeAnchor>
  <cdr:relSizeAnchor xmlns:cdr="http://schemas.openxmlformats.org/drawingml/2006/chartDrawing">
    <cdr:from>
      <cdr:x>0.0249</cdr:x>
      <cdr:y>0.81144</cdr:y>
    </cdr:from>
    <cdr:to>
      <cdr:x>1</cdr:x>
      <cdr:y>0.88132</cdr:y>
    </cdr:to>
    <cdr:sp macro="" textlink="">
      <cdr:nvSpPr>
        <cdr:cNvPr id="3" name="TextovéPole 2"/>
        <cdr:cNvSpPr txBox="1"/>
      </cdr:nvSpPr>
      <cdr:spPr>
        <a:xfrm xmlns:a="http://schemas.openxmlformats.org/drawingml/2006/main">
          <a:off x="76200" y="1990724"/>
          <a:ext cx="2983800" cy="171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students and individuals aged 16+</a:t>
          </a:r>
          <a:endParaRPr lang="cs-CZ" sz="800">
            <a:latin typeface="Arial" panose="020B06040202020202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0.18839</cdr:x>
      <cdr:y>0.93486</cdr:y>
    </cdr:from>
    <cdr:to>
      <cdr:x>0.972</cdr:x>
      <cdr:y>0.99993</cdr:y>
    </cdr:to>
    <cdr:sp macro="" textlink="">
      <cdr:nvSpPr>
        <cdr:cNvPr id="2" name="TextovéPole 1"/>
        <cdr:cNvSpPr txBox="1"/>
      </cdr:nvSpPr>
      <cdr:spPr>
        <a:xfrm xmlns:a="http://schemas.openxmlformats.org/drawingml/2006/main">
          <a:off x="1146175" y="2860675"/>
          <a:ext cx="4767497" cy="1991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CZSO calculations based on European Commission data, 2018</a:t>
          </a:r>
        </a:p>
      </cdr:txBody>
    </cdr:sp>
  </cdr:relSizeAnchor>
</c:userShapes>
</file>

<file path=word/drawings/drawing140.xml><?xml version="1.0" encoding="utf-8"?>
<c:userShapes xmlns:c="http://schemas.openxmlformats.org/drawingml/2006/chart">
  <cdr:relSizeAnchor xmlns:cdr="http://schemas.openxmlformats.org/drawingml/2006/chartDrawing">
    <cdr:from>
      <cdr:x>0</cdr:x>
      <cdr:y>0.89362</cdr:y>
    </cdr:from>
    <cdr:to>
      <cdr:x>1</cdr:x>
      <cdr:y>0.98524</cdr:y>
    </cdr:to>
    <cdr:sp macro="" textlink="">
      <cdr:nvSpPr>
        <cdr:cNvPr id="2" name="TextovéPole 1"/>
        <cdr:cNvSpPr txBox="1"/>
      </cdr:nvSpPr>
      <cdr:spPr>
        <a:xfrm xmlns:a="http://schemas.openxmlformats.org/drawingml/2006/main">
          <a:off x="0" y="2400301"/>
          <a:ext cx="3657601" cy="246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ICT use survey in households</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0.8273</cdr:y>
    </cdr:from>
    <cdr:to>
      <cdr:x>0.90208</cdr:x>
      <cdr:y>0.88068</cdr:y>
    </cdr:to>
    <cdr:sp macro="" textlink="">
      <cdr:nvSpPr>
        <cdr:cNvPr id="3" name="TextovéPole 1"/>
        <cdr:cNvSpPr txBox="1"/>
      </cdr:nvSpPr>
      <cdr:spPr>
        <a:xfrm xmlns:a="http://schemas.openxmlformats.org/drawingml/2006/main">
          <a:off x="0" y="2828925"/>
          <a:ext cx="2630393" cy="1825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students aged 16+</a:t>
          </a:r>
        </a:p>
      </cdr:txBody>
    </cdr:sp>
  </cdr:relSizeAnchor>
  <cdr:relSizeAnchor xmlns:cdr="http://schemas.openxmlformats.org/drawingml/2006/chartDrawing">
    <cdr:from>
      <cdr:x>0</cdr:x>
      <cdr:y>3.31189E-7</cdr:y>
    </cdr:from>
    <cdr:to>
      <cdr:x>1</cdr:x>
      <cdr:y>0.16404</cdr:y>
    </cdr:to>
    <cdr:sp macro="" textlink="">
      <cdr:nvSpPr>
        <cdr:cNvPr id="4" name="TextovéPole 3"/>
        <cdr:cNvSpPr txBox="1"/>
      </cdr:nvSpPr>
      <cdr:spPr>
        <a:xfrm xmlns:a="http://schemas.openxmlformats.org/drawingml/2006/main">
          <a:off x="0" y="1"/>
          <a:ext cx="2857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F8 Students and individuals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in the Czech Republic aged 16+ using the internet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for selected activities; 2015–2017 (%)*</a:t>
          </a:r>
          <a:endParaRPr lang="cs-CZ" sz="800">
            <a:effectLst/>
            <a:latin typeface="Arial" panose="020B0604020202020204" pitchFamily="34" charset="0"/>
            <a:cs typeface="Arial" panose="020B0604020202020204" pitchFamily="34" charset="0"/>
          </a:endParaRPr>
        </a:p>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endParaRPr lang="cs-CZ" sz="1100"/>
        </a:p>
      </cdr:txBody>
    </cdr:sp>
  </cdr:relSizeAnchor>
</c:userShapes>
</file>

<file path=word/drawings/drawing141.xml><?xml version="1.0" encoding="utf-8"?>
<c:userShapes xmlns:c="http://schemas.openxmlformats.org/drawingml/2006/chart">
  <cdr:relSizeAnchor xmlns:cdr="http://schemas.openxmlformats.org/drawingml/2006/chartDrawing">
    <cdr:from>
      <cdr:x>0</cdr:x>
      <cdr:y>0.86783</cdr:y>
    </cdr:from>
    <cdr:to>
      <cdr:x>0.98538</cdr:x>
      <cdr:y>0.99162</cdr:y>
    </cdr:to>
    <cdr:sp macro="" textlink="">
      <cdr:nvSpPr>
        <cdr:cNvPr id="2" name="TextovéPole 1"/>
        <cdr:cNvSpPr txBox="1"/>
      </cdr:nvSpPr>
      <cdr:spPr>
        <a:xfrm xmlns:a="http://schemas.openxmlformats.org/drawingml/2006/main">
          <a:off x="0" y="2343151"/>
          <a:ext cx="2908842" cy="3342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0.03227</cdr:x>
      <cdr:y>0.02469</cdr:y>
    </cdr:from>
    <cdr:to>
      <cdr:x>0.98735</cdr:x>
      <cdr:y>0.15169</cdr:y>
    </cdr:to>
    <cdr:sp macro="" textlink="">
      <cdr:nvSpPr>
        <cdr:cNvPr id="3" name="TextovéPole 2"/>
        <cdr:cNvSpPr txBox="1"/>
      </cdr:nvSpPr>
      <cdr:spPr>
        <a:xfrm xmlns:a="http://schemas.openxmlformats.org/drawingml/2006/main">
          <a:off x="95250" y="66676"/>
          <a:ext cx="2819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F10 Word processing software use in the Czech Republic; 2017(%)</a:t>
          </a:r>
          <a:endParaRPr lang="cs-CZ" sz="1100">
            <a:latin typeface="Arial" panose="020B0604020202020204" pitchFamily="34" charset="0"/>
            <a:cs typeface="Arial" panose="020B0604020202020204" pitchFamily="34" charset="0"/>
          </a:endParaRPr>
        </a:p>
      </cdr:txBody>
    </cdr:sp>
  </cdr:relSizeAnchor>
</c:userShapes>
</file>

<file path=word/drawings/drawing142.xml><?xml version="1.0" encoding="utf-8"?>
<c:userShapes xmlns:c="http://schemas.openxmlformats.org/drawingml/2006/chart">
  <cdr:relSizeAnchor xmlns:cdr="http://schemas.openxmlformats.org/drawingml/2006/chartDrawing">
    <cdr:from>
      <cdr:x>0.04359</cdr:x>
      <cdr:y>0.86078</cdr:y>
    </cdr:from>
    <cdr:to>
      <cdr:x>0.9917</cdr:x>
      <cdr:y>0.9913</cdr:y>
    </cdr:to>
    <cdr:sp macro="" textlink="">
      <cdr:nvSpPr>
        <cdr:cNvPr id="3" name="TextovéPole 1"/>
        <cdr:cNvSpPr txBox="1"/>
      </cdr:nvSpPr>
      <cdr:spPr>
        <a:xfrm xmlns:a="http://schemas.openxmlformats.org/drawingml/2006/main">
          <a:off x="136524" y="2324101"/>
          <a:ext cx="2969480" cy="3524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households</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0.01521</cdr:x>
      <cdr:y>0.03881</cdr:y>
    </cdr:from>
    <cdr:to>
      <cdr:x>0.9823</cdr:x>
      <cdr:y>0.14633</cdr:y>
    </cdr:to>
    <cdr:sp macro="" textlink="">
      <cdr:nvSpPr>
        <cdr:cNvPr id="4" name="TextovéPole 3"/>
        <cdr:cNvSpPr txBox="1"/>
      </cdr:nvSpPr>
      <cdr:spPr>
        <a:xfrm xmlns:a="http://schemas.openxmlformats.org/drawingml/2006/main">
          <a:off x="47635" y="118736"/>
          <a:ext cx="3028752" cy="3289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F11 Use of programming by individuals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in the Czech Republic; 2017 (%)</a:t>
          </a:r>
          <a:endParaRPr lang="cs-CZ" sz="800">
            <a:latin typeface="Arial" panose="020B0604020202020204" pitchFamily="34" charset="0"/>
            <a:cs typeface="Arial" panose="020B0604020202020204" pitchFamily="34" charset="0"/>
          </a:endParaRPr>
        </a:p>
      </cdr:txBody>
    </cdr:sp>
  </cdr:relSizeAnchor>
</c:userShapes>
</file>

<file path=word/drawings/drawing143.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0.05793</cdr:x>
      <cdr:y>0.02646</cdr:y>
    </cdr:from>
    <cdr:to>
      <cdr:x>0.98005</cdr:x>
      <cdr:y>0.09995</cdr:y>
    </cdr:to>
    <cdr:sp macro="" textlink="">
      <cdr:nvSpPr>
        <cdr:cNvPr id="3" name="TextovéPole 2"/>
        <cdr:cNvSpPr txBox="1"/>
      </cdr:nvSpPr>
      <cdr:spPr>
        <a:xfrm xmlns:a="http://schemas.openxmlformats.org/drawingml/2006/main">
          <a:off x="352425" y="85725"/>
          <a:ext cx="56102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800" b="1" i="0" baseline="0">
              <a:effectLst/>
              <a:latin typeface="Arial" panose="020B0604020202020204" pitchFamily="34" charset="0"/>
              <a:ea typeface="+mn-ea"/>
              <a:cs typeface="Arial" panose="020B0604020202020204" pitchFamily="34" charset="0"/>
            </a:rPr>
            <a:t>Figure F1</a:t>
          </a:r>
          <a:r>
            <a:rPr lang="cs-CZ" sz="800" b="1" i="0" baseline="0">
              <a:effectLst/>
              <a:latin typeface="Arial" panose="020B0604020202020204" pitchFamily="34" charset="0"/>
              <a:ea typeface="+mn-ea"/>
              <a:cs typeface="Arial" panose="020B0604020202020204" pitchFamily="34" charset="0"/>
            </a:rPr>
            <a:t>2</a:t>
          </a:r>
          <a:r>
            <a:rPr lang="en-US" sz="800" b="1" i="0" baseline="0">
              <a:effectLst/>
              <a:latin typeface="Arial" panose="020B0604020202020204" pitchFamily="34" charset="0"/>
              <a:ea typeface="+mn-ea"/>
              <a:cs typeface="Arial" panose="020B0604020202020204" pitchFamily="34" charset="0"/>
            </a:rPr>
            <a:t> Individuals </a:t>
          </a:r>
          <a:r>
            <a:rPr lang="cs-CZ" sz="800" b="1" i="0" baseline="0">
              <a:effectLst/>
              <a:latin typeface="Arial" panose="020B0604020202020204" pitchFamily="34" charset="0"/>
              <a:ea typeface="+mn-ea"/>
              <a:cs typeface="Arial" panose="020B0604020202020204" pitchFamily="34" charset="0"/>
            </a:rPr>
            <a:t>aged 16–74 in</a:t>
          </a:r>
          <a:r>
            <a:rPr lang="en-US" sz="800" b="1" i="0" baseline="0">
              <a:effectLst/>
              <a:latin typeface="Arial" panose="020B0604020202020204" pitchFamily="34" charset="0"/>
              <a:ea typeface="+mn-ea"/>
              <a:cs typeface="Arial" panose="020B0604020202020204" pitchFamily="34" charset="0"/>
            </a:rPr>
            <a:t> EU countries who used spreadsheet software*; 2017</a:t>
          </a:r>
          <a:r>
            <a:rPr lang="cs-CZ" sz="800" b="1" i="0" baseline="0">
              <a:effectLst/>
              <a:latin typeface="Arial" panose="020B0604020202020204" pitchFamily="34" charset="0"/>
              <a:ea typeface="+mn-ea"/>
              <a:cs typeface="Arial" panose="020B0604020202020204" pitchFamily="34" charset="0"/>
            </a:rPr>
            <a:t> (%)**</a:t>
          </a:r>
          <a:endParaRPr lang="cs-CZ" sz="1100"/>
        </a:p>
      </cdr:txBody>
    </cdr:sp>
  </cdr:relSizeAnchor>
  <cdr:relSizeAnchor xmlns:cdr="http://schemas.openxmlformats.org/drawingml/2006/chartDrawing">
    <cdr:from>
      <cdr:x>0.03131</cdr:x>
      <cdr:y>0.81139</cdr:y>
    </cdr:from>
    <cdr:to>
      <cdr:x>0.764</cdr:x>
      <cdr:y>0.91724</cdr:y>
    </cdr:to>
    <cdr:sp macro="" textlink="">
      <cdr:nvSpPr>
        <cdr:cNvPr id="4" name="TextovéPole 3"/>
        <cdr:cNvSpPr txBox="1"/>
      </cdr:nvSpPr>
      <cdr:spPr>
        <a:xfrm xmlns:a="http://schemas.openxmlformats.org/drawingml/2006/main">
          <a:off x="187009" y="3505127"/>
          <a:ext cx="4376218" cy="457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e.g.. MS Excel or OpenOffice Calc</a:t>
          </a:r>
        </a:p>
        <a:p xmlns:a="http://schemas.openxmlformats.org/drawingml/2006/main">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aged 16 to 74 in a given country</a:t>
          </a:r>
          <a:endParaRPr lang="cs-CZ" sz="800">
            <a:latin typeface="Arial" panose="020B0604020202020204" pitchFamily="34" charset="0"/>
            <a:cs typeface="Arial" panose="020B0604020202020204" pitchFamily="34" charset="0"/>
          </a:endParaRPr>
        </a:p>
      </cdr:txBody>
    </cdr:sp>
  </cdr:relSizeAnchor>
</c:userShapes>
</file>

<file path=word/drawings/drawing144.xml><?xml version="1.0" encoding="utf-8"?>
<c:userShapes xmlns:c="http://schemas.openxmlformats.org/drawingml/2006/chart">
  <cdr:relSizeAnchor xmlns:cdr="http://schemas.openxmlformats.org/drawingml/2006/chartDrawing">
    <cdr:from>
      <cdr:x>0</cdr:x>
      <cdr:y>0.92424</cdr:y>
    </cdr:from>
    <cdr:to>
      <cdr:x>0.96594</cdr:x>
      <cdr:y>0.99284</cdr:y>
    </cdr:to>
    <cdr:sp macro="" textlink="">
      <cdr:nvSpPr>
        <cdr:cNvPr id="2" name="TextovéPole 1"/>
        <cdr:cNvSpPr txBox="1"/>
      </cdr:nvSpPr>
      <cdr:spPr>
        <a:xfrm xmlns:a="http://schemas.openxmlformats.org/drawingml/2006/main">
          <a:off x="0" y="2324099"/>
          <a:ext cx="2971800" cy="1724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CZSO calculation based on MEYS</a:t>
          </a:r>
          <a:r>
            <a:rPr lang="cs-CZ" sz="800" i="1" baseline="0">
              <a:effectLst/>
              <a:latin typeface="Arial" panose="020B0604020202020204" pitchFamily="34" charset="0"/>
              <a:ea typeface="+mn-ea"/>
              <a:cs typeface="Arial" panose="020B0604020202020204" pitchFamily="34" charset="0"/>
            </a:rPr>
            <a:t> database, 2018</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0.0255</cdr:x>
      <cdr:y>0</cdr:y>
    </cdr:from>
    <cdr:to>
      <cdr:x>0.89855</cdr:x>
      <cdr:y>0.17609</cdr:y>
    </cdr:to>
    <cdr:sp macro="" textlink="">
      <cdr:nvSpPr>
        <cdr:cNvPr id="3" name="TextovéPole 2"/>
        <cdr:cNvSpPr txBox="1"/>
      </cdr:nvSpPr>
      <cdr:spPr>
        <a:xfrm xmlns:a="http://schemas.openxmlformats.org/drawingml/2006/main">
          <a:off x="83796" y="0"/>
          <a:ext cx="2868952" cy="4310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F13 University students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of ICT field of education in the Czech Republic</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145.xml><?xml version="1.0" encoding="utf-8"?>
<c:userShapes xmlns:c="http://schemas.openxmlformats.org/drawingml/2006/chart">
  <cdr:relSizeAnchor xmlns:cdr="http://schemas.openxmlformats.org/drawingml/2006/chartDrawing">
    <cdr:from>
      <cdr:x>0</cdr:x>
      <cdr:y>0.90512</cdr:y>
    </cdr:from>
    <cdr:to>
      <cdr:x>0.9917</cdr:x>
      <cdr:y>0.9913</cdr:y>
    </cdr:to>
    <cdr:sp macro="" textlink="">
      <cdr:nvSpPr>
        <cdr:cNvPr id="3" name="TextovéPole 1"/>
        <cdr:cNvSpPr txBox="1"/>
      </cdr:nvSpPr>
      <cdr:spPr>
        <a:xfrm xmlns:a="http://schemas.openxmlformats.org/drawingml/2006/main">
          <a:off x="0" y="2491546"/>
          <a:ext cx="3041593" cy="2372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CZSO calculation based on MEYS</a:t>
          </a:r>
          <a:r>
            <a:rPr lang="cs-CZ" sz="800" i="1" baseline="0">
              <a:effectLst/>
              <a:latin typeface="Arial" panose="020B0604020202020204" pitchFamily="34" charset="0"/>
              <a:ea typeface="+mn-ea"/>
              <a:cs typeface="Arial" panose="020B0604020202020204" pitchFamily="34" charset="0"/>
            </a:rPr>
            <a:t> database, 2018</a:t>
          </a:r>
          <a:endParaRPr lang="cs-CZ" sz="800">
            <a:effectLst/>
            <a:latin typeface="Arial" panose="020B0604020202020204" pitchFamily="34" charset="0"/>
            <a:cs typeface="Arial" panose="020B0604020202020204" pitchFamily="34" charset="0"/>
          </a:endParaRPr>
        </a:p>
      </cdr:txBody>
    </cdr:sp>
  </cdr:relSizeAnchor>
</c:userShapes>
</file>

<file path=word/drawings/drawing146.xml><?xml version="1.0" encoding="utf-8"?>
<c:userShapes xmlns:c="http://schemas.openxmlformats.org/drawingml/2006/chart">
  <cdr:relSizeAnchor xmlns:cdr="http://schemas.openxmlformats.org/drawingml/2006/chartDrawing">
    <cdr:from>
      <cdr:x>0.02433</cdr:x>
      <cdr:y>0.90152</cdr:y>
    </cdr:from>
    <cdr:to>
      <cdr:x>0.9671</cdr:x>
      <cdr:y>0.98787</cdr:y>
    </cdr:to>
    <cdr:sp macro="" textlink="">
      <cdr:nvSpPr>
        <cdr:cNvPr id="2" name="TextovéPole 1"/>
        <cdr:cNvSpPr txBox="1"/>
      </cdr:nvSpPr>
      <cdr:spPr>
        <a:xfrm xmlns:a="http://schemas.openxmlformats.org/drawingml/2006/main">
          <a:off x="76200" y="2486025"/>
          <a:ext cx="29527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Source: CZSO, Structural Earnings Statistics, 2018</a:t>
          </a:r>
        </a:p>
      </cdr:txBody>
    </cdr:sp>
  </cdr:relSizeAnchor>
</c:userShapes>
</file>

<file path=word/drawings/drawing147.xml><?xml version="1.0" encoding="utf-8"?>
<c:userShapes xmlns:c="http://schemas.openxmlformats.org/drawingml/2006/chart">
  <cdr:relSizeAnchor xmlns:cdr="http://schemas.openxmlformats.org/drawingml/2006/chartDrawing">
    <cdr:from>
      <cdr:x>0.17296</cdr:x>
      <cdr:y>0.88424</cdr:y>
    </cdr:from>
    <cdr:to>
      <cdr:x>0.96102</cdr:x>
      <cdr:y>0.94425</cdr:y>
    </cdr:to>
    <cdr:sp macro="" textlink="">
      <cdr:nvSpPr>
        <cdr:cNvPr id="2" name="TextovéPole 1"/>
        <cdr:cNvSpPr txBox="1"/>
      </cdr:nvSpPr>
      <cdr:spPr>
        <a:xfrm xmlns:a="http://schemas.openxmlformats.org/drawingml/2006/main">
          <a:off x="523875" y="2417228"/>
          <a:ext cx="2387007" cy="164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cs-CZ" sz="800" i="1">
              <a:latin typeface="Arial" panose="020B0604020202020204" pitchFamily="34" charset="0"/>
              <a:cs typeface="Arial" panose="020B0604020202020204" pitchFamily="34" charset="0"/>
            </a:rPr>
            <a:t>Source: CZSO, Labour Force Survey,</a:t>
          </a:r>
          <a:r>
            <a:rPr lang="cs-CZ" sz="800" i="1" baseline="0">
              <a:latin typeface="Arial" panose="020B0604020202020204" pitchFamily="34" charset="0"/>
              <a:cs typeface="Arial" panose="020B0604020202020204" pitchFamily="34" charset="0"/>
            </a:rPr>
            <a:t> 2018</a:t>
          </a:r>
          <a:endParaRPr lang="cs-CZ" sz="800" i="1">
            <a:latin typeface="Arial" panose="020B0604020202020204" pitchFamily="34" charset="0"/>
            <a:cs typeface="Arial" panose="020B0604020202020204" pitchFamily="34" charset="0"/>
          </a:endParaRPr>
        </a:p>
      </cdr:txBody>
    </cdr:sp>
  </cdr:relSizeAnchor>
</c:userShapes>
</file>

<file path=word/drawings/drawing148.xml><?xml version="1.0" encoding="utf-8"?>
<c:userShapes xmlns:c="http://schemas.openxmlformats.org/drawingml/2006/chart">
  <cdr:relSizeAnchor xmlns:cdr="http://schemas.openxmlformats.org/drawingml/2006/chartDrawing">
    <cdr:from>
      <cdr:x>0</cdr:x>
      <cdr:y>0.87131</cdr:y>
    </cdr:from>
    <cdr:to>
      <cdr:x>0.98534</cdr:x>
      <cdr:y>0.92859</cdr:y>
    </cdr:to>
    <cdr:sp macro="" textlink="">
      <cdr:nvSpPr>
        <cdr:cNvPr id="2" name="TextovéPole 1"/>
        <cdr:cNvSpPr txBox="1"/>
      </cdr:nvSpPr>
      <cdr:spPr>
        <a:xfrm xmlns:a="http://schemas.openxmlformats.org/drawingml/2006/main">
          <a:off x="0" y="2823055"/>
          <a:ext cx="3015141" cy="185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independent physicians</a:t>
          </a: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 2018</a:t>
          </a:r>
        </a:p>
      </cdr:txBody>
    </cdr:sp>
  </cdr:relSizeAnchor>
</c:userShapes>
</file>

<file path=word/drawings/drawing149.xml><?xml version="1.0" encoding="utf-8"?>
<c:userShapes xmlns:c="http://schemas.openxmlformats.org/drawingml/2006/chart">
  <cdr:relSizeAnchor xmlns:cdr="http://schemas.openxmlformats.org/drawingml/2006/chartDrawing">
    <cdr:from>
      <cdr:x>0</cdr:x>
      <cdr:y>0.85014</cdr:y>
    </cdr:from>
    <cdr:to>
      <cdr:x>0.98534</cdr:x>
      <cdr:y>0.90742</cdr:y>
    </cdr:to>
    <cdr:sp macro="" textlink="">
      <cdr:nvSpPr>
        <cdr:cNvPr id="2" name="TextovéPole 1"/>
        <cdr:cNvSpPr txBox="1"/>
      </cdr:nvSpPr>
      <cdr:spPr>
        <a:xfrm xmlns:a="http://schemas.openxmlformats.org/drawingml/2006/main">
          <a:off x="-3790950" y="2294851"/>
          <a:ext cx="2928233" cy="154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independent physicians of a given practice</a:t>
          </a: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 2018</a:t>
          </a:r>
        </a:p>
      </cdr:txBody>
    </cdr:sp>
  </cdr:relSizeAnchor>
</c:userShapes>
</file>

<file path=word/drawings/drawing1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CZSO calculations based</a:t>
          </a:r>
          <a:r>
            <a:rPr lang="cs-CZ" sz="800" i="1" baseline="0">
              <a:latin typeface="Arial" panose="020B0604020202020204" pitchFamily="34" charset="0"/>
              <a:cs typeface="Arial" panose="020B0604020202020204" pitchFamily="34" charset="0"/>
            </a:rPr>
            <a:t> on International Telecommunication Union data, 201</a:t>
          </a:r>
          <a:r>
            <a:rPr lang="cs-CZ" sz="800" i="1">
              <a:latin typeface="Arial" panose="020B0604020202020204" pitchFamily="34" charset="0"/>
              <a:cs typeface="Arial" panose="020B0604020202020204" pitchFamily="34" charset="0"/>
            </a:rPr>
            <a:t>8</a:t>
          </a:r>
        </a:p>
      </cdr:txBody>
    </cdr:sp>
  </cdr:relSizeAnchor>
  <cdr:relSizeAnchor xmlns:cdr="http://schemas.openxmlformats.org/drawingml/2006/chartDrawing">
    <cdr:from>
      <cdr:x>0.02552</cdr:x>
      <cdr:y>0.0208</cdr:y>
    </cdr:from>
    <cdr:to>
      <cdr:x>0.99989</cdr:x>
      <cdr:y>0.10919</cdr:y>
    </cdr:to>
    <cdr:sp macro="" textlink="">
      <cdr:nvSpPr>
        <cdr:cNvPr id="3" name="Textové pole 2"/>
        <cdr:cNvSpPr txBox="1"/>
      </cdr:nvSpPr>
      <cdr:spPr>
        <a:xfrm xmlns:a="http://schemas.openxmlformats.org/drawingml/2006/main">
          <a:off x="152400" y="76200"/>
          <a:ext cx="58197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a:latin typeface="Arial" panose="020B0604020202020204" pitchFamily="34" charset="0"/>
              <a:cs typeface="Arial" panose="020B0604020202020204" pitchFamily="34" charset="0"/>
            </a:rPr>
            <a:t>Figure</a:t>
          </a:r>
          <a:r>
            <a:rPr lang="en-US" sz="800" b="1">
              <a:latin typeface="Arial" panose="020B0604020202020204" pitchFamily="34" charset="0"/>
              <a:cs typeface="Arial" panose="020B0604020202020204" pitchFamily="34" charset="0"/>
            </a:rPr>
            <a:t> A</a:t>
          </a:r>
          <a:r>
            <a:rPr lang="cs-CZ" sz="800" b="1">
              <a:latin typeface="Arial" panose="020B0604020202020204" pitchFamily="34" charset="0"/>
              <a:cs typeface="Arial" panose="020B0604020202020204" pitchFamily="34" charset="0"/>
            </a:rPr>
            <a:t>15 Fixed broadband</a:t>
          </a:r>
          <a:r>
            <a:rPr lang="cs-CZ" sz="800" b="1" baseline="0">
              <a:latin typeface="Arial" panose="020B0604020202020204" pitchFamily="34" charset="0"/>
              <a:cs typeface="Arial" panose="020B0604020202020204" pitchFamily="34" charset="0"/>
            </a:rPr>
            <a:t> subscriptions per 100 inhabitants in EU countries by technology; 2016</a:t>
          </a:r>
          <a:endParaRPr lang="en-US" sz="800" b="1">
            <a:latin typeface="Arial" panose="020B0604020202020204" pitchFamily="34" charset="0"/>
            <a:cs typeface="Arial" panose="020B0604020202020204" pitchFamily="34" charset="0"/>
          </a:endParaRPr>
        </a:p>
        <a:p xmlns:a="http://schemas.openxmlformats.org/drawingml/2006/main">
          <a:endParaRPr lang="cs-CZ" sz="800" b="1">
            <a:latin typeface="Arial" panose="020B0604020202020204" pitchFamily="34" charset="0"/>
            <a:cs typeface="Arial" panose="020B0604020202020204" pitchFamily="34" charset="0"/>
          </a:endParaRPr>
        </a:p>
      </cdr:txBody>
    </cdr:sp>
  </cdr:relSizeAnchor>
</c:userShapes>
</file>

<file path=word/drawings/drawing150.xml><?xml version="1.0" encoding="utf-8"?>
<c:userShapes xmlns:c="http://schemas.openxmlformats.org/drawingml/2006/chart">
  <cdr:relSizeAnchor xmlns:cdr="http://schemas.openxmlformats.org/drawingml/2006/chartDrawing">
    <cdr:from>
      <cdr:x>0.01117</cdr:x>
      <cdr:y>0.86436</cdr:y>
    </cdr:from>
    <cdr:to>
      <cdr:x>1</cdr:x>
      <cdr:y>0.92921</cdr:y>
    </cdr:to>
    <cdr:sp macro="" textlink="">
      <cdr:nvSpPr>
        <cdr:cNvPr id="3" name="TextovéPole 1"/>
        <cdr:cNvSpPr txBox="1"/>
      </cdr:nvSpPr>
      <cdr:spPr>
        <a:xfrm xmlns:a="http://schemas.openxmlformats.org/drawingml/2006/main">
          <a:off x="33620" y="2519302"/>
          <a:ext cx="2976280" cy="189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Statisticsc, 2018</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endParaRPr lang="cs-CZ" sz="800">
            <a:solidFill>
              <a:srgbClr val="FF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0.82349</cdr:y>
    </cdr:from>
    <cdr:to>
      <cdr:x>1</cdr:x>
      <cdr:y>0.89869</cdr:y>
    </cdr:to>
    <cdr:sp macro="" textlink="">
      <cdr:nvSpPr>
        <cdr:cNvPr id="4" name="TextovéPole 1"/>
        <cdr:cNvSpPr txBox="1"/>
      </cdr:nvSpPr>
      <cdr:spPr>
        <a:xfrm xmlns:a="http://schemas.openxmlformats.org/drawingml/2006/main">
          <a:off x="0" y="2400193"/>
          <a:ext cx="3009900" cy="219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endParaRPr lang="cs-CZ" sz="800">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51.xml><?xml version="1.0" encoding="utf-8"?>
<c:userShapes xmlns:c="http://schemas.openxmlformats.org/drawingml/2006/chart">
  <cdr:relSizeAnchor xmlns:cdr="http://schemas.openxmlformats.org/drawingml/2006/chartDrawing">
    <cdr:from>
      <cdr:x>0.04359</cdr:x>
      <cdr:y>0.85807</cdr:y>
    </cdr:from>
    <cdr:to>
      <cdr:x>0.9917</cdr:x>
      <cdr:y>0.92646</cdr:y>
    </cdr:to>
    <cdr:sp macro="" textlink="">
      <cdr:nvSpPr>
        <cdr:cNvPr id="3" name="TextovéPole 1"/>
        <cdr:cNvSpPr txBox="1"/>
      </cdr:nvSpPr>
      <cdr:spPr>
        <a:xfrm xmlns:a="http://schemas.openxmlformats.org/drawingml/2006/main">
          <a:off x="134524" y="2255786"/>
          <a:ext cx="2925962" cy="179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Statisticsc, 2018</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endParaRPr lang="cs-CZ" sz="800">
            <a:latin typeface="Arial" panose="020B0604020202020204" pitchFamily="34" charset="0"/>
            <a:cs typeface="Arial" panose="020B0604020202020204" pitchFamily="34" charset="0"/>
          </a:endParaRPr>
        </a:p>
      </cdr:txBody>
    </cdr:sp>
  </cdr:relSizeAnchor>
</c:userShapes>
</file>

<file path=word/drawings/drawing152.xml><?xml version="1.0" encoding="utf-8"?>
<c:userShapes xmlns:c="http://schemas.openxmlformats.org/drawingml/2006/chart">
  <cdr:relSizeAnchor xmlns:cdr="http://schemas.openxmlformats.org/drawingml/2006/chartDrawing">
    <cdr:from>
      <cdr:x>0.00881</cdr:x>
      <cdr:y>0.73683</cdr:y>
    </cdr:from>
    <cdr:to>
      <cdr:x>0.99415</cdr:x>
      <cdr:y>0.94668</cdr:y>
    </cdr:to>
    <cdr:sp macro="" textlink="">
      <cdr:nvSpPr>
        <cdr:cNvPr id="2" name="TextovéPole 1"/>
        <cdr:cNvSpPr txBox="1"/>
      </cdr:nvSpPr>
      <cdr:spPr>
        <a:xfrm xmlns:a="http://schemas.openxmlformats.org/drawingml/2006/main">
          <a:off x="26927" y="2481351"/>
          <a:ext cx="3011599" cy="7066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independent physicians of a given practice</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endParaRP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rPr>
            <a:t>** Includes independent physicians keeping at least part of health records (medical patient data) in electronic form on their computers or the internet</a:t>
          </a:r>
          <a:r>
            <a:rPr lang="cs-CZ" sz="800">
              <a:latin typeface="Arial" panose="020B0604020202020204" pitchFamily="34" charset="0"/>
              <a:cs typeface="Arial" panose="020B0604020202020204" pitchFamily="34" charset="0"/>
            </a:rPr>
            <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 2018</a:t>
          </a:r>
        </a:p>
      </cdr:txBody>
    </cdr:sp>
  </cdr:relSizeAnchor>
</c:userShapes>
</file>

<file path=word/drawings/drawing153.xml><?xml version="1.0" encoding="utf-8"?>
<c:userShapes xmlns:c="http://schemas.openxmlformats.org/drawingml/2006/chart">
  <cdr:relSizeAnchor xmlns:cdr="http://schemas.openxmlformats.org/drawingml/2006/chartDrawing">
    <cdr:from>
      <cdr:x>0.00312</cdr:x>
      <cdr:y>0.74172</cdr:y>
    </cdr:from>
    <cdr:to>
      <cdr:x>0.98846</cdr:x>
      <cdr:y>0.93594</cdr:y>
    </cdr:to>
    <cdr:sp macro="" textlink="">
      <cdr:nvSpPr>
        <cdr:cNvPr id="2" name="TextovéPole 1"/>
        <cdr:cNvSpPr txBox="1"/>
      </cdr:nvSpPr>
      <cdr:spPr>
        <a:xfrm xmlns:a="http://schemas.openxmlformats.org/drawingml/2006/main">
          <a:off x="9525" y="2509906"/>
          <a:ext cx="3010199" cy="6572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independent physicians of a given practice</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endParaRP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kumimoji="0" lang="cs-CZ" sz="800" b="0" i="0" u="none" strike="noStrike" kern="0" cap="none" spc="0" normalizeH="0" baseline="0" noProof="0">
              <a:ln>
                <a:noFill/>
              </a:ln>
              <a:solidFill>
                <a:sysClr val="windowText" lastClr="000000"/>
              </a:solidFill>
              <a:effectLst/>
              <a:uLnTx/>
              <a:uFillTx/>
              <a:latin typeface="Arial" panose="020B0604020202020204" pitchFamily="34" charset="0"/>
              <a:ea typeface="+mn-ea"/>
              <a:cs typeface="Arial" panose="020B0604020202020204" pitchFamily="34" charset="0"/>
            </a:rPr>
            <a:t>**  Includes independent physicians keeping at least part of health records (medical patient data) in paper form.</a:t>
          </a:r>
          <a:endParaRPr lang="cs-CZ" sz="800">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a:r>
          <a:br>
            <a:rPr lang="cs-CZ" sz="800">
              <a:latin typeface="Arial" panose="020B0604020202020204" pitchFamily="34" charset="0"/>
              <a:cs typeface="Arial" panose="020B0604020202020204" pitchFamily="34" charset="0"/>
            </a:rPr>
          </a:b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0.05189</cdr:x>
      <cdr:y>0.94575</cdr:y>
    </cdr:from>
    <cdr:to>
      <cdr:x>1</cdr:x>
      <cdr:y>0.99375</cdr:y>
    </cdr:to>
    <cdr:sp macro="" textlink="">
      <cdr:nvSpPr>
        <cdr:cNvPr id="3" name="TextovéPole 1"/>
        <cdr:cNvSpPr txBox="1"/>
      </cdr:nvSpPr>
      <cdr:spPr>
        <a:xfrm xmlns:a="http://schemas.openxmlformats.org/drawingml/2006/main">
          <a:off x="213517" y="4152825"/>
          <a:ext cx="3901284" cy="210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Institute of Health Information and Statistics, 2018</a:t>
          </a:r>
        </a:p>
      </cdr:txBody>
    </cdr:sp>
  </cdr:relSizeAnchor>
</c:userShapes>
</file>

<file path=word/drawings/drawing154.xml><?xml version="1.0" encoding="utf-8"?>
<c:userShapes xmlns:c="http://schemas.openxmlformats.org/drawingml/2006/chart">
  <cdr:relSizeAnchor xmlns:cdr="http://schemas.openxmlformats.org/drawingml/2006/chartDrawing">
    <cdr:from>
      <cdr:x>0.01206</cdr:x>
      <cdr:y>0.93178</cdr:y>
    </cdr:from>
    <cdr:to>
      <cdr:x>0.98647</cdr:x>
      <cdr:y>0.9903</cdr:y>
    </cdr:to>
    <cdr:sp macro="" textlink="">
      <cdr:nvSpPr>
        <cdr:cNvPr id="2" name="TextovéPole 1"/>
        <cdr:cNvSpPr txBox="1"/>
      </cdr:nvSpPr>
      <cdr:spPr>
        <a:xfrm xmlns:a="http://schemas.openxmlformats.org/drawingml/2006/main">
          <a:off x="35955" y="3200400"/>
          <a:ext cx="2905033" cy="2009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Institute of Health Information and Statistics, 2018</a:t>
          </a:r>
        </a:p>
      </cdr:txBody>
    </cdr:sp>
  </cdr:relSizeAnchor>
  <cdr:relSizeAnchor xmlns:cdr="http://schemas.openxmlformats.org/drawingml/2006/chartDrawing">
    <cdr:from>
      <cdr:x>0.01466</cdr:x>
      <cdr:y>0.85136</cdr:y>
    </cdr:from>
    <cdr:to>
      <cdr:x>0.9764</cdr:x>
      <cdr:y>0.95945</cdr:y>
    </cdr:to>
    <cdr:sp macro="" textlink="">
      <cdr:nvSpPr>
        <cdr:cNvPr id="3" name="TextovéPole 1"/>
        <cdr:cNvSpPr txBox="1"/>
      </cdr:nvSpPr>
      <cdr:spPr>
        <a:xfrm xmlns:a="http://schemas.openxmlformats.org/drawingml/2006/main">
          <a:off x="43706" y="2924175"/>
          <a:ext cx="2867260" cy="3712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independent physicians of a given practice</a:t>
          </a:r>
        </a:p>
      </cdr:txBody>
    </cdr:sp>
  </cdr:relSizeAnchor>
</c:userShapes>
</file>

<file path=word/drawings/drawing155.xml><?xml version="1.0" encoding="utf-8"?>
<c:userShapes xmlns:c="http://schemas.openxmlformats.org/drawingml/2006/chart">
  <cdr:relSizeAnchor xmlns:cdr="http://schemas.openxmlformats.org/drawingml/2006/chartDrawing">
    <cdr:from>
      <cdr:x>0</cdr:x>
      <cdr:y>0.92613</cdr:y>
    </cdr:from>
    <cdr:to>
      <cdr:x>0.98647</cdr:x>
      <cdr:y>0.9863</cdr:y>
    </cdr:to>
    <cdr:sp macro="" textlink="">
      <cdr:nvSpPr>
        <cdr:cNvPr id="2" name="TextovéPole 1"/>
        <cdr:cNvSpPr txBox="1"/>
      </cdr:nvSpPr>
      <cdr:spPr>
        <a:xfrm xmlns:a="http://schemas.openxmlformats.org/drawingml/2006/main">
          <a:off x="0" y="3180990"/>
          <a:ext cx="2964792" cy="2066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Institute of Health Information and Statistics, 2018</a:t>
          </a:r>
        </a:p>
      </cdr:txBody>
    </cdr:sp>
  </cdr:relSizeAnchor>
  <cdr:relSizeAnchor xmlns:cdr="http://schemas.openxmlformats.org/drawingml/2006/chartDrawing">
    <cdr:from>
      <cdr:x>0.01212</cdr:x>
      <cdr:y>0.80711</cdr:y>
    </cdr:from>
    <cdr:to>
      <cdr:x>0.97386</cdr:x>
      <cdr:y>0.88741</cdr:y>
    </cdr:to>
    <cdr:sp macro="" textlink="">
      <cdr:nvSpPr>
        <cdr:cNvPr id="3" name="TextovéPole 1"/>
        <cdr:cNvSpPr txBox="1"/>
      </cdr:nvSpPr>
      <cdr:spPr>
        <a:xfrm xmlns:a="http://schemas.openxmlformats.org/drawingml/2006/main">
          <a:off x="36440" y="2772185"/>
          <a:ext cx="2890466" cy="2758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independent physicians of a given practice</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cs-CZ" sz="800" b="0" i="0" baseline="0">
              <a:effectLst/>
              <a:latin typeface="Arial" panose="020B0604020202020204" pitchFamily="34" charset="0"/>
              <a:ea typeface="+mn-ea"/>
              <a:cs typeface="Arial" panose="020B0604020202020204" pitchFamily="34" charset="0"/>
            </a:rPr>
            <a:t>** List of patients for general medical examination, tests etc.</a:t>
          </a:r>
          <a:endParaRPr lang="cs-CZ" sz="800">
            <a:effectLst/>
            <a:latin typeface="Arial" panose="020B0604020202020204" pitchFamily="34" charset="0"/>
            <a:cs typeface="Arial" panose="020B0604020202020204" pitchFamily="34" charset="0"/>
          </a:endParaRPr>
        </a:p>
      </cdr:txBody>
    </cdr:sp>
  </cdr:relSizeAnchor>
</c:userShapes>
</file>

<file path=word/drawings/drawing156.xml><?xml version="1.0" encoding="utf-8"?>
<c:userShapes xmlns:c="http://schemas.openxmlformats.org/drawingml/2006/chart">
  <cdr:relSizeAnchor xmlns:cdr="http://schemas.openxmlformats.org/drawingml/2006/chartDrawing">
    <cdr:from>
      <cdr:x>0.02183</cdr:x>
      <cdr:y>0.91487</cdr:y>
    </cdr:from>
    <cdr:to>
      <cdr:x>0.9917</cdr:x>
      <cdr:y>0.9913</cdr:y>
    </cdr:to>
    <cdr:sp macro="" textlink="">
      <cdr:nvSpPr>
        <cdr:cNvPr id="3" name="TextovéPole 1"/>
        <cdr:cNvSpPr txBox="1"/>
      </cdr:nvSpPr>
      <cdr:spPr>
        <a:xfrm xmlns:a="http://schemas.openxmlformats.org/drawingml/2006/main">
          <a:off x="62901" y="2769934"/>
          <a:ext cx="2794182" cy="2314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ICT use survey in households, 2018</a:t>
          </a:r>
        </a:p>
      </cdr:txBody>
    </cdr:sp>
  </cdr:relSizeAnchor>
</c:userShapes>
</file>

<file path=word/drawings/drawing157.xml><?xml version="1.0" encoding="utf-8"?>
<c:userShapes xmlns:c="http://schemas.openxmlformats.org/drawingml/2006/chart">
  <cdr:relSizeAnchor xmlns:cdr="http://schemas.openxmlformats.org/drawingml/2006/chartDrawing">
    <cdr:from>
      <cdr:x>0.01822</cdr:x>
      <cdr:y>0.91487</cdr:y>
    </cdr:from>
    <cdr:to>
      <cdr:x>0.9917</cdr:x>
      <cdr:y>0.9913</cdr:y>
    </cdr:to>
    <cdr:sp macro="" textlink="">
      <cdr:nvSpPr>
        <cdr:cNvPr id="3" name="TextovéPole 1"/>
        <cdr:cNvSpPr txBox="1"/>
      </cdr:nvSpPr>
      <cdr:spPr>
        <a:xfrm xmlns:a="http://schemas.openxmlformats.org/drawingml/2006/main">
          <a:off x="53915" y="2801304"/>
          <a:ext cx="2879995" cy="234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ICT use survey in</a:t>
          </a:r>
          <a:r>
            <a:rPr lang="cs-CZ" sz="800" i="1" baseline="0">
              <a:effectLst/>
              <a:latin typeface="Arial" panose="020B0604020202020204" pitchFamily="34" charset="0"/>
              <a:ea typeface="+mn-ea"/>
              <a:cs typeface="Arial" panose="020B0604020202020204" pitchFamily="34" charset="0"/>
            </a:rPr>
            <a:t> </a:t>
          </a:r>
          <a:r>
            <a:rPr lang="cs-CZ" sz="800" i="1">
              <a:effectLst/>
              <a:latin typeface="Arial" panose="020B0604020202020204" pitchFamily="34" charset="0"/>
              <a:ea typeface="+mn-ea"/>
              <a:cs typeface="Arial" panose="020B0604020202020204" pitchFamily="34" charset="0"/>
            </a:rPr>
            <a:t>households, 2018</a:t>
          </a:r>
        </a:p>
      </cdr:txBody>
    </cdr:sp>
  </cdr:relSizeAnchor>
</c:userShapes>
</file>

<file path=word/drawings/drawing15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0.02483</cdr:x>
      <cdr:y>0.86834</cdr:y>
    </cdr:from>
    <cdr:to>
      <cdr:x>0.94872</cdr:x>
      <cdr:y>0.94372</cdr:y>
    </cdr:to>
    <cdr:sp macro="" textlink="">
      <cdr:nvSpPr>
        <cdr:cNvPr id="4" name="TextovéPole 1"/>
        <cdr:cNvSpPr txBox="1"/>
      </cdr:nvSpPr>
      <cdr:spPr>
        <a:xfrm xmlns:a="http://schemas.openxmlformats.org/drawingml/2006/main">
          <a:off x="148305" y="2851267"/>
          <a:ext cx="5518219" cy="2475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aged 16 to 74 in a given country</a:t>
          </a:r>
        </a:p>
      </cdr:txBody>
    </cdr:sp>
  </cdr:relSizeAnchor>
</c:userShapes>
</file>

<file path=word/drawings/drawing159.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0.02483</cdr:x>
      <cdr:y>0.86013</cdr:y>
    </cdr:from>
    <cdr:to>
      <cdr:x>0.94872</cdr:x>
      <cdr:y>0.93551</cdr:y>
    </cdr:to>
    <cdr:sp macro="" textlink="">
      <cdr:nvSpPr>
        <cdr:cNvPr id="4" name="TextovéPole 1"/>
        <cdr:cNvSpPr txBox="1"/>
      </cdr:nvSpPr>
      <cdr:spPr>
        <a:xfrm xmlns:a="http://schemas.openxmlformats.org/drawingml/2006/main">
          <a:off x="148305" y="2824310"/>
          <a:ext cx="5518219" cy="2475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female and male internet users aged 16 to 74 in a given country</a:t>
          </a:r>
        </a:p>
      </cdr:txBody>
    </cdr:sp>
  </cdr:relSizeAnchor>
</c:userShapes>
</file>

<file path=word/drawings/drawing16.xml><?xml version="1.0" encoding="utf-8"?>
<c:userShapes xmlns:c="http://schemas.openxmlformats.org/drawingml/2006/chart">
  <cdr:relSizeAnchor xmlns:cdr="http://schemas.openxmlformats.org/drawingml/2006/chartDrawing">
    <cdr:from>
      <cdr:x>0.02255</cdr:x>
      <cdr:y>0.90429</cdr:y>
    </cdr:from>
    <cdr:to>
      <cdr:x>0.9302</cdr:x>
      <cdr:y>0.96469</cdr:y>
    </cdr:to>
    <cdr:sp macro="" textlink="">
      <cdr:nvSpPr>
        <cdr:cNvPr id="3" name="TextovéPole 1"/>
        <cdr:cNvSpPr txBox="1"/>
      </cdr:nvSpPr>
      <cdr:spPr>
        <a:xfrm xmlns:a="http://schemas.openxmlformats.org/drawingml/2006/main">
          <a:off x="72398" y="2618462"/>
          <a:ext cx="2913488" cy="1748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160.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ICT use survey in households, 2018</a:t>
          </a:r>
        </a:p>
      </cdr:txBody>
    </cdr:sp>
  </cdr:relSizeAnchor>
  <cdr:relSizeAnchor xmlns:cdr="http://schemas.openxmlformats.org/drawingml/2006/chartDrawing">
    <cdr:from>
      <cdr:x>0.00594</cdr:x>
      <cdr:y>0.00049</cdr:y>
    </cdr:from>
    <cdr:to>
      <cdr:x>0.99384</cdr:x>
      <cdr:y>0.14288</cdr:y>
    </cdr:to>
    <cdr:sp macro="" textlink="">
      <cdr:nvSpPr>
        <cdr:cNvPr id="2" name="TextovéPole 1"/>
        <cdr:cNvSpPr txBox="1"/>
      </cdr:nvSpPr>
      <cdr:spPr>
        <a:xfrm xmlns:a="http://schemas.openxmlformats.org/drawingml/2006/main">
          <a:off x="18154" y="1602"/>
          <a:ext cx="3019274" cy="465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Figure G13 Individuals in the Czech Republic, who consulted a practitioner online via the website application; 2016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800">
            <a:latin typeface="Arial" panose="020B0604020202020204" pitchFamily="34" charset="0"/>
            <a:cs typeface="Arial" panose="020B0604020202020204" pitchFamily="34" charset="0"/>
          </a:endParaRPr>
        </a:p>
      </cdr:txBody>
    </cdr:sp>
  </cdr:relSizeAnchor>
</c:userShapes>
</file>

<file path=word/drawings/drawing161.xml><?xml version="1.0" encoding="utf-8"?>
<c:userShapes xmlns:c="http://schemas.openxmlformats.org/drawingml/2006/chart">
  <cdr:relSizeAnchor xmlns:cdr="http://schemas.openxmlformats.org/drawingml/2006/chartDrawing">
    <cdr:from>
      <cdr:x>0</cdr:x>
      <cdr:y>0.91487</cdr:y>
    </cdr:from>
    <cdr:to>
      <cdr:x>0.9917</cdr:x>
      <cdr:y>1</cdr:y>
    </cdr:to>
    <cdr:sp macro="" textlink="">
      <cdr:nvSpPr>
        <cdr:cNvPr id="3" name="TextovéPole 1"/>
        <cdr:cNvSpPr txBox="1"/>
      </cdr:nvSpPr>
      <cdr:spPr>
        <a:xfrm xmlns:a="http://schemas.openxmlformats.org/drawingml/2006/main">
          <a:off x="0" y="2991854"/>
          <a:ext cx="3030888" cy="2783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Statistical Office, </a:t>
          </a:r>
        </a:p>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ICT use survey in households, 2018</a:t>
          </a:r>
        </a:p>
      </cdr:txBody>
    </cdr:sp>
  </cdr:relSizeAnchor>
  <cdr:relSizeAnchor xmlns:cdr="http://schemas.openxmlformats.org/drawingml/2006/chartDrawing">
    <cdr:from>
      <cdr:x>0.01923</cdr:x>
      <cdr:y>0.00049</cdr:y>
    </cdr:from>
    <cdr:to>
      <cdr:x>0.96038</cdr:x>
      <cdr:y>0.16212</cdr:y>
    </cdr:to>
    <cdr:sp macro="" textlink="">
      <cdr:nvSpPr>
        <cdr:cNvPr id="2" name="TextovéPole 1"/>
        <cdr:cNvSpPr txBox="1"/>
      </cdr:nvSpPr>
      <cdr:spPr>
        <a:xfrm xmlns:a="http://schemas.openxmlformats.org/drawingml/2006/main">
          <a:off x="58772" y="1601"/>
          <a:ext cx="2876394" cy="5285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Figure G14 Individuals in the Czech Republic, who made an online appointment with a practitioner via the website application; 2016</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162.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0.02193</cdr:x>
      <cdr:y>0.91494</cdr:y>
    </cdr:from>
    <cdr:to>
      <cdr:x>0.63338</cdr:x>
      <cdr:y>0.99032</cdr:y>
    </cdr:to>
    <cdr:sp macro="" textlink="">
      <cdr:nvSpPr>
        <cdr:cNvPr id="4" name="TextovéPole 1"/>
        <cdr:cNvSpPr txBox="1"/>
      </cdr:nvSpPr>
      <cdr:spPr>
        <a:xfrm xmlns:a="http://schemas.openxmlformats.org/drawingml/2006/main">
          <a:off x="131011" y="2847430"/>
          <a:ext cx="3652031"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aged 16 to 74 in a given country</a:t>
          </a:r>
        </a:p>
      </cdr:txBody>
    </cdr:sp>
  </cdr:relSizeAnchor>
</c:userShapes>
</file>

<file path=word/drawings/drawing17.xml><?xml version="1.0" encoding="utf-8"?>
<c:userShapes xmlns:c="http://schemas.openxmlformats.org/drawingml/2006/chart">
  <cdr:relSizeAnchor xmlns:cdr="http://schemas.openxmlformats.org/drawingml/2006/chartDrawing">
    <cdr:from>
      <cdr:x>0.00159</cdr:x>
      <cdr:y>0.92883</cdr:y>
    </cdr:from>
    <cdr:to>
      <cdr:x>1</cdr:x>
      <cdr:y>1</cdr:y>
    </cdr:to>
    <cdr:sp macro="" textlink="">
      <cdr:nvSpPr>
        <cdr:cNvPr id="3" name="TextovéPole 1"/>
        <cdr:cNvSpPr txBox="1"/>
      </cdr:nvSpPr>
      <cdr:spPr>
        <a:xfrm xmlns:a="http://schemas.openxmlformats.org/drawingml/2006/main">
          <a:off x="4822" y="2486025"/>
          <a:ext cx="3027578" cy="190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dr:relSizeAnchor xmlns:cdr="http://schemas.openxmlformats.org/drawingml/2006/chartDrawing">
    <cdr:from>
      <cdr:x>0.01974</cdr:x>
      <cdr:y>0</cdr:y>
    </cdr:from>
    <cdr:to>
      <cdr:x>0.97368</cdr:x>
      <cdr:y>0.15947</cdr:y>
    </cdr:to>
    <cdr:sp macro="" textlink="">
      <cdr:nvSpPr>
        <cdr:cNvPr id="2" name="Textové pole 1"/>
        <cdr:cNvSpPr txBox="1"/>
      </cdr:nvSpPr>
      <cdr:spPr>
        <a:xfrm xmlns:a="http://schemas.openxmlformats.org/drawingml/2006/main">
          <a:off x="57150" y="0"/>
          <a:ext cx="2762250" cy="4571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solidFill>
                <a:schemeClr val="dk1"/>
              </a:solidFill>
              <a:effectLst/>
              <a:latin typeface="Arial" panose="020B0604020202020204" pitchFamily="34" charset="0"/>
              <a:ea typeface="+mn-ea"/>
              <a:cs typeface="Arial" panose="020B0604020202020204" pitchFamily="34" charset="0"/>
            </a:rPr>
            <a:t>Figure A17 Fixed broadband internet connection in the Czech Republic by speed and used technology; 2016 (% and thous. of subscriptions)</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p>
      </cdr:txBody>
    </cdr:sp>
  </cdr:relSizeAnchor>
</c:userShapes>
</file>

<file path=word/drawings/drawing18.xml><?xml version="1.0" encoding="utf-8"?>
<c:userShapes xmlns:c="http://schemas.openxmlformats.org/drawingml/2006/chart">
  <cdr:relSizeAnchor xmlns:cdr="http://schemas.openxmlformats.org/drawingml/2006/chartDrawing">
    <cdr:from>
      <cdr:x>0.19779</cdr:x>
      <cdr:y>0.93175</cdr:y>
    </cdr:from>
    <cdr:to>
      <cdr:x>0.9814</cdr:x>
      <cdr:y>0.99682</cdr:y>
    </cdr:to>
    <cdr:sp macro="" textlink="">
      <cdr:nvSpPr>
        <cdr:cNvPr id="2" name="TextovéPole 1"/>
        <cdr:cNvSpPr txBox="1"/>
      </cdr:nvSpPr>
      <cdr:spPr>
        <a:xfrm xmlns:a="http://schemas.openxmlformats.org/drawingml/2006/main">
          <a:off x="1203325" y="2851150"/>
          <a:ext cx="4767497" cy="1991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CZSO calculations based on European Commission data, 2018</a:t>
          </a:r>
        </a:p>
      </cdr:txBody>
    </cdr:sp>
  </cdr:relSizeAnchor>
</c:userShapes>
</file>

<file path=word/drawings/drawing19.xml><?xml version="1.0" encoding="utf-8"?>
<c:userShapes xmlns:c="http://schemas.openxmlformats.org/drawingml/2006/chart">
  <cdr:relSizeAnchor xmlns:cdr="http://schemas.openxmlformats.org/drawingml/2006/chartDrawing">
    <cdr:from>
      <cdr:x>0.04515</cdr:x>
      <cdr:y>0.90462</cdr:y>
    </cdr:from>
    <cdr:to>
      <cdr:x>0.99602</cdr:x>
      <cdr:y>0.96934</cdr:y>
    </cdr:to>
    <cdr:sp macro="" textlink="">
      <cdr:nvSpPr>
        <cdr:cNvPr id="3" name="TextovéPole 1"/>
        <cdr:cNvSpPr txBox="1"/>
      </cdr:nvSpPr>
      <cdr:spPr>
        <a:xfrm xmlns:a="http://schemas.openxmlformats.org/drawingml/2006/main">
          <a:off x="136525" y="2279650"/>
          <a:ext cx="2875431" cy="16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eaLnBrk="1" fontAlgn="auto" latinLnBrk="0" hangingPunct="1"/>
          <a:endParaRPr lang="cs-CZ" sz="800" i="0">
            <a:effectLst/>
          </a:endParaRPr>
        </a:p>
      </cdr:txBody>
    </cdr:sp>
  </cdr:relSizeAnchor>
  <cdr:relSizeAnchor xmlns:cdr="http://schemas.openxmlformats.org/drawingml/2006/chartDrawing">
    <cdr:from>
      <cdr:x>0</cdr:x>
      <cdr:y>0.8895</cdr:y>
    </cdr:from>
    <cdr:to>
      <cdr:x>0.97351</cdr:x>
      <cdr:y>0.96417</cdr:y>
    </cdr:to>
    <cdr:sp macro="" textlink="">
      <cdr:nvSpPr>
        <cdr:cNvPr id="3" name="TextovéPole 1"/>
        <cdr:cNvSpPr txBox="1"/>
      </cdr:nvSpPr>
      <cdr:spPr>
        <a:xfrm xmlns:a="http://schemas.openxmlformats.org/drawingml/2006/main">
          <a:off x="0" y="22415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latin typeface="Arial" panose="020B06040202020202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0.04913</cdr:x>
      <cdr:y>0.90462</cdr:y>
    </cdr:from>
    <cdr:to>
      <cdr:x>1</cdr:x>
      <cdr:y>0.96934</cdr:y>
    </cdr:to>
    <cdr:sp macro="" textlink="">
      <cdr:nvSpPr>
        <cdr:cNvPr id="3" name="TextovéPole 1"/>
        <cdr:cNvSpPr txBox="1"/>
      </cdr:nvSpPr>
      <cdr:spPr>
        <a:xfrm xmlns:a="http://schemas.openxmlformats.org/drawingml/2006/main">
          <a:off x="148569" y="2279650"/>
          <a:ext cx="2875431" cy="1630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Telecommunication Office, 2018</a:t>
          </a:r>
          <a:endParaRPr lang="cs-CZ" sz="800" baseline="0">
            <a:effectLst/>
            <a:latin typeface="Arial" panose="020B0604020202020204" pitchFamily="34" charset="0"/>
          </a:endParaRPr>
        </a:p>
      </cdr:txBody>
    </cdr:sp>
  </cdr:relSizeAnchor>
  <cdr:relSizeAnchor xmlns:cdr="http://schemas.openxmlformats.org/drawingml/2006/chartDrawing">
    <cdr:from>
      <cdr:x>0.02835</cdr:x>
      <cdr:y>0.00756</cdr:y>
    </cdr:from>
    <cdr:to>
      <cdr:x>0.97644</cdr:x>
      <cdr:y>0.14363</cdr:y>
    </cdr:to>
    <cdr:sp macro="" textlink="">
      <cdr:nvSpPr>
        <cdr:cNvPr id="4" name="TextovéPole 3"/>
        <cdr:cNvSpPr txBox="1"/>
      </cdr:nvSpPr>
      <cdr:spPr>
        <a:xfrm xmlns:a="http://schemas.openxmlformats.org/drawingml/2006/main">
          <a:off x="85725" y="19050"/>
          <a:ext cx="28670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a:t>
          </a:r>
          <a:r>
            <a:rPr lang="en-US" sz="800" b="1" i="0" baseline="0">
              <a:effectLst/>
              <a:latin typeface="Arial" panose="020B0604020202020204" pitchFamily="34" charset="0"/>
              <a:ea typeface="+mn-ea"/>
              <a:cs typeface="Arial" panose="020B0604020202020204" pitchFamily="34" charset="0"/>
            </a:rPr>
            <a:t> A</a:t>
          </a:r>
          <a:r>
            <a:rPr lang="cs-CZ" sz="800" b="1" i="0" baseline="0">
              <a:effectLst/>
              <a:latin typeface="Arial" panose="020B0604020202020204" pitchFamily="34" charset="0"/>
              <a:ea typeface="+mn-ea"/>
              <a:cs typeface="Arial" panose="020B0604020202020204" pitchFamily="34" charset="0"/>
            </a:rPr>
            <a:t>20</a:t>
          </a:r>
          <a:r>
            <a:rPr lang="en-US" sz="800" b="1" i="0" baseline="0">
              <a:effectLst/>
              <a:latin typeface="Arial" panose="020B0604020202020204" pitchFamily="34" charset="0"/>
              <a:ea typeface="+mn-ea"/>
              <a:cs typeface="Arial" panose="020B0604020202020204" pitchFamily="34" charset="0"/>
            </a:rPr>
            <a:t> </a:t>
          </a:r>
          <a:r>
            <a:rPr lang="cs-CZ" sz="800" b="1" i="0" baseline="0">
              <a:effectLst/>
              <a:latin typeface="Arial" panose="020B0604020202020204" pitchFamily="34" charset="0"/>
              <a:ea typeface="+mn-ea"/>
              <a:cs typeface="Arial" panose="020B0604020202020204" pitchFamily="34" charset="0"/>
            </a:rPr>
            <a:t>Average mobile data consumption per one active SIM card in the Czech Republic (in MB)</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21.xml><?xml version="1.0" encoding="utf-8"?>
<c:userShapes xmlns:c="http://schemas.openxmlformats.org/drawingml/2006/chart">
  <cdr:relSizeAnchor xmlns:cdr="http://schemas.openxmlformats.org/drawingml/2006/chartDrawing">
    <cdr:from>
      <cdr:x>0.20561</cdr:x>
      <cdr:y>0.93493</cdr:y>
    </cdr:from>
    <cdr:to>
      <cdr:x>0.98923</cdr:x>
      <cdr:y>1</cdr:y>
    </cdr:to>
    <cdr:sp macro="" textlink="">
      <cdr:nvSpPr>
        <cdr:cNvPr id="2" name="TextovéPole 1"/>
        <cdr:cNvSpPr txBox="1"/>
      </cdr:nvSpPr>
      <cdr:spPr>
        <a:xfrm xmlns:a="http://schemas.openxmlformats.org/drawingml/2006/main">
          <a:off x="1250950" y="2860894"/>
          <a:ext cx="4767497" cy="1991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CZSO calculations based on European Commission data, 2018</a:t>
          </a:r>
        </a:p>
      </cdr:txBody>
    </cdr:sp>
  </cdr:relSizeAnchor>
</c:userShapes>
</file>

<file path=word/drawings/drawing22.xml><?xml version="1.0" encoding="utf-8"?>
<c:userShapes xmlns:c="http://schemas.openxmlformats.org/drawingml/2006/chart">
  <cdr:relSizeAnchor xmlns:cdr="http://schemas.openxmlformats.org/drawingml/2006/chartDrawing">
    <cdr:from>
      <cdr:x>0.26814</cdr:x>
      <cdr:y>0.89706</cdr:y>
    </cdr:from>
    <cdr:to>
      <cdr:x>0.98702</cdr:x>
      <cdr:y>0.9714</cdr:y>
    </cdr:to>
    <cdr:sp macro="" textlink="">
      <cdr:nvSpPr>
        <cdr:cNvPr id="2" name="TextovéPole 1"/>
        <cdr:cNvSpPr txBox="1"/>
      </cdr:nvSpPr>
      <cdr:spPr>
        <a:xfrm xmlns:a="http://schemas.openxmlformats.org/drawingml/2006/main">
          <a:off x="809626" y="2260590"/>
          <a:ext cx="2170608" cy="1873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Czech Statistical Office 2018, Household Budget Survey</a:t>
          </a:r>
        </a:p>
      </cdr:txBody>
    </cdr:sp>
  </cdr:relSizeAnchor>
</c:userShapes>
</file>

<file path=word/drawings/drawing23.xml><?xml version="1.0" encoding="utf-8"?>
<c:userShapes xmlns:c="http://schemas.openxmlformats.org/drawingml/2006/chart">
  <cdr:relSizeAnchor xmlns:cdr="http://schemas.openxmlformats.org/drawingml/2006/chartDrawing">
    <cdr:from>
      <cdr:x>0.23732</cdr:x>
      <cdr:y>0.93486</cdr:y>
    </cdr:from>
    <cdr:to>
      <cdr:x>0.96898</cdr:x>
      <cdr:y>0.98227</cdr:y>
    </cdr:to>
    <cdr:sp macro="" textlink="">
      <cdr:nvSpPr>
        <cdr:cNvPr id="2" name="TextovéPole 1"/>
        <cdr:cNvSpPr txBox="1"/>
      </cdr:nvSpPr>
      <cdr:spPr>
        <a:xfrm xmlns:a="http://schemas.openxmlformats.org/drawingml/2006/main">
          <a:off x="1443855" y="3028950"/>
          <a:ext cx="4451419" cy="1536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European Commission 2017, Eurobarometer 438 E-Communications Survey</a:t>
          </a:r>
        </a:p>
      </cdr:txBody>
    </cdr:sp>
  </cdr:relSizeAnchor>
  <cdr:relSizeAnchor xmlns:cdr="http://schemas.openxmlformats.org/drawingml/2006/chartDrawing">
    <cdr:from>
      <cdr:x>0.03444</cdr:x>
      <cdr:y>0.88782</cdr:y>
    </cdr:from>
    <cdr:to>
      <cdr:x>0.74678</cdr:x>
      <cdr:y>0.94368</cdr:y>
    </cdr:to>
    <cdr:sp macro="" textlink="">
      <cdr:nvSpPr>
        <cdr:cNvPr id="3" name="TextovéPole 2"/>
        <cdr:cNvSpPr txBox="1"/>
      </cdr:nvSpPr>
      <cdr:spPr>
        <a:xfrm xmlns:a="http://schemas.openxmlformats.org/drawingml/2006/main">
          <a:off x="209550" y="2876549"/>
          <a:ext cx="43338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latin typeface="Arial" panose="020B0604020202020204" pitchFamily="34" charset="0"/>
              <a:cs typeface="Arial" panose="020B0604020202020204" pitchFamily="34" charset="0"/>
            </a:rPr>
            <a:t>* as a percentage of all households in a given</a:t>
          </a:r>
          <a:r>
            <a:rPr lang="cs-CZ" sz="800" baseline="0">
              <a:latin typeface="Arial" panose="020B0604020202020204" pitchFamily="34" charset="0"/>
              <a:cs typeface="Arial" panose="020B0604020202020204" pitchFamily="34" charset="0"/>
            </a:rPr>
            <a:t> country</a:t>
          </a:r>
          <a:endParaRPr lang="cs-CZ" sz="800">
            <a:latin typeface="Arial" panose="020B0604020202020204" pitchFamily="34" charset="0"/>
            <a:cs typeface="Arial" panose="020B060402020202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0.89958</cdr:y>
    </cdr:from>
    <cdr:to>
      <cdr:x>0.98824</cdr:x>
      <cdr:y>0.9588</cdr:y>
    </cdr:to>
    <cdr:sp macro="" textlink="">
      <cdr:nvSpPr>
        <cdr:cNvPr id="3" name="TextovéPole 1"/>
        <cdr:cNvSpPr txBox="1"/>
      </cdr:nvSpPr>
      <cdr:spPr>
        <a:xfrm xmlns:a="http://schemas.openxmlformats.org/drawingml/2006/main">
          <a:off x="0" y="2266938"/>
          <a:ext cx="3024014" cy="1492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Budget Survey</a:t>
          </a:r>
          <a:endParaRPr lang="cs-CZ" sz="800">
            <a:latin typeface="Arial" pitchFamily="34" charset="0"/>
            <a:cs typeface="Arial" pitchFamily="34" charset="0"/>
          </a:endParaRPr>
        </a:p>
        <a:p xmlns:a="http://schemas.openxmlformats.org/drawingml/2006/main">
          <a:pPr algn="r"/>
          <a:endParaRPr lang="cs-CZ" sz="800">
            <a:latin typeface="Arial" pitchFamily="34" charset="0"/>
            <a:cs typeface="Arial"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0.91974</cdr:y>
    </cdr:from>
    <cdr:to>
      <cdr:x>1</cdr:x>
      <cdr:y>0.97896</cdr:y>
    </cdr:to>
    <cdr:sp macro="" textlink="">
      <cdr:nvSpPr>
        <cdr:cNvPr id="2" name="TextovéPole 1"/>
        <cdr:cNvSpPr txBox="1"/>
      </cdr:nvSpPr>
      <cdr:spPr>
        <a:xfrm xmlns:a="http://schemas.openxmlformats.org/drawingml/2006/main">
          <a:off x="171450" y="2317744"/>
          <a:ext cx="3024000" cy="1492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ea typeface="+mn-ea"/>
              <a:cs typeface="Arial" pitchFamily="34" charset="0"/>
            </a:rPr>
            <a:t>Source: CZSO 2018, Household Budget Survey</a:t>
          </a:r>
          <a:endParaRPr lang="cs-CZ" sz="800">
            <a:latin typeface="Arial" pitchFamily="34" charset="0"/>
            <a:cs typeface="Arial" pitchFamily="34" charset="0"/>
          </a:endParaRPr>
        </a:p>
        <a:p xmlns:a="http://schemas.openxmlformats.org/drawingml/2006/main">
          <a:pPr algn="r"/>
          <a:endParaRPr lang="cs-CZ" sz="800">
            <a:latin typeface="Arial" pitchFamily="34" charset="0"/>
            <a:cs typeface="Arial" pitchFamily="34" charset="0"/>
          </a:endParaRPr>
        </a:p>
      </cdr:txBody>
    </cdr:sp>
  </cdr:relSizeAnchor>
  <cdr:relSizeAnchor xmlns:cdr="http://schemas.openxmlformats.org/drawingml/2006/chartDrawing">
    <cdr:from>
      <cdr:x>0.00904</cdr:x>
      <cdr:y>0.82777</cdr:y>
    </cdr:from>
    <cdr:to>
      <cdr:x>0.94684</cdr:x>
      <cdr:y>0.88446</cdr:y>
    </cdr:to>
    <cdr:sp macro="" textlink="">
      <cdr:nvSpPr>
        <cdr:cNvPr id="3" name="TextovéPole 1"/>
        <cdr:cNvSpPr txBox="1"/>
      </cdr:nvSpPr>
      <cdr:spPr>
        <a:xfrm xmlns:a="http://schemas.openxmlformats.org/drawingml/2006/main">
          <a:off x="28306" y="2085977"/>
          <a:ext cx="2937189" cy="142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per 1 member aged 6+ living </a:t>
          </a:r>
          <a:r>
            <a:rPr lang="cs-CZ" sz="800" baseline="0">
              <a:latin typeface="Arial" panose="020B0604020202020204" pitchFamily="34" charset="0"/>
              <a:cs typeface="Arial" panose="020B0604020202020204" pitchFamily="34" charset="0"/>
            </a:rPr>
            <a:t>in a given type of household</a:t>
          </a:r>
          <a:endParaRPr lang="cs-CZ" sz="800">
            <a:latin typeface="Arial" panose="020B0604020202020204" pitchFamily="34" charset="0"/>
            <a:cs typeface="Arial" panose="020B06040202020202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cdr:y>
    </cdr:from>
    <cdr:to>
      <cdr:x>0.00797</cdr:x>
      <cdr:y>0.00968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0.00797</cdr:x>
      <cdr:y>0.00968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0.01687</cdr:x>
      <cdr:y>0.90281</cdr:y>
    </cdr:from>
    <cdr:to>
      <cdr:x>0.96867</cdr:x>
      <cdr:y>0.96419</cdr:y>
    </cdr:to>
    <cdr:sp macro="" textlink="">
      <cdr:nvSpPr>
        <cdr:cNvPr id="5" name="TextovéPole 1"/>
        <cdr:cNvSpPr txBox="1"/>
      </cdr:nvSpPr>
      <cdr:spPr>
        <a:xfrm xmlns:a="http://schemas.openxmlformats.org/drawingml/2006/main">
          <a:off x="66675" y="3362324"/>
          <a:ext cx="3762376" cy="2286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a:t>
          </a:r>
          <a:r>
            <a:rPr lang="en-GB" sz="800" i="1">
              <a:effectLst/>
              <a:latin typeface="Arial" panose="020B0604020202020204" pitchFamily="34" charset="0"/>
              <a:ea typeface="+mn-ea"/>
              <a:cs typeface="Arial" panose="020B0604020202020204" pitchFamily="34" charset="0"/>
            </a:rPr>
            <a:t>National Accounts </a:t>
          </a:r>
          <a:endParaRPr lang="cs-CZ" sz="800" i="1">
            <a:latin typeface="Arial" pitchFamily="34" charset="0"/>
            <a:cs typeface="Arial" pitchFamily="34"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cdr:x>
      <cdr:y>0.91974</cdr:y>
    </cdr:from>
    <cdr:to>
      <cdr:x>1</cdr:x>
      <cdr:y>0.97896</cdr:y>
    </cdr:to>
    <cdr:sp macro="" textlink="">
      <cdr:nvSpPr>
        <cdr:cNvPr id="2" name="TextovéPole 1"/>
        <cdr:cNvSpPr txBox="1"/>
      </cdr:nvSpPr>
      <cdr:spPr>
        <a:xfrm xmlns:a="http://schemas.openxmlformats.org/drawingml/2006/main">
          <a:off x="171450" y="2317744"/>
          <a:ext cx="3024000" cy="1492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ea typeface="+mn-ea"/>
              <a:cs typeface="Arial" pitchFamily="34" charset="0"/>
            </a:rPr>
            <a:t>Source: CZSO 2018, Household Budget Survey</a:t>
          </a:r>
          <a:endParaRPr lang="cs-CZ" sz="800">
            <a:latin typeface="Arial" pitchFamily="34" charset="0"/>
            <a:cs typeface="Arial" pitchFamily="34" charset="0"/>
          </a:endParaRPr>
        </a:p>
        <a:p xmlns:a="http://schemas.openxmlformats.org/drawingml/2006/main">
          <a:pPr algn="r"/>
          <a:endParaRPr lang="cs-CZ" sz="800">
            <a:latin typeface="Arial" pitchFamily="34" charset="0"/>
            <a:cs typeface="Arial"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1.67425E-7</cdr:x>
      <cdr:y>0.90056</cdr:y>
    </cdr:from>
    <cdr:to>
      <cdr:x>0.71492</cdr:x>
      <cdr:y>0.97602</cdr:y>
    </cdr:to>
    <cdr:sp macro="" textlink="">
      <cdr:nvSpPr>
        <cdr:cNvPr id="3" name="TextovéPole 1"/>
        <cdr:cNvSpPr txBox="1"/>
      </cdr:nvSpPr>
      <cdr:spPr>
        <a:xfrm xmlns:a="http://schemas.openxmlformats.org/drawingml/2006/main">
          <a:off x="1" y="2864425"/>
          <a:ext cx="4270075" cy="2400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as a percantage of total household consumption expenditure in a given country</a:t>
          </a:r>
        </a:p>
      </cdr:txBody>
    </cdr:sp>
  </cdr:relSizeAnchor>
</c:userShapes>
</file>

<file path=word/drawings/drawing29.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ea typeface="+mn-ea"/>
              <a:cs typeface="Arial" pitchFamily="34" charset="0"/>
            </a:rPr>
            <a:t>Source: CZSO 2018, Household ICT usage survey</a:t>
          </a:r>
          <a:endParaRPr lang="cs-CZ" sz="800" i="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0.89328</cdr:y>
    </cdr:from>
    <cdr:to>
      <cdr:x>0.97351</cdr:x>
      <cdr:y>0.96795</cdr:y>
    </cdr:to>
    <cdr:sp macro="" textlink="">
      <cdr:nvSpPr>
        <cdr:cNvPr id="3" name="TextovéPole 1"/>
        <cdr:cNvSpPr txBox="1"/>
      </cdr:nvSpPr>
      <cdr:spPr>
        <a:xfrm xmlns:a="http://schemas.openxmlformats.org/drawingml/2006/main">
          <a:off x="0" y="2251075"/>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latin typeface="Arial" panose="020B0604020202020204" pitchFamily="34" charset="0"/>
            <a:cs typeface="Arial" panose="020B0604020202020204"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0.90182</cdr:y>
    </cdr:from>
    <cdr:to>
      <cdr:x>0.93955</cdr:x>
      <cdr:y>0.97544</cdr:y>
    </cdr:to>
    <cdr:sp macro="" textlink="">
      <cdr:nvSpPr>
        <cdr:cNvPr id="4" name="TextovéPole 1"/>
        <cdr:cNvSpPr txBox="1"/>
      </cdr:nvSpPr>
      <cdr:spPr>
        <a:xfrm xmlns:a="http://schemas.openxmlformats.org/drawingml/2006/main">
          <a:off x="0" y="230505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0.04261</cdr:x>
      <cdr:y>0.84344</cdr:y>
    </cdr:from>
    <cdr:to>
      <cdr:x>0.92773</cdr:x>
      <cdr:y>0.92418</cdr:y>
    </cdr:to>
    <cdr:sp macro="" textlink="">
      <cdr:nvSpPr>
        <cdr:cNvPr id="3" name="TextovéPole 1"/>
        <cdr:cNvSpPr txBox="1"/>
      </cdr:nvSpPr>
      <cdr:spPr>
        <a:xfrm xmlns:a="http://schemas.openxmlformats.org/drawingml/2006/main">
          <a:off x="136525" y="2155825"/>
          <a:ext cx="2835917" cy="2063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households with a computer</a:t>
          </a:r>
        </a:p>
      </cdr:txBody>
    </cdr:sp>
  </cdr:relSizeAnchor>
</c:userShapes>
</file>

<file path=word/drawings/drawing31.xml><?xml version="1.0" encoding="utf-8"?>
<c:userShapes xmlns:c="http://schemas.openxmlformats.org/drawingml/2006/chart">
  <cdr:relSizeAnchor xmlns:cdr="http://schemas.openxmlformats.org/drawingml/2006/chartDrawing">
    <cdr:from>
      <cdr:x>0.68095</cdr:x>
      <cdr:y>0.92016</cdr:y>
    </cdr:from>
    <cdr:to>
      <cdr:x>0.96898</cdr:x>
      <cdr:y>0.97924</cdr:y>
    </cdr:to>
    <cdr:sp macro="" textlink="">
      <cdr:nvSpPr>
        <cdr:cNvPr id="2" name="TextovéPole 1"/>
        <cdr:cNvSpPr txBox="1"/>
      </cdr:nvSpPr>
      <cdr:spPr>
        <a:xfrm xmlns:a="http://schemas.openxmlformats.org/drawingml/2006/main">
          <a:off x="4067175" y="2926767"/>
          <a:ext cx="1720358" cy="1879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0.01618</cdr:x>
      <cdr:y>0.86823</cdr:y>
    </cdr:from>
    <cdr:to>
      <cdr:x>0.8689</cdr:x>
      <cdr:y>0.94368</cdr:y>
    </cdr:to>
    <cdr:sp macro="" textlink="">
      <cdr:nvSpPr>
        <cdr:cNvPr id="3" name="TextovéPole 1"/>
        <cdr:cNvSpPr txBox="1"/>
      </cdr:nvSpPr>
      <cdr:spPr>
        <a:xfrm xmlns:a="http://schemas.openxmlformats.org/drawingml/2006/main">
          <a:off x="98424" y="2813049"/>
          <a:ext cx="5187951" cy="244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as a percantage of all households in a given country where at least one member is younger than 75 years</a:t>
          </a:r>
        </a:p>
      </cdr:txBody>
    </cdr:sp>
  </cdr:relSizeAnchor>
</c:userShapes>
</file>

<file path=word/drawings/drawing32.xml><?xml version="1.0" encoding="utf-8"?>
<c:userShapes xmlns:c="http://schemas.openxmlformats.org/drawingml/2006/chart">
  <cdr:relSizeAnchor xmlns:cdr="http://schemas.openxmlformats.org/drawingml/2006/chartDrawing">
    <cdr:from>
      <cdr:x>0.00968</cdr:x>
      <cdr:y>0.91017</cdr:y>
    </cdr:from>
    <cdr:to>
      <cdr:x>0.99506</cdr:x>
      <cdr:y>0.97986</cdr:y>
    </cdr:to>
    <cdr:sp macro="" textlink="">
      <cdr:nvSpPr>
        <cdr:cNvPr id="3" name="TextovéPole 1"/>
        <cdr:cNvSpPr txBox="1"/>
      </cdr:nvSpPr>
      <cdr:spPr>
        <a:xfrm xmlns:a="http://schemas.openxmlformats.org/drawingml/2006/main">
          <a:off x="28575" y="245745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33.xml><?xml version="1.0" encoding="utf-8"?>
<c:userShapes xmlns:c="http://schemas.openxmlformats.org/drawingml/2006/chart">
  <cdr:relSizeAnchor xmlns:cdr="http://schemas.openxmlformats.org/drawingml/2006/chartDrawing">
    <cdr:from>
      <cdr:x>0.00615</cdr:x>
      <cdr:y>0.84466</cdr:y>
    </cdr:from>
    <cdr:to>
      <cdr:x>0.99149</cdr:x>
      <cdr:y>0.94316</cdr:y>
    </cdr:to>
    <cdr:sp macro="" textlink="">
      <cdr:nvSpPr>
        <cdr:cNvPr id="2" name="TextovéPole 1"/>
        <cdr:cNvSpPr txBox="1"/>
      </cdr:nvSpPr>
      <cdr:spPr>
        <a:xfrm xmlns:a="http://schemas.openxmlformats.org/drawingml/2006/main">
          <a:off x="19050" y="2584659"/>
          <a:ext cx="3050613" cy="3014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HHs of a given type with a computer</a:t>
          </a:r>
        </a:p>
        <a:p xmlns:a="http://schemas.openxmlformats.org/drawingml/2006/main">
          <a:pPr algn="l"/>
          <a:r>
            <a:rPr lang="cs-CZ" sz="800">
              <a:latin typeface="Arial" panose="020B0604020202020204" pitchFamily="34" charset="0"/>
              <a:cs typeface="Arial" panose="020B0604020202020204" pitchFamily="34" charset="0"/>
            </a:rPr>
            <a:t>** Households without children </a:t>
          </a:r>
        </a:p>
      </cdr:txBody>
    </cdr:sp>
  </cdr:relSizeAnchor>
  <cdr:relSizeAnchor xmlns:cdr="http://schemas.openxmlformats.org/drawingml/2006/chartDrawing">
    <cdr:from>
      <cdr:x>0.05226</cdr:x>
      <cdr:y>0.9272</cdr:y>
    </cdr:from>
    <cdr:to>
      <cdr:x>0.98101</cdr:x>
      <cdr:y>0.99689</cdr:y>
    </cdr:to>
    <cdr:sp macro="" textlink="">
      <cdr:nvSpPr>
        <cdr:cNvPr id="4" name="TextovéPole 1"/>
        <cdr:cNvSpPr txBox="1"/>
      </cdr:nvSpPr>
      <cdr:spPr>
        <a:xfrm xmlns:a="http://schemas.openxmlformats.org/drawingml/2006/main">
          <a:off x="161812" y="2837224"/>
          <a:ext cx="2875410" cy="2132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0.90166</cdr:y>
    </cdr:from>
    <cdr:to>
      <cdr:x>0.97561</cdr:x>
      <cdr:y>0.97486</cdr:y>
    </cdr:to>
    <cdr:sp macro="" textlink="">
      <cdr:nvSpPr>
        <cdr:cNvPr id="3" name="TextovéPole 1"/>
        <cdr:cNvSpPr txBox="1"/>
      </cdr:nvSpPr>
      <cdr:spPr>
        <a:xfrm xmlns:a="http://schemas.openxmlformats.org/drawingml/2006/main">
          <a:off x="0" y="2486012"/>
          <a:ext cx="2880000" cy="201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0.82116</cdr:y>
    </cdr:from>
    <cdr:to>
      <cdr:x>0.98534</cdr:x>
      <cdr:y>0.91161</cdr:y>
    </cdr:to>
    <cdr:sp macro="" textlink="">
      <cdr:nvSpPr>
        <cdr:cNvPr id="2" name="TextovéPole 1"/>
        <cdr:cNvSpPr txBox="1"/>
      </cdr:nvSpPr>
      <cdr:spPr>
        <a:xfrm xmlns:a="http://schemas.openxmlformats.org/drawingml/2006/main">
          <a:off x="0" y="2364938"/>
          <a:ext cx="3086085" cy="2604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itchFamily="34" charset="0"/>
              <a:cs typeface="Arial" pitchFamily="34" charset="0"/>
            </a:rPr>
            <a:t>* </a:t>
          </a:r>
          <a:r>
            <a:rPr lang="cs-CZ" sz="800">
              <a:latin typeface="Arial" pitchFamily="34" charset="0"/>
              <a:ea typeface="+mn-ea"/>
              <a:cs typeface="Arial" pitchFamily="34" charset="0"/>
            </a:rPr>
            <a:t>as a percentage of all households of a given type</a:t>
          </a:r>
        </a:p>
        <a:p xmlns:a="http://schemas.openxmlformats.org/drawingml/2006/main">
          <a:pPr algn="l"/>
          <a:r>
            <a:rPr lang="cs-CZ" sz="800">
              <a:latin typeface="Arial" pitchFamily="34" charset="0"/>
              <a:ea typeface="+mn-ea"/>
              <a:cs typeface="Arial" pitchFamily="34" charset="0"/>
            </a:rPr>
            <a:t>** HHs without children </a:t>
          </a:r>
          <a:endParaRPr lang="cs-CZ" sz="800">
            <a:latin typeface="Arial" pitchFamily="34" charset="0"/>
            <a:cs typeface="Arial" pitchFamily="34" charset="0"/>
          </a:endParaRPr>
        </a:p>
      </cdr:txBody>
    </cdr:sp>
  </cdr:relSizeAnchor>
  <cdr:relSizeAnchor xmlns:cdr="http://schemas.openxmlformats.org/drawingml/2006/chartDrawing">
    <cdr:from>
      <cdr:x>0.0401</cdr:x>
      <cdr:y>0.91216</cdr:y>
    </cdr:from>
    <cdr:to>
      <cdr:x>0.93734</cdr:x>
      <cdr:y>0.98311</cdr:y>
    </cdr:to>
    <cdr:sp macro="" textlink="">
      <cdr:nvSpPr>
        <cdr:cNvPr id="5" name="TextovéPole 1"/>
        <cdr:cNvSpPr txBox="1"/>
      </cdr:nvSpPr>
      <cdr:spPr>
        <a:xfrm xmlns:a="http://schemas.openxmlformats.org/drawingml/2006/main">
          <a:off x="152399" y="2571750"/>
          <a:ext cx="340995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0.02433</cdr:x>
      <cdr:y>0</cdr:y>
    </cdr:from>
    <cdr:to>
      <cdr:x>0.98236</cdr:x>
      <cdr:y>0.129</cdr:y>
    </cdr:to>
    <cdr:sp macro="" textlink="">
      <cdr:nvSpPr>
        <cdr:cNvPr id="3" name="Textové pole 2"/>
        <cdr:cNvSpPr txBox="1"/>
      </cdr:nvSpPr>
      <cdr:spPr>
        <a:xfrm xmlns:a="http://schemas.openxmlformats.org/drawingml/2006/main">
          <a:off x="76200" y="0"/>
          <a:ext cx="300037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800" b="1">
              <a:effectLst/>
              <a:latin typeface="Arial" panose="020B0604020202020204" pitchFamily="34" charset="0"/>
              <a:ea typeface="+mn-ea"/>
              <a:cs typeface="Arial" panose="020B0604020202020204" pitchFamily="34" charset="0"/>
            </a:rPr>
            <a:t>Figure B14 Households in the Czech Republic </a:t>
          </a:r>
          <a:endParaRPr lang="cs-CZ" sz="800" b="1">
            <a:effectLst/>
            <a:latin typeface="Arial" panose="020B0604020202020204" pitchFamily="34" charset="0"/>
            <a:ea typeface="+mn-ea"/>
            <a:cs typeface="Arial" panose="020B060402020202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800" b="1" u="sng">
              <a:effectLst/>
              <a:latin typeface="Arial" panose="020B0604020202020204" pitchFamily="34" charset="0"/>
              <a:ea typeface="+mn-ea"/>
              <a:cs typeface="Arial" panose="020B0604020202020204" pitchFamily="34" charset="0"/>
            </a:rPr>
            <a:t>without access</a:t>
          </a:r>
          <a:r>
            <a:rPr lang="en-GB" sz="800" b="1">
              <a:effectLst/>
              <a:latin typeface="Arial" panose="020B0604020202020204" pitchFamily="34" charset="0"/>
              <a:ea typeface="+mn-ea"/>
              <a:cs typeface="Arial" panose="020B0604020202020204" pitchFamily="34" charset="0"/>
            </a:rPr>
            <a:t> to the internet at home (%)*</a:t>
          </a:r>
          <a:endParaRPr lang="cs-CZ" sz="800" b="1">
            <a:effectLst/>
            <a:latin typeface="Arial" panose="020B0604020202020204" pitchFamily="34" charset="0"/>
            <a:ea typeface="+mn-ea"/>
            <a:cs typeface="Arial" panose="020B0604020202020204" pitchFamily="34" charset="0"/>
          </a:endParaRPr>
        </a:p>
        <a:p xmlns:a="http://schemas.openxmlformats.org/drawingml/2006/main">
          <a:endParaRPr lang="cs-CZ" sz="1100"/>
        </a:p>
      </cdr:txBody>
    </cdr:sp>
  </cdr:relSizeAnchor>
</c:userShapes>
</file>

<file path=word/drawings/drawing36.xml><?xml version="1.0" encoding="utf-8"?>
<c:userShapes xmlns:c="http://schemas.openxmlformats.org/drawingml/2006/chart">
  <cdr:relSizeAnchor xmlns:cdr="http://schemas.openxmlformats.org/drawingml/2006/chartDrawing">
    <cdr:from>
      <cdr:x>0.75461</cdr:x>
      <cdr:y>0.91509</cdr:y>
    </cdr:from>
    <cdr:to>
      <cdr:x>0.96898</cdr:x>
      <cdr:y>0.9819</cdr:y>
    </cdr:to>
    <cdr:sp macro="" textlink="">
      <cdr:nvSpPr>
        <cdr:cNvPr id="2" name="TextovéPole 1"/>
        <cdr:cNvSpPr txBox="1"/>
      </cdr:nvSpPr>
      <cdr:spPr>
        <a:xfrm xmlns:a="http://schemas.openxmlformats.org/drawingml/2006/main">
          <a:off x="4591050" y="2964893"/>
          <a:ext cx="1304224" cy="2164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0.00992</cdr:x>
      <cdr:y>0.86137</cdr:y>
    </cdr:from>
    <cdr:to>
      <cdr:x>0.96127</cdr:x>
      <cdr:y>0.97602</cdr:y>
    </cdr:to>
    <cdr:sp macro="" textlink="">
      <cdr:nvSpPr>
        <cdr:cNvPr id="4" name="TextovéPole 1"/>
        <cdr:cNvSpPr txBox="1"/>
      </cdr:nvSpPr>
      <cdr:spPr>
        <a:xfrm xmlns:a="http://schemas.openxmlformats.org/drawingml/2006/main">
          <a:off x="60352" y="2790839"/>
          <a:ext cx="5787997" cy="3714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i="0">
              <a:latin typeface="Arial" panose="020B0604020202020204" pitchFamily="34" charset="0"/>
              <a:cs typeface="Arial" panose="020B0604020202020204" pitchFamily="34" charset="0"/>
            </a:rPr>
            <a:t>* as a percantage of all low income households in a given country where at least one member is younger than 75 years</a:t>
          </a:r>
        </a:p>
      </cdr:txBody>
    </cdr:sp>
  </cdr:relSizeAnchor>
  <cdr:relSizeAnchor xmlns:cdr="http://schemas.openxmlformats.org/drawingml/2006/chartDrawing">
    <cdr:from>
      <cdr:x>0</cdr:x>
      <cdr:y>0.02352</cdr:y>
    </cdr:from>
    <cdr:to>
      <cdr:x>0.99989</cdr:x>
      <cdr:y>0.10583</cdr:y>
    </cdr:to>
    <cdr:sp macro="" textlink="">
      <cdr:nvSpPr>
        <cdr:cNvPr id="3" name="TextovéPole 2"/>
        <cdr:cNvSpPr txBox="1"/>
      </cdr:nvSpPr>
      <cdr:spPr>
        <a:xfrm xmlns:a="http://schemas.openxmlformats.org/drawingml/2006/main">
          <a:off x="0" y="74810"/>
          <a:ext cx="5972175" cy="2618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800" b="1" i="0" baseline="0">
              <a:effectLst/>
              <a:latin typeface="Arial" panose="020B0604020202020204" pitchFamily="34" charset="0"/>
              <a:ea typeface="+mn-ea"/>
              <a:cs typeface="Arial" panose="020B0604020202020204" pitchFamily="34" charset="0"/>
            </a:rPr>
            <a:t>Figure B</a:t>
          </a:r>
          <a:r>
            <a:rPr lang="cs-CZ" sz="800" b="1" i="0" baseline="0">
              <a:effectLst/>
              <a:latin typeface="Arial" panose="020B0604020202020204" pitchFamily="34" charset="0"/>
              <a:ea typeface="+mn-ea"/>
              <a:cs typeface="Arial" panose="020B0604020202020204" pitchFamily="34" charset="0"/>
            </a:rPr>
            <a:t>15</a:t>
          </a:r>
          <a:r>
            <a:rPr lang="en-US" sz="800" b="1" i="0" baseline="0">
              <a:effectLst/>
              <a:latin typeface="Arial" panose="020B0604020202020204" pitchFamily="34" charset="0"/>
              <a:ea typeface="+mn-ea"/>
              <a:cs typeface="Arial" panose="020B0604020202020204" pitchFamily="34" charset="0"/>
            </a:rPr>
            <a:t> Low income households (first quartile) in EU countries</a:t>
          </a:r>
          <a:r>
            <a:rPr lang="cs-CZ" sz="800" b="1" i="0" baseline="0">
              <a:effectLst/>
              <a:latin typeface="Arial" panose="020B0604020202020204" pitchFamily="34" charset="0"/>
              <a:ea typeface="+mn-ea"/>
              <a:cs typeface="Arial" panose="020B0604020202020204" pitchFamily="34" charset="0"/>
            </a:rPr>
            <a:t> </a:t>
          </a:r>
          <a:r>
            <a:rPr lang="en-US" sz="800" b="1" i="0" u="sng" baseline="0">
              <a:effectLst/>
              <a:latin typeface="Arial" panose="020B0604020202020204" pitchFamily="34" charset="0"/>
              <a:ea typeface="+mn-ea"/>
              <a:cs typeface="Arial" panose="020B0604020202020204" pitchFamily="34" charset="0"/>
            </a:rPr>
            <a:t>without</a:t>
          </a:r>
          <a:r>
            <a:rPr lang="cs-CZ" sz="800" b="1" i="0" u="sng" baseline="0">
              <a:effectLst/>
              <a:latin typeface="Arial" panose="020B0604020202020204" pitchFamily="34" charset="0"/>
              <a:ea typeface="+mn-ea"/>
              <a:cs typeface="Arial" panose="020B0604020202020204" pitchFamily="34" charset="0"/>
            </a:rPr>
            <a:t> </a:t>
          </a:r>
          <a:r>
            <a:rPr lang="en-US" sz="800" b="1" i="0" u="sng" baseline="0">
              <a:effectLst/>
              <a:latin typeface="Arial" panose="020B0604020202020204" pitchFamily="34" charset="0"/>
              <a:ea typeface="+mn-ea"/>
              <a:cs typeface="Arial" panose="020B0604020202020204" pitchFamily="34" charset="0"/>
            </a:rPr>
            <a:t>access</a:t>
          </a:r>
          <a:r>
            <a:rPr lang="cs-CZ" sz="800" b="1" i="0" u="none" baseline="0">
              <a:effectLst/>
              <a:latin typeface="Arial" panose="020B0604020202020204" pitchFamily="34" charset="0"/>
              <a:ea typeface="+mn-ea"/>
              <a:cs typeface="Arial" panose="020B0604020202020204" pitchFamily="34" charset="0"/>
            </a:rPr>
            <a:t> </a:t>
          </a:r>
          <a:r>
            <a:rPr lang="cs-CZ" sz="800" b="1" i="0" baseline="0">
              <a:effectLst/>
              <a:latin typeface="Arial" panose="020B0604020202020204" pitchFamily="34" charset="0"/>
              <a:ea typeface="+mn-ea"/>
              <a:cs typeface="Arial" panose="020B0604020202020204" pitchFamily="34" charset="0"/>
            </a:rPr>
            <a:t>to the internet at home (%)*</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0.91092</cdr:y>
    </cdr:from>
    <cdr:to>
      <cdr:x>0.98538</cdr:x>
      <cdr:y>0.991</cdr:y>
    </cdr:to>
    <cdr:sp macro="" textlink="">
      <cdr:nvSpPr>
        <cdr:cNvPr id="3" name="TextovéPole 1"/>
        <cdr:cNvSpPr txBox="1"/>
      </cdr:nvSpPr>
      <cdr:spPr>
        <a:xfrm xmlns:a="http://schemas.openxmlformats.org/drawingml/2006/main">
          <a:off x="0" y="2295525"/>
          <a:ext cx="2908848" cy="201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0.04841</cdr:x>
      <cdr:y>0</cdr:y>
    </cdr:from>
    <cdr:to>
      <cdr:x>0.95848</cdr:x>
      <cdr:y>0.14365</cdr:y>
    </cdr:to>
    <cdr:sp macro="" textlink="">
      <cdr:nvSpPr>
        <cdr:cNvPr id="2" name="Textové pole 1"/>
        <cdr:cNvSpPr txBox="1"/>
      </cdr:nvSpPr>
      <cdr:spPr>
        <a:xfrm xmlns:a="http://schemas.openxmlformats.org/drawingml/2006/main">
          <a:off x="142875" y="0"/>
          <a:ext cx="26860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800" b="1">
              <a:latin typeface="Arial" panose="020B0604020202020204" pitchFamily="34" charset="0"/>
              <a:cs typeface="Arial" panose="020B0604020202020204" pitchFamily="34" charset="0"/>
            </a:rPr>
            <a:t>Figure B16</a:t>
          </a:r>
          <a:r>
            <a:rPr lang="cs-CZ" sz="800" b="1" baseline="0">
              <a:latin typeface="Arial" panose="020B0604020202020204" pitchFamily="34" charset="0"/>
              <a:cs typeface="Arial" panose="020B0604020202020204" pitchFamily="34" charset="0"/>
            </a:rPr>
            <a:t> Households in the Czech Republic </a:t>
          </a:r>
          <a:r>
            <a:rPr lang="cs-CZ" sz="800" b="1" u="sng" baseline="0">
              <a:latin typeface="Arial" panose="020B0604020202020204" pitchFamily="34" charset="0"/>
              <a:cs typeface="Arial" panose="020B0604020202020204" pitchFamily="34" charset="0"/>
            </a:rPr>
            <a:t>without access </a:t>
          </a:r>
          <a:r>
            <a:rPr lang="cs-CZ" sz="800" b="1" baseline="0">
              <a:latin typeface="Arial" panose="020B0604020202020204" pitchFamily="34" charset="0"/>
              <a:cs typeface="Arial" panose="020B0604020202020204" pitchFamily="34" charset="0"/>
            </a:rPr>
            <a:t>to the internet at home</a:t>
          </a:r>
          <a:endParaRPr lang="cs-CZ" sz="800" b="1">
            <a:latin typeface="Arial" panose="020B0604020202020204" pitchFamily="34" charset="0"/>
            <a:cs typeface="Arial" panose="020B0604020202020204" pitchFamily="34"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0.79249</cdr:y>
    </cdr:from>
    <cdr:to>
      <cdr:x>0.98534</cdr:x>
      <cdr:y>0.91203</cdr:y>
    </cdr:to>
    <cdr:sp macro="" textlink="">
      <cdr:nvSpPr>
        <cdr:cNvPr id="2" name="TextovéPole 1"/>
        <cdr:cNvSpPr txBox="1"/>
      </cdr:nvSpPr>
      <cdr:spPr>
        <a:xfrm xmlns:a="http://schemas.openxmlformats.org/drawingml/2006/main">
          <a:off x="0" y="2185014"/>
          <a:ext cx="3086085" cy="3295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a:latin typeface="Arial" pitchFamily="34" charset="0"/>
              <a:ea typeface="+mn-ea"/>
              <a:cs typeface="Arial" pitchFamily="34" charset="0"/>
            </a:rPr>
            <a:t>* as a percentage of all households without the internet</a:t>
          </a:r>
        </a:p>
        <a:p xmlns:a="http://schemas.openxmlformats.org/drawingml/2006/main">
          <a:pPr algn="l"/>
          <a:r>
            <a:rPr lang="cs-CZ" sz="800" baseline="0">
              <a:latin typeface="Arial" panose="020B0604020202020204" pitchFamily="34" charset="0"/>
              <a:cs typeface="Arial" panose="020B0604020202020204" pitchFamily="34" charset="0"/>
            </a:rPr>
            <a:t>** more reasons possible</a:t>
          </a:r>
        </a:p>
        <a:p xmlns:a="http://schemas.openxmlformats.org/drawingml/2006/main">
          <a:pPr algn="l"/>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0.90336</cdr:y>
    </cdr:from>
    <cdr:to>
      <cdr:x>0.92875</cdr:x>
      <cdr:y>0.98344</cdr:y>
    </cdr:to>
    <cdr:sp macro="" textlink="">
      <cdr:nvSpPr>
        <cdr:cNvPr id="4" name="TextovéPole 1"/>
        <cdr:cNvSpPr txBox="1"/>
      </cdr:nvSpPr>
      <cdr:spPr>
        <a:xfrm xmlns:a="http://schemas.openxmlformats.org/drawingml/2006/main">
          <a:off x="0" y="2276475"/>
          <a:ext cx="2908848" cy="201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0.02129</cdr:x>
      <cdr:y>0</cdr:y>
    </cdr:from>
    <cdr:to>
      <cdr:x>0.98839</cdr:x>
      <cdr:y>0.14741</cdr:y>
    </cdr:to>
    <cdr:sp macro="" textlink="">
      <cdr:nvSpPr>
        <cdr:cNvPr id="3" name="TextovéPole 2"/>
        <cdr:cNvSpPr txBox="1"/>
      </cdr:nvSpPr>
      <cdr:spPr>
        <a:xfrm xmlns:a="http://schemas.openxmlformats.org/drawingml/2006/main">
          <a:off x="66676" y="0"/>
          <a:ext cx="30289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Figure B17 Main reasons for Czech households </a:t>
          </a:r>
          <a:endParaRPr lang="cs-CZ" sz="800">
            <a:effectLst/>
            <a:latin typeface="Arial" panose="020B0604020202020204" pitchFamily="34" charset="0"/>
            <a:cs typeface="Arial" panose="020B0604020202020204" pitchFamily="34" charset="0"/>
          </a:endParaRPr>
        </a:p>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for not having access to the internet at home (%)*,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39.xml><?xml version="1.0" encoding="utf-8"?>
<c:userShapes xmlns:c="http://schemas.openxmlformats.org/drawingml/2006/chart">
  <cdr:relSizeAnchor xmlns:cdr="http://schemas.openxmlformats.org/drawingml/2006/chartDrawing">
    <cdr:from>
      <cdr:x>0.00615</cdr:x>
      <cdr:y>0.81124</cdr:y>
    </cdr:from>
    <cdr:to>
      <cdr:x>0.91681</cdr:x>
      <cdr:y>0.90169</cdr:y>
    </cdr:to>
    <cdr:sp macro="" textlink="">
      <cdr:nvSpPr>
        <cdr:cNvPr id="2" name="TextovéPole 1"/>
        <cdr:cNvSpPr txBox="1"/>
      </cdr:nvSpPr>
      <cdr:spPr>
        <a:xfrm xmlns:a="http://schemas.openxmlformats.org/drawingml/2006/main">
          <a:off x="19051" y="2336363"/>
          <a:ext cx="2819400" cy="2604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itchFamily="34" charset="0"/>
              <a:cs typeface="Arial" pitchFamily="34" charset="0"/>
            </a:rPr>
            <a:t>* </a:t>
          </a:r>
          <a:r>
            <a:rPr lang="cs-CZ" sz="800">
              <a:latin typeface="Arial" pitchFamily="34" charset="0"/>
              <a:ea typeface="+mn-ea"/>
              <a:cs typeface="Arial" pitchFamily="34" charset="0"/>
            </a:rPr>
            <a:t>as a percentage of all households with the internet </a:t>
          </a:r>
        </a:p>
        <a:p xmlns:a="http://schemas.openxmlformats.org/drawingml/2006/main">
          <a:pPr algn="l"/>
          <a:r>
            <a:rPr lang="cs-CZ" sz="800">
              <a:latin typeface="Arial" pitchFamily="34" charset="0"/>
              <a:ea typeface="+mn-ea"/>
              <a:cs typeface="Arial" pitchFamily="34" charset="0"/>
            </a:rPr>
            <a:t> in given municipalities size</a:t>
          </a:r>
          <a:endParaRPr lang="cs-CZ" sz="800">
            <a:latin typeface="Arial" pitchFamily="34" charset="0"/>
            <a:cs typeface="Arial" pitchFamily="34" charset="0"/>
          </a:endParaRPr>
        </a:p>
      </cdr:txBody>
    </cdr:sp>
  </cdr:relSizeAnchor>
  <cdr:relSizeAnchor xmlns:cdr="http://schemas.openxmlformats.org/drawingml/2006/chartDrawing">
    <cdr:from>
      <cdr:x>0.04922</cdr:x>
      <cdr:y>0.9063</cdr:y>
    </cdr:from>
    <cdr:to>
      <cdr:x>0.97797</cdr:x>
      <cdr:y>0.97368</cdr:y>
    </cdr:to>
    <cdr:sp macro="" textlink="">
      <cdr:nvSpPr>
        <cdr:cNvPr id="4" name="TextovéPole 1"/>
        <cdr:cNvSpPr txBox="1"/>
      </cdr:nvSpPr>
      <cdr:spPr>
        <a:xfrm xmlns:a="http://schemas.openxmlformats.org/drawingml/2006/main">
          <a:off x="152400" y="2610144"/>
          <a:ext cx="2875410" cy="1940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0.04308</cdr:x>
      <cdr:y>3.6078E-7</cdr:y>
    </cdr:from>
    <cdr:to>
      <cdr:x>0.97846</cdr:x>
      <cdr:y>0.18213</cdr:y>
    </cdr:to>
    <cdr:sp macro="" textlink="">
      <cdr:nvSpPr>
        <cdr:cNvPr id="3" name="Textové pole 2"/>
        <cdr:cNvSpPr txBox="1"/>
      </cdr:nvSpPr>
      <cdr:spPr>
        <a:xfrm xmlns:a="http://schemas.openxmlformats.org/drawingml/2006/main">
          <a:off x="133360" y="1"/>
          <a:ext cx="2895585" cy="504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a:latin typeface="Arial" panose="020B0604020202020204" pitchFamily="34" charset="0"/>
              <a:cs typeface="Arial" panose="020B0604020202020204" pitchFamily="34" charset="0"/>
            </a:rPr>
            <a:t>Figure B18 Type of connection used by Czech households to access internet at home by size of their municipalities (no. of inhabitants); 2017 (%)*</a:t>
          </a:r>
          <a:endParaRPr lang="en-US" sz="800" b="1">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0.90462</cdr:y>
    </cdr:from>
    <cdr:to>
      <cdr:x>0.97351</cdr:x>
      <cdr:y>0.97929</cdr:y>
    </cdr:to>
    <cdr:sp macro="" textlink="">
      <cdr:nvSpPr>
        <cdr:cNvPr id="3" name="TextovéPole 1"/>
        <cdr:cNvSpPr txBox="1"/>
      </cdr:nvSpPr>
      <cdr:spPr>
        <a:xfrm xmlns:a="http://schemas.openxmlformats.org/drawingml/2006/main">
          <a:off x="0" y="22796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latin typeface="Arial" panose="020B0604020202020204" pitchFamily="34" charset="0"/>
            <a:cs typeface="Arial" panose="020B0604020202020204" pitchFamily="34" charset="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0.07325</cdr:x>
      <cdr:y>0.91369</cdr:y>
    </cdr:from>
    <cdr:to>
      <cdr:x>0.97351</cdr:x>
      <cdr:y>0.97712</cdr:y>
    </cdr:to>
    <cdr:sp macro="" textlink="">
      <cdr:nvSpPr>
        <cdr:cNvPr id="3" name="TextovéPole 1"/>
        <cdr:cNvSpPr txBox="1"/>
      </cdr:nvSpPr>
      <cdr:spPr>
        <a:xfrm xmlns:a="http://schemas.openxmlformats.org/drawingml/2006/main">
          <a:off x="219074" y="2663087"/>
          <a:ext cx="2692547" cy="1848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41.xml><?xml version="1.0" encoding="utf-8"?>
<c:userShapes xmlns:c="http://schemas.openxmlformats.org/drawingml/2006/chart">
  <cdr:relSizeAnchor xmlns:cdr="http://schemas.openxmlformats.org/drawingml/2006/chartDrawing">
    <cdr:from>
      <cdr:x>0.02835</cdr:x>
      <cdr:y>0.92217</cdr:y>
    </cdr:from>
    <cdr:to>
      <cdr:x>0.99027</cdr:x>
      <cdr:y>0.98446</cdr:y>
    </cdr:to>
    <cdr:sp macro="" textlink="">
      <cdr:nvSpPr>
        <cdr:cNvPr id="4" name="TextovéPole 1"/>
        <cdr:cNvSpPr txBox="1"/>
      </cdr:nvSpPr>
      <cdr:spPr>
        <a:xfrm xmlns:a="http://schemas.openxmlformats.org/drawingml/2006/main">
          <a:off x="85731" y="3153823"/>
          <a:ext cx="2908846" cy="213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42.xml><?xml version="1.0" encoding="utf-8"?>
<c:userShapes xmlns:c="http://schemas.openxmlformats.org/drawingml/2006/chart">
  <cdr:relSizeAnchor xmlns:cdr="http://schemas.openxmlformats.org/drawingml/2006/chartDrawing">
    <cdr:from>
      <cdr:x>0</cdr:x>
      <cdr:y>0.87719</cdr:y>
    </cdr:from>
    <cdr:to>
      <cdr:x>0.98534</cdr:x>
      <cdr:y>0.9351</cdr:y>
    </cdr:to>
    <cdr:sp macro="" textlink="">
      <cdr:nvSpPr>
        <cdr:cNvPr id="2" name="TextovéPole 1"/>
        <cdr:cNvSpPr txBox="1"/>
      </cdr:nvSpPr>
      <cdr:spPr>
        <a:xfrm xmlns:a="http://schemas.openxmlformats.org/drawingml/2006/main">
          <a:off x="0" y="2949393"/>
          <a:ext cx="3015140" cy="194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in a given group</a:t>
          </a:r>
        </a:p>
      </cdr:txBody>
    </cdr:sp>
  </cdr:relSizeAnchor>
  <cdr:relSizeAnchor xmlns:cdr="http://schemas.openxmlformats.org/drawingml/2006/chartDrawing">
    <cdr:from>
      <cdr:x>0</cdr:x>
      <cdr:y>0.93484</cdr:y>
    </cdr:from>
    <cdr:to>
      <cdr:x>0.95026</cdr:x>
      <cdr:y>0.99487</cdr:y>
    </cdr:to>
    <cdr:sp macro="" textlink="">
      <cdr:nvSpPr>
        <cdr:cNvPr id="5" name="TextovéPole 1"/>
        <cdr:cNvSpPr txBox="1"/>
      </cdr:nvSpPr>
      <cdr:spPr>
        <a:xfrm xmlns:a="http://schemas.openxmlformats.org/drawingml/2006/main">
          <a:off x="0" y="3143250"/>
          <a:ext cx="2986906"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43.xml><?xml version="1.0" encoding="utf-8"?>
<c:userShapes xmlns:c="http://schemas.openxmlformats.org/drawingml/2006/chart">
  <cdr:relSizeAnchor xmlns:cdr="http://schemas.openxmlformats.org/drawingml/2006/chartDrawing">
    <cdr:from>
      <cdr:x>0.00623</cdr:x>
      <cdr:y>0.9084</cdr:y>
    </cdr:from>
    <cdr:to>
      <cdr:x>0.98234</cdr:x>
      <cdr:y>0.97069</cdr:y>
    </cdr:to>
    <cdr:sp macro="" textlink="">
      <cdr:nvSpPr>
        <cdr:cNvPr id="3" name="TextovéPole 1"/>
        <cdr:cNvSpPr txBox="1"/>
      </cdr:nvSpPr>
      <cdr:spPr>
        <a:xfrm xmlns:a="http://schemas.openxmlformats.org/drawingml/2006/main">
          <a:off x="19050" y="2943225"/>
          <a:ext cx="2986906"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0.86019</cdr:y>
    </cdr:from>
    <cdr:to>
      <cdr:x>0.98534</cdr:x>
      <cdr:y>0.9181</cdr:y>
    </cdr:to>
    <cdr:sp macro="" textlink="">
      <cdr:nvSpPr>
        <cdr:cNvPr id="2" name="TextovéPole 1"/>
        <cdr:cNvSpPr txBox="1"/>
      </cdr:nvSpPr>
      <cdr:spPr>
        <a:xfrm xmlns:a="http://schemas.openxmlformats.org/drawingml/2006/main">
          <a:off x="0" y="3096666"/>
          <a:ext cx="2979668" cy="208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individuals in a given group</a:t>
          </a:r>
          <a:endParaRPr lang="en-US" sz="800">
            <a:effectLst/>
            <a:latin typeface="Arial" panose="020B0604020202020204" pitchFamily="34" charset="0"/>
            <a:cs typeface="Arial" panose="020B0604020202020204" pitchFamily="34" charset="0"/>
          </a:endParaRPr>
        </a:p>
        <a:p xmlns:a="http://schemas.openxmlformats.org/drawingml/2006/main">
          <a:pPr algn="l"/>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0.91722</cdr:y>
    </cdr:from>
    <cdr:to>
      <cdr:x>0.98773</cdr:x>
      <cdr:y>0.97951</cdr:y>
    </cdr:to>
    <cdr:sp macro="" textlink="">
      <cdr:nvSpPr>
        <cdr:cNvPr id="4" name="TextovéPole 1"/>
        <cdr:cNvSpPr txBox="1"/>
      </cdr:nvSpPr>
      <cdr:spPr>
        <a:xfrm xmlns:a="http://schemas.openxmlformats.org/drawingml/2006/main">
          <a:off x="0" y="2971800"/>
          <a:ext cx="2986906"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0.03465</cdr:x>
      <cdr:y>0.01671</cdr:y>
    </cdr:from>
    <cdr:to>
      <cdr:x>0.96699</cdr:x>
      <cdr:y>0.08634</cdr:y>
    </cdr:to>
    <cdr:sp macro="" textlink="">
      <cdr:nvSpPr>
        <cdr:cNvPr id="3" name="TextovéPole 2"/>
        <cdr:cNvSpPr txBox="1"/>
      </cdr:nvSpPr>
      <cdr:spPr>
        <a:xfrm xmlns:a="http://schemas.openxmlformats.org/drawingml/2006/main">
          <a:off x="104775" y="57150"/>
          <a:ext cx="28194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cs-CZ" sz="800" b="1" i="0" baseline="0">
              <a:effectLst/>
              <a:latin typeface="Arial" panose="020B0604020202020204" pitchFamily="34" charset="0"/>
              <a:ea typeface="+mn-ea"/>
              <a:cs typeface="Arial" panose="020B0604020202020204" pitchFamily="34" charset="0"/>
            </a:rPr>
            <a:t>Figure C4 Internet users in the Czech Republic (%)*</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0.23732</cdr:x>
      <cdr:y>0.91509</cdr:y>
    </cdr:from>
    <cdr:to>
      <cdr:x>0.99989</cdr:x>
      <cdr:y>0.97021</cdr:y>
    </cdr:to>
    <cdr:sp macro="" textlink="">
      <cdr:nvSpPr>
        <cdr:cNvPr id="2" name="TextovéPole 1"/>
        <cdr:cNvSpPr txBox="1"/>
      </cdr:nvSpPr>
      <cdr:spPr>
        <a:xfrm xmlns:a="http://schemas.openxmlformats.org/drawingml/2006/main">
          <a:off x="1417467" y="2847884"/>
          <a:ext cx="4554708" cy="1715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0.91036</cdr:y>
    </cdr:from>
    <cdr:to>
      <cdr:x>0.60667</cdr:x>
      <cdr:y>0.98574</cdr:y>
    </cdr:to>
    <cdr:sp macro="" textlink="">
      <cdr:nvSpPr>
        <cdr:cNvPr id="4" name="TextovéPole 1"/>
        <cdr:cNvSpPr txBox="1"/>
      </cdr:nvSpPr>
      <cdr:spPr>
        <a:xfrm xmlns:a="http://schemas.openxmlformats.org/drawingml/2006/main">
          <a:off x="124295" y="2722747"/>
          <a:ext cx="3566646" cy="225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latin typeface="Arial" panose="020B0604020202020204" pitchFamily="34" charset="0"/>
              <a:cs typeface="Arial" panose="020B0604020202020204" pitchFamily="34" charset="0"/>
            </a:rPr>
            <a:t>*</a:t>
          </a:r>
          <a:r>
            <a:rPr lang="cs-CZ" sz="800" baseline="0">
              <a:latin typeface="Arial" panose="020B0604020202020204" pitchFamily="34" charset="0"/>
              <a:cs typeface="Arial" panose="020B0604020202020204" pitchFamily="34" charset="0"/>
            </a:rPr>
            <a:t> a</a:t>
          </a:r>
          <a:r>
            <a:rPr lang="cs-CZ" sz="800">
              <a:latin typeface="Arial" panose="020B0604020202020204" pitchFamily="34" charset="0"/>
              <a:cs typeface="Arial" panose="020B0604020202020204" pitchFamily="34" charset="0"/>
            </a:rPr>
            <a:t>s a percentage </a:t>
          </a:r>
          <a:r>
            <a:rPr lang="cs-CZ" sz="800">
              <a:latin typeface="Arial" pitchFamily="34" charset="0"/>
              <a:ea typeface="+mn-ea"/>
              <a:cs typeface="Arial" pitchFamily="34" charset="0"/>
            </a:rPr>
            <a:t>of all individuals aged 16 to 74 in a given country</a:t>
          </a:r>
          <a:endParaRPr lang="cs-CZ" sz="800">
            <a:latin typeface="Arial" pitchFamily="34" charset="0"/>
            <a:cs typeface="Arial" pitchFamily="34" charset="0"/>
          </a:endParaRP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CZSO 2018, Household</a:t>
          </a:r>
          <a:r>
            <a:rPr lang="cs-CZ" sz="800" i="1" baseline="0">
              <a:effectLst/>
              <a:latin typeface="Arial" panose="020B0604020202020204" pitchFamily="34" charset="0"/>
              <a:ea typeface="+mn-ea"/>
              <a:cs typeface="Arial" panose="020B0604020202020204" pitchFamily="34" charset="0"/>
            </a:rPr>
            <a:t> ICT usage survey</a:t>
          </a:r>
          <a:endParaRPr lang="cs-CZ" sz="800">
            <a:latin typeface="Arial" panose="020B0604020202020204" pitchFamily="34" charset="0"/>
            <a:cs typeface="Arial" panose="020B0604020202020204" pitchFamily="34" charset="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0.0168</cdr:x>
      <cdr:y>0.90084</cdr:y>
    </cdr:from>
    <cdr:to>
      <cdr:x>0.97872</cdr:x>
      <cdr:y>0.99044</cdr:y>
    </cdr:to>
    <cdr:sp macro="" textlink="">
      <cdr:nvSpPr>
        <cdr:cNvPr id="2" name="TextovéPole 1"/>
        <cdr:cNvSpPr txBox="1"/>
      </cdr:nvSpPr>
      <cdr:spPr>
        <a:xfrm xmlns:a="http://schemas.openxmlformats.org/drawingml/2006/main">
          <a:off x="50800" y="2270125"/>
          <a:ext cx="2908842" cy="2257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mn-cs"/>
            </a:rPr>
            <a:t>Source: CZSO 2018, Household</a:t>
          </a:r>
          <a:r>
            <a:rPr lang="cs-CZ" sz="800" i="1" baseline="0">
              <a:effectLst/>
              <a:latin typeface="Arial" panose="020B0604020202020204" pitchFamily="34" charset="0"/>
              <a:ea typeface="+mn-ea"/>
              <a:cs typeface="+mn-cs"/>
            </a:rPr>
            <a:t> ICT usage survey</a:t>
          </a:r>
          <a:endParaRPr lang="cs-CZ" sz="800">
            <a:effectLst/>
            <a:latin typeface="Arial" panose="020B0604020202020204" pitchFamily="34" charset="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0.89762</cdr:y>
    </cdr:from>
    <cdr:to>
      <cdr:x>0.73836</cdr:x>
      <cdr:y>0.973</cdr:y>
    </cdr:to>
    <cdr:sp macro="" textlink="">
      <cdr:nvSpPr>
        <cdr:cNvPr id="4" name="TextovéPole 1"/>
        <cdr:cNvSpPr txBox="1"/>
      </cdr:nvSpPr>
      <cdr:spPr>
        <a:xfrm xmlns:a="http://schemas.openxmlformats.org/drawingml/2006/main">
          <a:off x="122025" y="2793515"/>
          <a:ext cx="4288050" cy="234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aged 16 to 74 in a given country</a:t>
          </a:r>
        </a:p>
      </cdr:txBody>
    </cdr:sp>
  </cdr:relSizeAnchor>
</c:userShapes>
</file>

<file path=word/drawings/drawing49.xml><?xml version="1.0" encoding="utf-8"?>
<c:userShapes xmlns:c="http://schemas.openxmlformats.org/drawingml/2006/chart">
  <cdr:relSizeAnchor xmlns:cdr="http://schemas.openxmlformats.org/drawingml/2006/chartDrawing">
    <cdr:from>
      <cdr:x>1.04083E-16</cdr:x>
      <cdr:y>0.91134</cdr:y>
    </cdr:from>
    <cdr:to>
      <cdr:x>1</cdr:x>
      <cdr:y>0.97363</cdr:y>
    </cdr:to>
    <cdr:sp macro="" textlink="">
      <cdr:nvSpPr>
        <cdr:cNvPr id="3" name="TextovéPole 1"/>
        <cdr:cNvSpPr txBox="1"/>
      </cdr:nvSpPr>
      <cdr:spPr>
        <a:xfrm xmlns:a="http://schemas.openxmlformats.org/drawingml/2006/main">
          <a:off x="152400" y="295275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5.xml><?xml version="1.0" encoding="utf-8"?>
<c:userShapes xmlns:c="http://schemas.openxmlformats.org/drawingml/2006/chart">
  <cdr:relSizeAnchor xmlns:cdr="http://schemas.openxmlformats.org/drawingml/2006/chartDrawing">
    <cdr:from>
      <cdr:x>0.23583</cdr:x>
      <cdr:y>0.92473</cdr:y>
    </cdr:from>
    <cdr:to>
      <cdr:x>0.96749</cdr:x>
      <cdr:y>0.99191</cdr:y>
    </cdr:to>
    <cdr:sp macro="" textlink="">
      <cdr:nvSpPr>
        <cdr:cNvPr id="2" name="TextovéPole 1"/>
        <cdr:cNvSpPr txBox="1"/>
      </cdr:nvSpPr>
      <cdr:spPr>
        <a:xfrm xmlns:a="http://schemas.openxmlformats.org/drawingml/2006/main">
          <a:off x="1511222" y="2740696"/>
          <a:ext cx="4688477" cy="1991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CZSO calculations</a:t>
          </a:r>
          <a:r>
            <a:rPr lang="cs-CZ" sz="800" i="1" baseline="0">
              <a:latin typeface="Arial" panose="020B0604020202020204" pitchFamily="34" charset="0"/>
              <a:cs typeface="Arial" panose="020B0604020202020204" pitchFamily="34" charset="0"/>
            </a:rPr>
            <a:t> based on </a:t>
          </a:r>
          <a:r>
            <a:rPr lang="cs-CZ" sz="800" i="1">
              <a:latin typeface="Arial" panose="020B0604020202020204" pitchFamily="34" charset="0"/>
              <a:cs typeface="Arial" panose="020B0604020202020204" pitchFamily="34" charset="0"/>
            </a:rPr>
            <a:t>International Telecommunication Union data, 2018</a:t>
          </a:r>
        </a:p>
      </cdr:txBody>
    </cdr:sp>
  </cdr:relSizeAnchor>
  <cdr:relSizeAnchor xmlns:cdr="http://schemas.openxmlformats.org/drawingml/2006/chartDrawing">
    <cdr:from>
      <cdr:x>0.04162</cdr:x>
      <cdr:y>0.00321</cdr:y>
    </cdr:from>
    <cdr:to>
      <cdr:x>0.98699</cdr:x>
      <cdr:y>0.08677</cdr:y>
    </cdr:to>
    <cdr:sp macro="" textlink="">
      <cdr:nvSpPr>
        <cdr:cNvPr id="3" name="TextovéPole 2"/>
        <cdr:cNvSpPr txBox="1"/>
      </cdr:nvSpPr>
      <cdr:spPr>
        <a:xfrm xmlns:a="http://schemas.openxmlformats.org/drawingml/2006/main">
          <a:off x="266700" y="9525"/>
          <a:ext cx="60579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a:t>
          </a:r>
          <a:r>
            <a:rPr lang="en-US" sz="800" b="1" i="0" baseline="0">
              <a:effectLst/>
              <a:latin typeface="Arial" panose="020B0604020202020204" pitchFamily="34" charset="0"/>
              <a:ea typeface="+mn-ea"/>
              <a:cs typeface="Arial" panose="020B0604020202020204" pitchFamily="34" charset="0"/>
            </a:rPr>
            <a:t> A</a:t>
          </a:r>
          <a:r>
            <a:rPr lang="cs-CZ" sz="800" b="1" i="0" baseline="0">
              <a:effectLst/>
              <a:latin typeface="Arial" panose="020B0604020202020204" pitchFamily="34" charset="0"/>
              <a:ea typeface="+mn-ea"/>
              <a:cs typeface="Arial" panose="020B0604020202020204" pitchFamily="34" charset="0"/>
            </a:rPr>
            <a:t>5</a:t>
          </a:r>
          <a:r>
            <a:rPr lang="en-US" sz="800" b="1" i="0" baseline="0">
              <a:effectLst/>
              <a:latin typeface="Arial" panose="020B0604020202020204" pitchFamily="34" charset="0"/>
              <a:ea typeface="+mn-ea"/>
              <a:cs typeface="Arial" panose="020B0604020202020204" pitchFamily="34" charset="0"/>
            </a:rPr>
            <a:t> </a:t>
          </a:r>
          <a:r>
            <a:rPr lang="cs-CZ" sz="800" b="1" i="0" baseline="0">
              <a:effectLst/>
              <a:latin typeface="Arial" panose="020B0604020202020204" pitchFamily="34" charset="0"/>
              <a:ea typeface="+mn-ea"/>
              <a:cs typeface="Arial" panose="020B0604020202020204" pitchFamily="34" charset="0"/>
            </a:rPr>
            <a:t>Fixed-telephone voice subscriptions (both PSTN and VoIP) per 100 inhabitants in EU countries</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50.xml><?xml version="1.0" encoding="utf-8"?>
<c:userShapes xmlns:c="http://schemas.openxmlformats.org/drawingml/2006/chart">
  <cdr:relSizeAnchor xmlns:cdr="http://schemas.openxmlformats.org/drawingml/2006/chartDrawing">
    <cdr:from>
      <cdr:x>0.02381</cdr:x>
      <cdr:y>0.91134</cdr:y>
    </cdr:from>
    <cdr:to>
      <cdr:x>1</cdr:x>
      <cdr:y>0.97363</cdr:y>
    </cdr:to>
    <cdr:sp macro="" textlink="">
      <cdr:nvSpPr>
        <cdr:cNvPr id="4" name="TextovéPole 1"/>
        <cdr:cNvSpPr txBox="1"/>
      </cdr:nvSpPr>
      <cdr:spPr>
        <a:xfrm xmlns:a="http://schemas.openxmlformats.org/drawingml/2006/main">
          <a:off x="247650" y="295275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0.0315</cdr:x>
      <cdr:y>0.0147</cdr:y>
    </cdr:from>
    <cdr:to>
      <cdr:x>0.94179</cdr:x>
      <cdr:y>0.14405</cdr:y>
    </cdr:to>
    <cdr:sp macro="" textlink="">
      <cdr:nvSpPr>
        <cdr:cNvPr id="2" name="TextovéPole 1"/>
        <cdr:cNvSpPr txBox="1"/>
      </cdr:nvSpPr>
      <cdr:spPr>
        <a:xfrm xmlns:a="http://schemas.openxmlformats.org/drawingml/2006/main">
          <a:off x="95252" y="47625"/>
          <a:ext cx="2752599" cy="419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C10 Individuals in the Czech Republic accessing the internet via a mobile phone; 2017</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5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0.01379</cdr:x>
      <cdr:y>0.89664</cdr:y>
    </cdr:from>
    <cdr:to>
      <cdr:x>0.72311</cdr:x>
      <cdr:y>0.97202</cdr:y>
    </cdr:to>
    <cdr:sp macro="" textlink="">
      <cdr:nvSpPr>
        <cdr:cNvPr id="5" name="TextovéPole 1"/>
        <cdr:cNvSpPr txBox="1"/>
      </cdr:nvSpPr>
      <cdr:spPr>
        <a:xfrm xmlns:a="http://schemas.openxmlformats.org/drawingml/2006/main">
          <a:off x="85724" y="2905117"/>
          <a:ext cx="4410075" cy="244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latin typeface="Arial" panose="020B0604020202020204" pitchFamily="34" charset="0"/>
              <a:cs typeface="Arial" panose="020B0604020202020204" pitchFamily="34" charset="0"/>
            </a:rPr>
            <a:t>* as</a:t>
          </a:r>
          <a:r>
            <a:rPr lang="cs-CZ" sz="800" baseline="0">
              <a:latin typeface="Arial" panose="020B0604020202020204" pitchFamily="34" charset="0"/>
              <a:cs typeface="Arial" panose="020B0604020202020204" pitchFamily="34" charset="0"/>
            </a:rPr>
            <a:t> a percentage of </a:t>
          </a:r>
          <a:r>
            <a:rPr lang="cs-CZ" sz="800">
              <a:latin typeface="Arial" panose="020B0604020202020204" pitchFamily="34" charset="0"/>
              <a:cs typeface="Arial" panose="020B0604020202020204" pitchFamily="34" charset="0"/>
            </a:rPr>
            <a:t>all individuals aged 16</a:t>
          </a:r>
          <a:r>
            <a:rPr lang="cs-CZ" sz="800" baseline="0">
              <a:latin typeface="Arial" panose="020B0604020202020204" pitchFamily="34" charset="0"/>
              <a:cs typeface="Arial" panose="020B0604020202020204" pitchFamily="34" charset="0"/>
            </a:rPr>
            <a:t> to </a:t>
          </a:r>
          <a:r>
            <a:rPr lang="cs-CZ" sz="800">
              <a:latin typeface="Arial" panose="020B0604020202020204" pitchFamily="34" charset="0"/>
              <a:cs typeface="Arial" panose="020B0604020202020204" pitchFamily="34" charset="0"/>
            </a:rPr>
            <a:t>74 in a given country</a:t>
          </a:r>
        </a:p>
      </cdr:txBody>
    </cdr:sp>
  </cdr:relSizeAnchor>
  <cdr:relSizeAnchor xmlns:cdr="http://schemas.openxmlformats.org/drawingml/2006/chartDrawing">
    <cdr:from>
      <cdr:x>0.06281</cdr:x>
      <cdr:y>0.0147</cdr:y>
    </cdr:from>
    <cdr:to>
      <cdr:x>0.96363</cdr:x>
      <cdr:y>0.08819</cdr:y>
    </cdr:to>
    <cdr:sp macro="" textlink="">
      <cdr:nvSpPr>
        <cdr:cNvPr id="3" name="TextovéPole 2"/>
        <cdr:cNvSpPr txBox="1"/>
      </cdr:nvSpPr>
      <cdr:spPr>
        <a:xfrm xmlns:a="http://schemas.openxmlformats.org/drawingml/2006/main">
          <a:off x="390525" y="47625"/>
          <a:ext cx="56007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en-US" sz="800" b="1" i="0" baseline="0">
              <a:effectLst/>
              <a:latin typeface="Arial" panose="020B0604020202020204" pitchFamily="34" charset="0"/>
              <a:ea typeface="+mn-ea"/>
              <a:cs typeface="Arial" panose="020B0604020202020204" pitchFamily="34" charset="0"/>
            </a:rPr>
            <a:t>Figure C11 Individuals in EU countries</a:t>
          </a:r>
          <a:r>
            <a:rPr lang="cs-CZ" sz="800" b="1" i="0" baseline="0">
              <a:effectLst/>
              <a:latin typeface="Arial" panose="020B0604020202020204" pitchFamily="34" charset="0"/>
              <a:ea typeface="+mn-ea"/>
              <a:cs typeface="Arial" panose="020B0604020202020204" pitchFamily="34" charset="0"/>
            </a:rPr>
            <a:t> aged 16–74 using </a:t>
          </a:r>
          <a:r>
            <a:rPr lang="en-US" sz="800" b="1" i="0" baseline="0">
              <a:effectLst/>
              <a:latin typeface="Arial" panose="020B0604020202020204" pitchFamily="34" charset="0"/>
              <a:ea typeface="+mn-ea"/>
              <a:cs typeface="Arial" panose="020B0604020202020204" pitchFamily="34" charset="0"/>
            </a:rPr>
            <a:t>internet </a:t>
          </a:r>
          <a:r>
            <a:rPr lang="cs-CZ" sz="800" b="1" i="0" baseline="0">
              <a:effectLst/>
              <a:latin typeface="Arial" panose="020B0604020202020204" pitchFamily="34" charset="0"/>
              <a:ea typeface="+mn-ea"/>
              <a:cs typeface="Arial" panose="020B0604020202020204" pitchFamily="34" charset="0"/>
            </a:rPr>
            <a:t>on</a:t>
          </a:r>
          <a:r>
            <a:rPr lang="en-US" sz="800" b="1" i="0" baseline="0">
              <a:effectLst/>
              <a:latin typeface="Arial" panose="020B0604020202020204" pitchFamily="34" charset="0"/>
              <a:ea typeface="+mn-ea"/>
              <a:cs typeface="Arial" panose="020B0604020202020204" pitchFamily="34" charset="0"/>
            </a:rPr>
            <a:t> a mobile phone</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52.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 CZSO 2018, Household ICT usage survey</a:t>
          </a:r>
          <a:endParaRPr lang="cs-CZ" sz="400" i="1">
            <a:effectLst/>
            <a:latin typeface="Arial" panose="020B0604020202020204" pitchFamily="34" charset="0"/>
            <a:cs typeface="Arial" panose="020B0604020202020204" pitchFamily="34" charset="0"/>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 CZSO 2018, Household ICT usage survey</a:t>
          </a:r>
          <a:endParaRPr lang="cs-CZ" sz="400" i="1">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0.05018</cdr:x>
      <cdr:y>0.01833</cdr:y>
    </cdr:from>
    <cdr:to>
      <cdr:x>0.97328</cdr:x>
      <cdr:y>0.1401</cdr:y>
    </cdr:to>
    <cdr:sp macro="" textlink="">
      <cdr:nvSpPr>
        <cdr:cNvPr id="2" name="TextovéPole 1"/>
        <cdr:cNvSpPr txBox="1"/>
      </cdr:nvSpPr>
      <cdr:spPr>
        <a:xfrm xmlns:a="http://schemas.openxmlformats.org/drawingml/2006/main">
          <a:off x="160754" y="56089"/>
          <a:ext cx="2957220" cy="3725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C13 Individuals using the internet on a mobile phone only via wireless (Wi-Fi) network; 2017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0.92193</cdr:y>
    </cdr:from>
    <cdr:to>
      <cdr:x>0.98538</cdr:x>
      <cdr:y>0.99162</cdr:y>
    </cdr:to>
    <cdr:sp macro="" textlink="">
      <cdr:nvSpPr>
        <cdr:cNvPr id="2" name="TextovéPole 1"/>
        <cdr:cNvSpPr txBox="1"/>
      </cdr:nvSpPr>
      <cdr:spPr>
        <a:xfrm xmlns:a="http://schemas.openxmlformats.org/drawingml/2006/main">
          <a:off x="0" y="2489200"/>
          <a:ext cx="2908848"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 CZSO 2018, Household ICT usage survey</a:t>
          </a:r>
          <a:endParaRPr lang="cs-CZ" sz="400" i="1">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0.02582</cdr:x>
      <cdr:y>0.0147</cdr:y>
    </cdr:from>
    <cdr:to>
      <cdr:x>0.98429</cdr:x>
      <cdr:y>0.13161</cdr:y>
    </cdr:to>
    <cdr:sp macro="" textlink="">
      <cdr:nvSpPr>
        <cdr:cNvPr id="3" name="TextovéPole 2"/>
        <cdr:cNvSpPr txBox="1"/>
      </cdr:nvSpPr>
      <cdr:spPr>
        <a:xfrm xmlns:a="http://schemas.openxmlformats.org/drawingml/2006/main">
          <a:off x="78994" y="45748"/>
          <a:ext cx="2932372" cy="363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C14 Individuals in the Czech Rep. aged 16+ using internet on a portable PC away from home or work</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55.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 CZSO 2018, Household ICT</a:t>
          </a:r>
          <a:r>
            <a:rPr lang="cs-CZ" sz="800" i="1" baseline="0">
              <a:effectLst/>
              <a:latin typeface="Arial" panose="020B0604020202020204" pitchFamily="34" charset="0"/>
              <a:ea typeface="+mn-ea"/>
              <a:cs typeface="Arial" panose="020B0604020202020204" pitchFamily="34" charset="0"/>
            </a:rPr>
            <a:t> </a:t>
          </a:r>
          <a:r>
            <a:rPr lang="cs-CZ" sz="800" i="1">
              <a:effectLst/>
              <a:latin typeface="Arial" panose="020B0604020202020204" pitchFamily="34" charset="0"/>
              <a:ea typeface="+mn-ea"/>
              <a:cs typeface="Arial" panose="020B0604020202020204" pitchFamily="34" charset="0"/>
            </a:rPr>
            <a:t>usage survey</a:t>
          </a:r>
          <a:endParaRPr lang="cs-CZ" sz="400" i="1">
            <a:effectLst/>
            <a:latin typeface="Arial" panose="020B0604020202020204" pitchFamily="34" charset="0"/>
            <a:cs typeface="Arial" panose="020B0604020202020204" pitchFamily="34" charset="0"/>
          </a:endParaRPr>
        </a:p>
      </cdr:txBody>
    </cdr:sp>
  </cdr:relSizeAnchor>
</c:userShapes>
</file>

<file path=word/drawings/drawing56.xml><?xml version="1.0" encoding="utf-8"?>
<c:userShapes xmlns:c="http://schemas.openxmlformats.org/drawingml/2006/chart">
  <cdr:relSizeAnchor xmlns:cdr="http://schemas.openxmlformats.org/drawingml/2006/chartDrawing">
    <cdr:from>
      <cdr:x>0.01575</cdr:x>
      <cdr:y>0.89958</cdr:y>
    </cdr:from>
    <cdr:to>
      <cdr:x>0.99194</cdr:x>
      <cdr:y>0.97967</cdr:y>
    </cdr:to>
    <cdr:sp macro="" textlink="">
      <cdr:nvSpPr>
        <cdr:cNvPr id="3" name="TextovéPole 1"/>
        <cdr:cNvSpPr txBox="1"/>
      </cdr:nvSpPr>
      <cdr:spPr>
        <a:xfrm xmlns:a="http://schemas.openxmlformats.org/drawingml/2006/main">
          <a:off x="47625" y="226695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57.xml><?xml version="1.0" encoding="utf-8"?>
<c:userShapes xmlns:c="http://schemas.openxmlformats.org/drawingml/2006/chart">
  <cdr:relSizeAnchor xmlns:cdr="http://schemas.openxmlformats.org/drawingml/2006/chartDrawing">
    <cdr:from>
      <cdr:x>0.04359</cdr:x>
      <cdr:y>0.91487</cdr:y>
    </cdr:from>
    <cdr:to>
      <cdr:x>0.9917</cdr:x>
      <cdr:y>0.9913</cdr:y>
    </cdr:to>
    <cdr:sp macro="" textlink="">
      <cdr:nvSpPr>
        <cdr:cNvPr id="3" name="TextovéPole 1"/>
        <cdr:cNvSpPr txBox="1"/>
      </cdr:nvSpPr>
      <cdr:spPr>
        <a:xfrm xmlns:a="http://schemas.openxmlformats.org/drawingml/2006/main">
          <a:off x="136525" y="2470150"/>
          <a:ext cx="2969467" cy="2063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effectLst/>
              <a:latin typeface="Arial" panose="020B0604020202020204" pitchFamily="34" charset="0"/>
              <a:ea typeface="+mn-ea"/>
              <a:cs typeface="Arial" panose="020B0604020202020204" pitchFamily="34" charset="0"/>
            </a:rPr>
            <a:t>Source: CZSO 2018, Household ICT usage survey</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0.01556</cdr:x>
      <cdr:y>0.00661</cdr:y>
    </cdr:from>
    <cdr:to>
      <cdr:x>0.9774</cdr:x>
      <cdr:y>0.15214</cdr:y>
    </cdr:to>
    <cdr:sp macro="" textlink="">
      <cdr:nvSpPr>
        <cdr:cNvPr id="2" name="TextovéPole 1"/>
        <cdr:cNvSpPr txBox="1"/>
      </cdr:nvSpPr>
      <cdr:spPr>
        <a:xfrm xmlns:a="http://schemas.openxmlformats.org/drawingml/2006/main">
          <a:off x="47625" y="19050"/>
          <a:ext cx="294322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C17 Individuals in the Czech Republic aged 55–74 using the internet on a mobile phone; 2017 (%)</a:t>
          </a:r>
          <a:endParaRPr lang="cs-CZ" sz="800">
            <a:effectLst/>
            <a:latin typeface="Arial" panose="020B0604020202020204" pitchFamily="34" charset="0"/>
            <a:cs typeface="Arial" panose="020B0604020202020204" pitchFamily="34" charset="0"/>
          </a:endParaRPr>
        </a:p>
        <a:p xmlns:a="http://schemas.openxmlformats.org/drawingml/2006/main">
          <a:pPr algn="ctr"/>
          <a:endParaRPr lang="cs-CZ" sz="1100"/>
        </a:p>
      </cdr:txBody>
    </cdr:sp>
  </cdr:relSizeAnchor>
</c:userShapes>
</file>

<file path=word/drawings/drawing58.xml><?xml version="1.0" encoding="utf-8"?>
<c:userShapes xmlns:c="http://schemas.openxmlformats.org/drawingml/2006/chart">
  <cdr:relSizeAnchor xmlns:cdr="http://schemas.openxmlformats.org/drawingml/2006/chartDrawing">
    <cdr:from>
      <cdr:x>0.2437</cdr:x>
      <cdr:y>0.93282</cdr:y>
    </cdr:from>
    <cdr:to>
      <cdr:x>0.97536</cdr:x>
      <cdr:y>1</cdr:y>
    </cdr:to>
    <cdr:sp macro="" textlink="">
      <cdr:nvSpPr>
        <cdr:cNvPr id="2" name="TextovéPole 1"/>
        <cdr:cNvSpPr txBox="1"/>
      </cdr:nvSpPr>
      <cdr:spPr>
        <a:xfrm xmlns:a="http://schemas.openxmlformats.org/drawingml/2006/main">
          <a:off x="1455567" y="2905602"/>
          <a:ext cx="4370066" cy="2090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0.92124</cdr:y>
    </cdr:from>
    <cdr:to>
      <cdr:x>0.67715</cdr:x>
      <cdr:y>0.973</cdr:y>
    </cdr:to>
    <cdr:sp macro="" textlink="">
      <cdr:nvSpPr>
        <cdr:cNvPr id="4" name="TextovéPole 1"/>
        <cdr:cNvSpPr txBox="1"/>
      </cdr:nvSpPr>
      <cdr:spPr>
        <a:xfrm xmlns:a="http://schemas.openxmlformats.org/drawingml/2006/main">
          <a:off x="122025" y="2867025"/>
          <a:ext cx="3922463" cy="1610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all individuals aged 55 to 74 in a given country</a:t>
          </a:r>
        </a:p>
      </cdr:txBody>
    </cdr:sp>
  </cdr:relSizeAnchor>
</c:userShapes>
</file>

<file path=word/drawings/drawing59.xml><?xml version="1.0" encoding="utf-8"?>
<c:userShapes xmlns:c="http://schemas.openxmlformats.org/drawingml/2006/chart">
  <cdr:relSizeAnchor xmlns:cdr="http://schemas.openxmlformats.org/drawingml/2006/chartDrawing">
    <cdr:from>
      <cdr:x>0</cdr:x>
      <cdr:y>0.90546</cdr:y>
    </cdr:from>
    <cdr:to>
      <cdr:x>1</cdr:x>
      <cdr:y>0.96775</cdr:y>
    </cdr:to>
    <cdr:sp macro="" textlink="">
      <cdr:nvSpPr>
        <cdr:cNvPr id="3" name="TextovéPole 1"/>
        <cdr:cNvSpPr txBox="1"/>
      </cdr:nvSpPr>
      <cdr:spPr>
        <a:xfrm xmlns:a="http://schemas.openxmlformats.org/drawingml/2006/main">
          <a:off x="0" y="293370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0.90462</cdr:y>
    </cdr:from>
    <cdr:to>
      <cdr:x>0.97351</cdr:x>
      <cdr:y>0.97929</cdr:y>
    </cdr:to>
    <cdr:sp macro="" textlink="">
      <cdr:nvSpPr>
        <cdr:cNvPr id="3" name="TextovéPole 1"/>
        <cdr:cNvSpPr txBox="1"/>
      </cdr:nvSpPr>
      <cdr:spPr>
        <a:xfrm xmlns:a="http://schemas.openxmlformats.org/drawingml/2006/main">
          <a:off x="0" y="22796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latin typeface="Arial" panose="020B0604020202020204" pitchFamily="34" charset="0"/>
            <a:cs typeface="Arial" panose="020B0604020202020204" pitchFamily="34" charset="0"/>
          </a:endParaRPr>
        </a:p>
      </cdr:txBody>
    </cdr:sp>
  </cdr:relSizeAnchor>
</c:userShapes>
</file>

<file path=word/drawings/drawing60.xml><?xml version="1.0" encoding="utf-8"?>
<c:userShapes xmlns:c="http://schemas.openxmlformats.org/drawingml/2006/chart">
  <cdr:relSizeAnchor xmlns:cdr="http://schemas.openxmlformats.org/drawingml/2006/chartDrawing">
    <cdr:from>
      <cdr:x>0</cdr:x>
      <cdr:y>0.92898</cdr:y>
    </cdr:from>
    <cdr:to>
      <cdr:x>0.9536</cdr:x>
      <cdr:y>0.99127</cdr:y>
    </cdr:to>
    <cdr:sp macro="" textlink="">
      <cdr:nvSpPr>
        <cdr:cNvPr id="4" name="TextovéPole 1"/>
        <cdr:cNvSpPr txBox="1"/>
      </cdr:nvSpPr>
      <cdr:spPr>
        <a:xfrm xmlns:a="http://schemas.openxmlformats.org/drawingml/2006/main">
          <a:off x="0" y="300990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0.02462</cdr:x>
      <cdr:y>0.85549</cdr:y>
    </cdr:from>
    <cdr:to>
      <cdr:x>0.98716</cdr:x>
      <cdr:y>0.9134</cdr:y>
    </cdr:to>
    <cdr:sp macro="" textlink="">
      <cdr:nvSpPr>
        <cdr:cNvPr id="5" name="TextovéPole 1"/>
        <cdr:cNvSpPr txBox="1"/>
      </cdr:nvSpPr>
      <cdr:spPr>
        <a:xfrm xmlns:a="http://schemas.openxmlformats.org/drawingml/2006/main">
          <a:off x="76200" y="2771775"/>
          <a:ext cx="2979668" cy="187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a:t>
          </a:r>
          <a:r>
            <a:rPr lang="cs-CZ" sz="800" baseline="0">
              <a:latin typeface="Arial" panose="020B0604020202020204" pitchFamily="34" charset="0"/>
              <a:cs typeface="Arial" panose="020B0604020202020204" pitchFamily="34" charset="0"/>
            </a:rPr>
            <a:t> a percentage</a:t>
          </a:r>
          <a:r>
            <a:rPr lang="cs-CZ" sz="800">
              <a:latin typeface="Arial" panose="020B0604020202020204" pitchFamily="34" charset="0"/>
              <a:cs typeface="Arial" panose="020B0604020202020204" pitchFamily="34" charset="0"/>
            </a:rPr>
            <a:t> of all individuals in a given group</a:t>
          </a:r>
        </a:p>
      </cdr:txBody>
    </cdr:sp>
  </cdr:relSizeAnchor>
</c:userShapes>
</file>

<file path=word/drawings/drawing61.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0.01884</cdr:x>
      <cdr:y>0.91102</cdr:y>
    </cdr:from>
    <cdr:to>
      <cdr:x>0.68788</cdr:x>
      <cdr:y>0.9864</cdr:y>
    </cdr:to>
    <cdr:sp macro="" textlink="">
      <cdr:nvSpPr>
        <cdr:cNvPr id="4" name="TextovéPole 1"/>
        <cdr:cNvSpPr txBox="1"/>
      </cdr:nvSpPr>
      <cdr:spPr>
        <a:xfrm xmlns:a="http://schemas.openxmlformats.org/drawingml/2006/main">
          <a:off x="112500" y="2590509"/>
          <a:ext cx="3996048" cy="2143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a:t>
          </a:r>
          <a:r>
            <a:rPr lang="cs-CZ" sz="800" baseline="0">
              <a:latin typeface="Arial" panose="020B0604020202020204" pitchFamily="34" charset="0"/>
              <a:cs typeface="Arial" panose="020B0604020202020204" pitchFamily="34" charset="0"/>
            </a:rPr>
            <a:t> a percentage of all individuals in a given age group and in a given country</a:t>
          </a:r>
          <a:endParaRPr lang="cs-CZ" sz="800">
            <a:latin typeface="Arial" panose="020B0604020202020204" pitchFamily="34" charset="0"/>
            <a:cs typeface="Arial" panose="020B0604020202020204" pitchFamily="34" charset="0"/>
          </a:endParaRPr>
        </a:p>
      </cdr:txBody>
    </cdr:sp>
  </cdr:relSizeAnchor>
</c:userShapes>
</file>

<file path=word/drawings/drawing62.xml><?xml version="1.0" encoding="utf-8"?>
<c:userShapes xmlns:c="http://schemas.openxmlformats.org/drawingml/2006/chart">
  <cdr:relSizeAnchor xmlns:cdr="http://schemas.openxmlformats.org/drawingml/2006/chartDrawing">
    <cdr:from>
      <cdr:x>0.02381</cdr:x>
      <cdr:y>0.91471</cdr:y>
    </cdr:from>
    <cdr:to>
      <cdr:x>1</cdr:x>
      <cdr:y>0.97702</cdr:y>
    </cdr:to>
    <cdr:sp macro="" textlink="">
      <cdr:nvSpPr>
        <cdr:cNvPr id="4" name="TextovéPole 1"/>
        <cdr:cNvSpPr txBox="1"/>
      </cdr:nvSpPr>
      <cdr:spPr>
        <a:xfrm xmlns:a="http://schemas.openxmlformats.org/drawingml/2006/main">
          <a:off x="123825" y="2962275"/>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63.xml><?xml version="1.0" encoding="utf-8"?>
<c:userShapes xmlns:c="http://schemas.openxmlformats.org/drawingml/2006/chart">
  <cdr:relSizeAnchor xmlns:cdr="http://schemas.openxmlformats.org/drawingml/2006/chartDrawing">
    <cdr:from>
      <cdr:x>0.0126</cdr:x>
      <cdr:y>0.91471</cdr:y>
    </cdr:from>
    <cdr:to>
      <cdr:x>0.98879</cdr:x>
      <cdr:y>0.97702</cdr:y>
    </cdr:to>
    <cdr:sp macro="" textlink="">
      <cdr:nvSpPr>
        <cdr:cNvPr id="4" name="TextovéPole 1"/>
        <cdr:cNvSpPr txBox="1"/>
      </cdr:nvSpPr>
      <cdr:spPr>
        <a:xfrm xmlns:a="http://schemas.openxmlformats.org/drawingml/2006/main">
          <a:off x="38100" y="2962275"/>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64.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0.03735</cdr:x>
      <cdr:y>0.89254</cdr:y>
    </cdr:from>
    <cdr:to>
      <cdr:x>0.64414</cdr:x>
      <cdr:y>0.96792</cdr:y>
    </cdr:to>
    <cdr:sp macro="" textlink="">
      <cdr:nvSpPr>
        <cdr:cNvPr id="5" name="TextovéPole 1"/>
        <cdr:cNvSpPr txBox="1"/>
      </cdr:nvSpPr>
      <cdr:spPr>
        <a:xfrm xmlns:a="http://schemas.openxmlformats.org/drawingml/2006/main">
          <a:off x="228576" y="2781311"/>
          <a:ext cx="3713555" cy="234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in a given age group and country</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0.06225</cdr:x>
      <cdr:y>0.02445</cdr:y>
    </cdr:from>
    <cdr:to>
      <cdr:x>0.98674</cdr:x>
      <cdr:y>0.09781</cdr:y>
    </cdr:to>
    <cdr:sp macro="" textlink="">
      <cdr:nvSpPr>
        <cdr:cNvPr id="3" name="TextovéPole 2"/>
        <cdr:cNvSpPr txBox="1"/>
      </cdr:nvSpPr>
      <cdr:spPr>
        <a:xfrm xmlns:a="http://schemas.openxmlformats.org/drawingml/2006/main">
          <a:off x="381000" y="76200"/>
          <a:ext cx="56578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Figure C</a:t>
          </a:r>
          <a:r>
            <a:rPr lang="cs-CZ" sz="800" b="1" i="0" baseline="0">
              <a:effectLst/>
              <a:latin typeface="Arial" panose="020B0604020202020204" pitchFamily="34" charset="0"/>
              <a:ea typeface="+mn-ea"/>
              <a:cs typeface="Arial" panose="020B0604020202020204" pitchFamily="34" charset="0"/>
            </a:rPr>
            <a:t>24</a:t>
          </a:r>
          <a:r>
            <a:rPr lang="en-US" sz="800" b="1" i="0" baseline="0">
              <a:effectLst/>
              <a:latin typeface="Arial" panose="020B0604020202020204" pitchFamily="34" charset="0"/>
              <a:ea typeface="+mn-ea"/>
              <a:cs typeface="Arial" panose="020B0604020202020204" pitchFamily="34" charset="0"/>
            </a:rPr>
            <a:t> Individuals in EU countries watching video on demand from commercial services</a:t>
          </a:r>
          <a:r>
            <a:rPr lang="cs-CZ" sz="800" b="1" i="0" baseline="0">
              <a:effectLst/>
              <a:latin typeface="Arial" panose="020B0604020202020204" pitchFamily="34" charset="0"/>
              <a:ea typeface="+mn-ea"/>
              <a:cs typeface="Arial" panose="020B0604020202020204" pitchFamily="34" charset="0"/>
            </a:rPr>
            <a:t> by age</a:t>
          </a:r>
          <a:r>
            <a:rPr lang="en-US" sz="800" b="1" i="0" baseline="0">
              <a:effectLst/>
              <a:latin typeface="Arial" panose="020B0604020202020204" pitchFamily="34" charset="0"/>
              <a:ea typeface="+mn-ea"/>
              <a:cs typeface="Arial" panose="020B0604020202020204" pitchFamily="34" charset="0"/>
            </a:rPr>
            <a:t>; 2016</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800">
            <a:effectLst/>
            <a:latin typeface="Arial" panose="020B0604020202020204" pitchFamily="34" charset="0"/>
            <a:cs typeface="Arial" panose="020B0604020202020204" pitchFamily="34" charset="0"/>
          </a:endParaRPr>
        </a:p>
        <a:p xmlns:a="http://schemas.openxmlformats.org/drawingml/2006/main">
          <a:endParaRPr lang="cs-CZ" sz="800">
            <a:latin typeface="Arial" panose="020B0604020202020204" pitchFamily="34" charset="0"/>
            <a:cs typeface="Arial" panose="020B0604020202020204" pitchFamily="34" charset="0"/>
          </a:endParaRPr>
        </a:p>
      </cdr:txBody>
    </cdr:sp>
  </cdr:relSizeAnchor>
</c:userShapes>
</file>

<file path=word/drawings/drawing65.xml><?xml version="1.0" encoding="utf-8"?>
<c:userShapes xmlns:c="http://schemas.openxmlformats.org/drawingml/2006/chart">
  <cdr:relSizeAnchor xmlns:cdr="http://schemas.openxmlformats.org/drawingml/2006/chartDrawing">
    <cdr:from>
      <cdr:x>0</cdr:x>
      <cdr:y>0.9084</cdr:y>
    </cdr:from>
    <cdr:to>
      <cdr:x>0.98795</cdr:x>
      <cdr:y>0.97069</cdr:y>
    </cdr:to>
    <cdr:sp macro="" textlink="">
      <cdr:nvSpPr>
        <cdr:cNvPr id="3" name="TextovéPole 1"/>
        <cdr:cNvSpPr txBox="1"/>
      </cdr:nvSpPr>
      <cdr:spPr>
        <a:xfrm xmlns:a="http://schemas.openxmlformats.org/drawingml/2006/main">
          <a:off x="0" y="2943225"/>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66.xml><?xml version="1.0" encoding="utf-8"?>
<c:userShapes xmlns:c="http://schemas.openxmlformats.org/drawingml/2006/chart">
  <cdr:relSizeAnchor xmlns:cdr="http://schemas.openxmlformats.org/drawingml/2006/chartDrawing">
    <cdr:from>
      <cdr:x>0.01231</cdr:x>
      <cdr:y>0.9231</cdr:y>
    </cdr:from>
    <cdr:to>
      <cdr:x>0.96579</cdr:x>
      <cdr:y>0.98539</cdr:y>
    </cdr:to>
    <cdr:sp macro="" textlink="">
      <cdr:nvSpPr>
        <cdr:cNvPr id="4" name="TextovéPole 1"/>
        <cdr:cNvSpPr txBox="1"/>
      </cdr:nvSpPr>
      <cdr:spPr>
        <a:xfrm xmlns:a="http://schemas.openxmlformats.org/drawingml/2006/main">
          <a:off x="38100" y="2990850"/>
          <a:ext cx="2952000"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dr:relSizeAnchor xmlns:cdr="http://schemas.openxmlformats.org/drawingml/2006/chartDrawing">
    <cdr:from>
      <cdr:x>0.02154</cdr:x>
      <cdr:y>0.84961</cdr:y>
    </cdr:from>
    <cdr:to>
      <cdr:x>0.98396</cdr:x>
      <cdr:y>0.90752</cdr:y>
    </cdr:to>
    <cdr:sp macro="" textlink="">
      <cdr:nvSpPr>
        <cdr:cNvPr id="5" name="TextovéPole 1"/>
        <cdr:cNvSpPr txBox="1"/>
      </cdr:nvSpPr>
      <cdr:spPr>
        <a:xfrm xmlns:a="http://schemas.openxmlformats.org/drawingml/2006/main">
          <a:off x="66675" y="2752725"/>
          <a:ext cx="2979668" cy="187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individuals in a given group</a:t>
          </a:r>
        </a:p>
      </cdr:txBody>
    </cdr:sp>
  </cdr:relSizeAnchor>
</c:userShapes>
</file>

<file path=word/drawings/drawing67.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0.03735</cdr:x>
      <cdr:y>0.88363</cdr:y>
    </cdr:from>
    <cdr:to>
      <cdr:x>0.75439</cdr:x>
      <cdr:y>0.94017</cdr:y>
    </cdr:to>
    <cdr:sp macro="" textlink="">
      <cdr:nvSpPr>
        <cdr:cNvPr id="5" name="TextovéPole 1"/>
        <cdr:cNvSpPr txBox="1"/>
      </cdr:nvSpPr>
      <cdr:spPr>
        <a:xfrm xmlns:a="http://schemas.openxmlformats.org/drawingml/2006/main">
          <a:off x="223061" y="3499042"/>
          <a:ext cx="4282288" cy="2238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aged 16 to 74 in a given country</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0.0607</cdr:x>
      <cdr:y>0.01834</cdr:y>
    </cdr:from>
    <cdr:to>
      <cdr:x>0.96806</cdr:x>
      <cdr:y>0.10698</cdr:y>
    </cdr:to>
    <cdr:sp macro="" textlink="">
      <cdr:nvSpPr>
        <cdr:cNvPr id="3" name="TextovéPole 2"/>
        <cdr:cNvSpPr txBox="1"/>
      </cdr:nvSpPr>
      <cdr:spPr>
        <a:xfrm xmlns:a="http://schemas.openxmlformats.org/drawingml/2006/main">
          <a:off x="371475" y="57150"/>
          <a:ext cx="55530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US" sz="800" b="1" i="0" baseline="0">
              <a:effectLst/>
              <a:latin typeface="Arial" panose="020B0604020202020204" pitchFamily="34" charset="0"/>
              <a:ea typeface="+mn-ea"/>
              <a:cs typeface="Arial" panose="020B0604020202020204" pitchFamily="34" charset="0"/>
            </a:rPr>
            <a:t>Figure C</a:t>
          </a:r>
          <a:r>
            <a:rPr lang="cs-CZ" sz="800" b="1" i="0" baseline="0">
              <a:effectLst/>
              <a:latin typeface="Arial" panose="020B0604020202020204" pitchFamily="34" charset="0"/>
              <a:ea typeface="+mn-ea"/>
              <a:cs typeface="Arial" panose="020B0604020202020204" pitchFamily="34" charset="0"/>
            </a:rPr>
            <a:t>27 </a:t>
          </a:r>
          <a:r>
            <a:rPr lang="en-US" sz="800" b="1" i="0" baseline="0">
              <a:effectLst/>
              <a:latin typeface="Arial" panose="020B0604020202020204" pitchFamily="34" charset="0"/>
              <a:ea typeface="+mn-ea"/>
              <a:cs typeface="Arial" panose="020B0604020202020204" pitchFamily="34" charset="0"/>
            </a:rPr>
            <a:t>Individuals in EU countries aged 16</a:t>
          </a:r>
          <a:r>
            <a:rPr lang="cs-CZ" sz="800" b="1" i="0" baseline="0">
              <a:effectLst/>
              <a:latin typeface="Arial" panose="020B0604020202020204" pitchFamily="34" charset="0"/>
              <a:ea typeface="+mn-ea"/>
              <a:cs typeface="Arial" panose="020B0604020202020204" pitchFamily="34" charset="0"/>
            </a:rPr>
            <a:t>–</a:t>
          </a:r>
          <a:r>
            <a:rPr lang="en-US" sz="800" b="1" i="0" baseline="0">
              <a:effectLst/>
              <a:latin typeface="Arial" panose="020B0604020202020204" pitchFamily="34" charset="0"/>
              <a:ea typeface="+mn-ea"/>
              <a:cs typeface="Arial" panose="020B0604020202020204" pitchFamily="34" charset="0"/>
            </a:rPr>
            <a:t>74 purchasing accom</a:t>
          </a:r>
          <a:r>
            <a:rPr lang="cs-CZ" sz="800" b="1" i="0" baseline="0">
              <a:effectLst/>
              <a:latin typeface="Arial" panose="020B0604020202020204" pitchFamily="34" charset="0"/>
              <a:ea typeface="+mn-ea"/>
              <a:cs typeface="Arial" panose="020B0604020202020204" pitchFamily="34" charset="0"/>
            </a:rPr>
            <a:t>m</a:t>
          </a:r>
          <a:r>
            <a:rPr lang="en-US" sz="800" b="1" i="0" baseline="0">
              <a:effectLst/>
              <a:latin typeface="Arial" panose="020B0604020202020204" pitchFamily="34" charset="0"/>
              <a:ea typeface="+mn-ea"/>
              <a:cs typeface="Arial" panose="020B0604020202020204" pitchFamily="34" charset="0"/>
            </a:rPr>
            <a:t>odation over the </a:t>
          </a:r>
          <a:r>
            <a:rPr lang="cs-CZ" sz="800" b="1" i="0" baseline="0">
              <a:effectLst/>
              <a:latin typeface="Arial" panose="020B0604020202020204" pitchFamily="34" charset="0"/>
              <a:ea typeface="+mn-ea"/>
              <a:cs typeface="Arial" panose="020B0604020202020204" pitchFamily="34" charset="0"/>
            </a:rPr>
            <a:t>i</a:t>
          </a:r>
          <a:r>
            <a:rPr lang="en-US" sz="800" b="1" i="0" baseline="0">
              <a:effectLst/>
              <a:latin typeface="Arial" panose="020B0604020202020204" pitchFamily="34" charset="0"/>
              <a:ea typeface="+mn-ea"/>
              <a:cs typeface="Arial" panose="020B0604020202020204" pitchFamily="34" charset="0"/>
            </a:rPr>
            <a:t>nternet (%)</a:t>
          </a:r>
          <a:r>
            <a:rPr lang="cs-CZ" sz="800" b="1" i="0" baseline="0">
              <a:effectLst/>
              <a:latin typeface="Arial" panose="020B0604020202020204" pitchFamily="34" charset="0"/>
              <a:ea typeface="+mn-ea"/>
              <a:cs typeface="Arial" panose="020B0604020202020204" pitchFamily="34" charset="0"/>
            </a:rPr>
            <a:t>*</a:t>
          </a:r>
          <a:endParaRPr lang="cs-CZ" sz="1100"/>
        </a:p>
      </cdr:txBody>
    </cdr:sp>
  </cdr:relSizeAnchor>
</c:userShapes>
</file>

<file path=word/drawings/drawing68.xml><?xml version="1.0" encoding="utf-8"?>
<c:userShapes xmlns:c="http://schemas.openxmlformats.org/drawingml/2006/chart">
  <cdr:relSizeAnchor xmlns:cdr="http://schemas.openxmlformats.org/drawingml/2006/chartDrawing">
    <cdr:from>
      <cdr:x>0</cdr:x>
      <cdr:y>0.91863</cdr:y>
    </cdr:from>
    <cdr:to>
      <cdr:x>0.97618</cdr:x>
      <cdr:y>0.98095</cdr:y>
    </cdr:to>
    <cdr:sp macro="" textlink="">
      <cdr:nvSpPr>
        <cdr:cNvPr id="4" name="TextovéPole 1"/>
        <cdr:cNvSpPr txBox="1"/>
      </cdr:nvSpPr>
      <cdr:spPr>
        <a:xfrm xmlns:a="http://schemas.openxmlformats.org/drawingml/2006/main">
          <a:off x="0" y="2974975"/>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69.xml><?xml version="1.0" encoding="utf-8"?>
<c:userShapes xmlns:c="http://schemas.openxmlformats.org/drawingml/2006/chart">
  <cdr:relSizeAnchor xmlns:cdr="http://schemas.openxmlformats.org/drawingml/2006/chartDrawing">
    <cdr:from>
      <cdr:x>0</cdr:x>
      <cdr:y>0.9182</cdr:y>
    </cdr:from>
    <cdr:to>
      <cdr:x>0.98794</cdr:x>
      <cdr:y>0.98049</cdr:y>
    </cdr:to>
    <cdr:sp macro="" textlink="">
      <cdr:nvSpPr>
        <cdr:cNvPr id="3" name="TextovéPole 1"/>
        <cdr:cNvSpPr txBox="1"/>
      </cdr:nvSpPr>
      <cdr:spPr>
        <a:xfrm xmlns:a="http://schemas.openxmlformats.org/drawingml/2006/main">
          <a:off x="0" y="2974975"/>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7.xml><?xml version="1.0" encoding="utf-8"?>
<c:userShapes xmlns:c="http://schemas.openxmlformats.org/drawingml/2006/chart">
  <cdr:relSizeAnchor xmlns:cdr="http://schemas.openxmlformats.org/drawingml/2006/chartDrawing">
    <cdr:from>
      <cdr:x>0.04095</cdr:x>
      <cdr:y>0.90336</cdr:y>
    </cdr:from>
    <cdr:to>
      <cdr:x>0.97329</cdr:x>
      <cdr:y>0.97896</cdr:y>
    </cdr:to>
    <cdr:sp macro="" textlink="">
      <cdr:nvSpPr>
        <cdr:cNvPr id="3" name="TextovéPole 2"/>
        <cdr:cNvSpPr txBox="1"/>
      </cdr:nvSpPr>
      <cdr:spPr>
        <a:xfrm xmlns:a="http://schemas.openxmlformats.org/drawingml/2006/main">
          <a:off x="123825" y="2276475"/>
          <a:ext cx="28194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r"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Source: Czech Telecommunication Office, 2018</a:t>
          </a:r>
          <a:endParaRPr lang="cs-CZ" sz="800">
            <a:effectLst/>
            <a:latin typeface="Arial" panose="020B0604020202020204" pitchFamily="34" charset="0"/>
            <a:cs typeface="Arial" panose="020B0604020202020204" pitchFamily="34" charset="0"/>
          </a:endParaRPr>
        </a:p>
        <a:p xmlns:a="http://schemas.openxmlformats.org/drawingml/2006/main">
          <a:endParaRPr lang="cs-CZ" sz="1100"/>
        </a:p>
      </cdr:txBody>
    </cdr:sp>
  </cdr:relSizeAnchor>
</c:userShapes>
</file>

<file path=word/drawings/drawing70.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0.03735</cdr:x>
      <cdr:y>0.91088</cdr:y>
    </cdr:from>
    <cdr:to>
      <cdr:x>0.70965</cdr:x>
      <cdr:y>0.98626</cdr:y>
    </cdr:to>
    <cdr:sp macro="" textlink="">
      <cdr:nvSpPr>
        <cdr:cNvPr id="5" name="TextovéPole 1"/>
        <cdr:cNvSpPr txBox="1"/>
      </cdr:nvSpPr>
      <cdr:spPr>
        <a:xfrm xmlns:a="http://schemas.openxmlformats.org/drawingml/2006/main">
          <a:off x="223083" y="2770000"/>
          <a:ext cx="4015541" cy="229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aged 16 to 74 in a given country</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0.0607</cdr:x>
      <cdr:y>0.01834</cdr:y>
    </cdr:from>
    <cdr:to>
      <cdr:x>0.96806</cdr:x>
      <cdr:y>0.10087</cdr:y>
    </cdr:to>
    <cdr:sp macro="" textlink="">
      <cdr:nvSpPr>
        <cdr:cNvPr id="3" name="TextovéPole 2"/>
        <cdr:cNvSpPr txBox="1"/>
      </cdr:nvSpPr>
      <cdr:spPr>
        <a:xfrm xmlns:a="http://schemas.openxmlformats.org/drawingml/2006/main">
          <a:off x="371484" y="57152"/>
          <a:ext cx="5553043"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C30 </a:t>
          </a:r>
          <a:r>
            <a:rPr lang="en-US" sz="800" b="1" i="0" baseline="0">
              <a:effectLst/>
              <a:latin typeface="Arial" panose="020B0604020202020204" pitchFamily="34" charset="0"/>
              <a:ea typeface="+mn-ea"/>
              <a:cs typeface="Arial" panose="020B0604020202020204" pitchFamily="34" charset="0"/>
            </a:rPr>
            <a:t>Individuals in EU countries aged 16</a:t>
          </a:r>
          <a:r>
            <a:rPr lang="cs-CZ" sz="800" b="1" i="0" baseline="0">
              <a:effectLst/>
              <a:latin typeface="Arial" panose="020B0604020202020204" pitchFamily="34" charset="0"/>
              <a:ea typeface="+mn-ea"/>
              <a:cs typeface="Arial" panose="020B0604020202020204" pitchFamily="34" charset="0"/>
            </a:rPr>
            <a:t>–</a:t>
          </a:r>
          <a:r>
            <a:rPr lang="en-US" sz="800" b="1" i="0" baseline="0">
              <a:effectLst/>
              <a:latin typeface="Arial" panose="020B0604020202020204" pitchFamily="34" charset="0"/>
              <a:ea typeface="+mn-ea"/>
              <a:cs typeface="Arial" panose="020B0604020202020204" pitchFamily="34" charset="0"/>
            </a:rPr>
            <a:t>74</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using </a:t>
          </a:r>
          <a:r>
            <a:rPr lang="cs-CZ" sz="800" b="1" i="0" baseline="0">
              <a:effectLst/>
              <a:latin typeface="Arial" panose="020B0604020202020204" pitchFamily="34" charset="0"/>
              <a:ea typeface="+mn-ea"/>
              <a:cs typeface="Arial" panose="020B0604020202020204" pitchFamily="34" charset="0"/>
            </a:rPr>
            <a:t>i</a:t>
          </a:r>
          <a:r>
            <a:rPr lang="en-US" sz="800" b="1" i="0" baseline="0">
              <a:effectLst/>
              <a:latin typeface="Arial" panose="020B0604020202020204" pitchFamily="34" charset="0"/>
              <a:ea typeface="+mn-ea"/>
              <a:cs typeface="Arial" panose="020B0604020202020204" pitchFamily="34" charset="0"/>
            </a:rPr>
            <a:t>nternet banking</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1100"/>
        </a:p>
      </cdr:txBody>
    </cdr:sp>
  </cdr:relSizeAnchor>
</c:userShapes>
</file>

<file path=word/drawings/drawing71.xml><?xml version="1.0" encoding="utf-8"?>
<c:userShapes xmlns:c="http://schemas.openxmlformats.org/drawingml/2006/chart">
  <cdr:relSizeAnchor xmlns:cdr="http://schemas.openxmlformats.org/drawingml/2006/chartDrawing">
    <cdr:from>
      <cdr:x>0.00568</cdr:x>
      <cdr:y>0.91232</cdr:y>
    </cdr:from>
    <cdr:to>
      <cdr:x>0.99362</cdr:x>
      <cdr:y>0.97461</cdr:y>
    </cdr:to>
    <cdr:sp macro="" textlink="">
      <cdr:nvSpPr>
        <cdr:cNvPr id="3" name="TextovéPole 1"/>
        <cdr:cNvSpPr txBox="1"/>
      </cdr:nvSpPr>
      <cdr:spPr>
        <a:xfrm xmlns:a="http://schemas.openxmlformats.org/drawingml/2006/main">
          <a:off x="16976" y="2955925"/>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72.xml><?xml version="1.0" encoding="utf-8"?>
<c:userShapes xmlns:c="http://schemas.openxmlformats.org/drawingml/2006/chart">
  <cdr:relSizeAnchor xmlns:cdr="http://schemas.openxmlformats.org/drawingml/2006/chartDrawing">
    <cdr:from>
      <cdr:x>0</cdr:x>
      <cdr:y>0.9098</cdr:y>
    </cdr:from>
    <cdr:to>
      <cdr:x>0.97618</cdr:x>
      <cdr:y>0.97212</cdr:y>
    </cdr:to>
    <cdr:sp macro="" textlink="">
      <cdr:nvSpPr>
        <cdr:cNvPr id="4" name="TextovéPole 1"/>
        <cdr:cNvSpPr txBox="1"/>
      </cdr:nvSpPr>
      <cdr:spPr>
        <a:xfrm xmlns:a="http://schemas.openxmlformats.org/drawingml/2006/main">
          <a:off x="0" y="2946400"/>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73.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0.03735</cdr:x>
      <cdr:y>0.91088</cdr:y>
    </cdr:from>
    <cdr:to>
      <cdr:x>0.70327</cdr:x>
      <cdr:y>0.98626</cdr:y>
    </cdr:to>
    <cdr:sp macro="" textlink="">
      <cdr:nvSpPr>
        <cdr:cNvPr id="5" name="TextovéPole 1"/>
        <cdr:cNvSpPr txBox="1"/>
      </cdr:nvSpPr>
      <cdr:spPr>
        <a:xfrm xmlns:a="http://schemas.openxmlformats.org/drawingml/2006/main">
          <a:off x="223083" y="2770000"/>
          <a:ext cx="3977441" cy="2292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cs-CZ" sz="800">
              <a:latin typeface="Arial" panose="020B0604020202020204" pitchFamily="34" charset="0"/>
              <a:cs typeface="Arial" panose="020B0604020202020204" pitchFamily="34" charset="0"/>
            </a:rPr>
            <a:t>* as a percentage</a:t>
          </a:r>
          <a:r>
            <a:rPr lang="cs-CZ" sz="800" baseline="0">
              <a:latin typeface="Arial" panose="020B0604020202020204" pitchFamily="34" charset="0"/>
              <a:cs typeface="Arial" panose="020B0604020202020204" pitchFamily="34" charset="0"/>
            </a:rPr>
            <a:t> of all individuals aged 16 to 74 in a given country</a:t>
          </a:r>
          <a:endParaRPr lang="cs-CZ"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0.0607</cdr:x>
      <cdr:y>0.01834</cdr:y>
    </cdr:from>
    <cdr:to>
      <cdr:x>0.96806</cdr:x>
      <cdr:y>0.10087</cdr:y>
    </cdr:to>
    <cdr:sp macro="" textlink="">
      <cdr:nvSpPr>
        <cdr:cNvPr id="3" name="TextovéPole 2"/>
        <cdr:cNvSpPr txBox="1"/>
      </cdr:nvSpPr>
      <cdr:spPr>
        <a:xfrm xmlns:a="http://schemas.openxmlformats.org/drawingml/2006/main">
          <a:off x="371484" y="57152"/>
          <a:ext cx="5553043" cy="257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cs-CZ" sz="800" b="1" i="0" baseline="0">
              <a:effectLst/>
              <a:latin typeface="Arial" panose="020B0604020202020204" pitchFamily="34" charset="0"/>
              <a:ea typeface="+mn-ea"/>
              <a:cs typeface="Arial" panose="020B0604020202020204" pitchFamily="34" charset="0"/>
            </a:rPr>
            <a:t>Figure C33 </a:t>
          </a:r>
          <a:r>
            <a:rPr lang="en-US" sz="800" b="1" i="0" baseline="0">
              <a:effectLst/>
              <a:latin typeface="Arial" panose="020B0604020202020204" pitchFamily="34" charset="0"/>
              <a:ea typeface="+mn-ea"/>
              <a:cs typeface="Arial" panose="020B0604020202020204" pitchFamily="34" charset="0"/>
            </a:rPr>
            <a:t>Individuals in EU countries aged 16</a:t>
          </a:r>
          <a:r>
            <a:rPr lang="cs-CZ" sz="800" b="1" i="0" baseline="0">
              <a:effectLst/>
              <a:latin typeface="Arial" panose="020B0604020202020204" pitchFamily="34" charset="0"/>
              <a:ea typeface="+mn-ea"/>
              <a:cs typeface="Arial" panose="020B0604020202020204" pitchFamily="34" charset="0"/>
            </a:rPr>
            <a:t>–</a:t>
          </a:r>
          <a:r>
            <a:rPr lang="en-US" sz="800" b="1" i="0" baseline="0">
              <a:effectLst/>
              <a:latin typeface="Arial" panose="020B0604020202020204" pitchFamily="34" charset="0"/>
              <a:ea typeface="+mn-ea"/>
              <a:cs typeface="Arial" panose="020B0604020202020204" pitchFamily="34" charset="0"/>
            </a:rPr>
            <a:t>74</a:t>
          </a:r>
          <a:r>
            <a:rPr lang="cs-CZ" sz="800" b="1" i="0" baseline="0">
              <a:effectLst/>
              <a:latin typeface="Arial" panose="020B0604020202020204" pitchFamily="34" charset="0"/>
              <a:ea typeface="+mn-ea"/>
              <a:cs typeface="Arial" panose="020B0604020202020204" pitchFamily="34" charset="0"/>
            </a:rPr>
            <a:t> purchasing over the i</a:t>
          </a:r>
          <a:r>
            <a:rPr lang="en-US" sz="800" b="1" i="0" baseline="0">
              <a:effectLst/>
              <a:latin typeface="Arial" panose="020B0604020202020204" pitchFamily="34" charset="0"/>
              <a:ea typeface="+mn-ea"/>
              <a:cs typeface="Arial" panose="020B0604020202020204" pitchFamily="34" charset="0"/>
            </a:rPr>
            <a:t>nternet</a:t>
          </a:r>
          <a:r>
            <a:rPr lang="cs-CZ" sz="800" b="1" i="0" baseline="0">
              <a:effectLst/>
              <a:latin typeface="Arial" panose="020B0604020202020204" pitchFamily="34" charset="0"/>
              <a:ea typeface="+mn-ea"/>
              <a:cs typeface="Arial" panose="020B0604020202020204" pitchFamily="34" charset="0"/>
            </a:rPr>
            <a:t> </a:t>
          </a:r>
          <a:r>
            <a:rPr lang="en-US" sz="800" b="1" i="0" baseline="0">
              <a:effectLst/>
              <a:latin typeface="Arial" panose="020B0604020202020204" pitchFamily="34" charset="0"/>
              <a:ea typeface="+mn-ea"/>
              <a:cs typeface="Arial" panose="020B0604020202020204" pitchFamily="34" charset="0"/>
            </a:rPr>
            <a:t>(%)</a:t>
          </a:r>
          <a:r>
            <a:rPr lang="cs-CZ" sz="800" b="1" i="0" baseline="0">
              <a:effectLst/>
              <a:latin typeface="Arial" panose="020B0604020202020204" pitchFamily="34" charset="0"/>
              <a:ea typeface="+mn-ea"/>
              <a:cs typeface="Arial" panose="020B0604020202020204" pitchFamily="34" charset="0"/>
            </a:rPr>
            <a:t>*</a:t>
          </a:r>
          <a:endParaRPr lang="cs-CZ" sz="1100"/>
        </a:p>
      </cdr:txBody>
    </cdr:sp>
  </cdr:relSizeAnchor>
</c:userShapes>
</file>

<file path=word/drawings/drawing74.xml><?xml version="1.0" encoding="utf-8"?>
<c:userShapes xmlns:c="http://schemas.openxmlformats.org/drawingml/2006/chart">
  <cdr:relSizeAnchor xmlns:cdr="http://schemas.openxmlformats.org/drawingml/2006/chartDrawing">
    <cdr:from>
      <cdr:x>0.01575</cdr:x>
      <cdr:y>0.00294</cdr:y>
    </cdr:from>
    <cdr:to>
      <cdr:x>1</cdr:x>
      <cdr:y>0.12059</cdr:y>
    </cdr:to>
    <cdr:sp macro="" textlink="">
      <cdr:nvSpPr>
        <cdr:cNvPr id="2" name="TextovéPole 1"/>
        <cdr:cNvSpPr txBox="1"/>
      </cdr:nvSpPr>
      <cdr:spPr>
        <a:xfrm xmlns:a="http://schemas.openxmlformats.org/drawingml/2006/main">
          <a:off x="47628" y="9521"/>
          <a:ext cx="2976372" cy="3810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rtl="0"/>
          <a:r>
            <a:rPr lang="cs-CZ" sz="800" b="1" i="0" baseline="0">
              <a:effectLst/>
              <a:latin typeface="Arial" panose="020B0604020202020204" pitchFamily="34" charset="0"/>
              <a:ea typeface="+mn-ea"/>
              <a:cs typeface="Arial" panose="020B0604020202020204" pitchFamily="34" charset="0"/>
            </a:rPr>
            <a:t>Figrure C34 Individuals in the Czech Republic who purchased clothes or shoes over the internet; 2017 (%)</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0.02382</cdr:x>
      <cdr:y>0.91275</cdr:y>
    </cdr:from>
    <cdr:to>
      <cdr:x>1</cdr:x>
      <cdr:y>0.97506</cdr:y>
    </cdr:to>
    <cdr:sp macro="" textlink="">
      <cdr:nvSpPr>
        <cdr:cNvPr id="4" name="TextovéPole 1"/>
        <cdr:cNvSpPr txBox="1"/>
      </cdr:nvSpPr>
      <cdr:spPr>
        <a:xfrm xmlns:a="http://schemas.openxmlformats.org/drawingml/2006/main">
          <a:off x="72026" y="2955925"/>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75.xml><?xml version="1.0" encoding="utf-8"?>
<c:userShapes xmlns:c="http://schemas.openxmlformats.org/drawingml/2006/chart">
  <cdr:relSizeAnchor xmlns:cdr="http://schemas.openxmlformats.org/drawingml/2006/chartDrawing">
    <cdr:from>
      <cdr:x>0.00735</cdr:x>
      <cdr:y>0.91863</cdr:y>
    </cdr:from>
    <cdr:to>
      <cdr:x>0.98353</cdr:x>
      <cdr:y>0.98095</cdr:y>
    </cdr:to>
    <cdr:sp macro="" textlink="">
      <cdr:nvSpPr>
        <cdr:cNvPr id="4" name="TextovéPole 1"/>
        <cdr:cNvSpPr txBox="1"/>
      </cdr:nvSpPr>
      <cdr:spPr>
        <a:xfrm xmlns:a="http://schemas.openxmlformats.org/drawingml/2006/main">
          <a:off x="22225" y="2974975"/>
          <a:ext cx="2951974" cy="2018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itchFamily="34" charset="0"/>
              <a:cs typeface="Arial" pitchFamily="34" charset="0"/>
            </a:rPr>
            <a:t>Source: CZSO 2018, Household ICT usage survey</a:t>
          </a:r>
        </a:p>
      </cdr:txBody>
    </cdr:sp>
  </cdr:relSizeAnchor>
</c:userShapes>
</file>

<file path=word/drawings/drawing76.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 Enterprises in the Czech Republic using computer networks;</a:t>
          </a:r>
          <a:r>
            <a:rPr lang="cs-CZ" sz="800" b="1" baseline="0">
              <a:latin typeface="Arial" pitchFamily="34" charset="0"/>
              <a:cs typeface="Arial" pitchFamily="34" charset="0"/>
            </a:rPr>
            <a:t> </a:t>
          </a:r>
          <a:r>
            <a:rPr lang="cs-CZ" sz="800" b="1">
              <a:latin typeface="Arial" pitchFamily="34" charset="0"/>
              <a:cs typeface="Arial" pitchFamily="34" charset="0"/>
            </a:rPr>
            <a:t>2017 (%)*</a:t>
          </a:r>
        </a:p>
      </cdr:txBody>
    </cdr:sp>
  </cdr:relSizeAnchor>
  <cdr:relSizeAnchor xmlns:cdr="http://schemas.openxmlformats.org/drawingml/2006/chartDrawing">
    <cdr:from>
      <cdr:x>0</cdr:x>
      <cdr:y>0.87029</cdr:y>
    </cdr:from>
    <cdr:to>
      <cdr:x>1</cdr:x>
      <cdr:y>0.98341</cdr:y>
    </cdr:to>
    <cdr:sp macro="" textlink="">
      <cdr:nvSpPr>
        <cdr:cNvPr id="4" name="TextovéPole 1"/>
        <cdr:cNvSpPr txBox="1"/>
      </cdr:nvSpPr>
      <cdr:spPr>
        <a:xfrm xmlns:a="http://schemas.openxmlformats.org/drawingml/2006/main">
          <a:off x="0" y="183197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77.xml><?xml version="1.0" encoding="utf-8"?>
<c:userShapes xmlns:c="http://schemas.openxmlformats.org/drawingml/2006/chart">
  <cdr:relSizeAnchor xmlns:cdr="http://schemas.openxmlformats.org/drawingml/2006/chartDrawing">
    <cdr:from>
      <cdr:x>0.0274</cdr:x>
      <cdr:y>0</cdr:y>
    </cdr:from>
    <cdr:to>
      <cdr:x>0.98585</cdr:x>
      <cdr:y>0.14027</cdr:y>
    </cdr:to>
    <cdr:sp macro="" textlink="">
      <cdr:nvSpPr>
        <cdr:cNvPr id="3" name="TextovéPole 1"/>
        <cdr:cNvSpPr txBox="1"/>
      </cdr:nvSpPr>
      <cdr:spPr>
        <a:xfrm xmlns:a="http://schemas.openxmlformats.org/drawingml/2006/main">
          <a:off x="76200" y="0"/>
          <a:ext cx="2665737"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D2 Enterprises in the Czech Republic with wireless Local Area Network</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7"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78.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D3 Enterprises in the Czech Republic using xDSL internet connection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7"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79.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D4 Enterprises in the Czech Republic using fibre (FTTx) internet connection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0.86124</cdr:y>
    </cdr:from>
    <cdr:to>
      <cdr:x>1</cdr:x>
      <cdr:y>0.97436</cdr:y>
    </cdr:to>
    <cdr:sp macro="" textlink="">
      <cdr:nvSpPr>
        <cdr:cNvPr id="7" name="TextovéPole 1"/>
        <cdr:cNvSpPr txBox="1"/>
      </cdr:nvSpPr>
      <cdr:spPr>
        <a:xfrm xmlns:a="http://schemas.openxmlformats.org/drawingml/2006/main">
          <a:off x="0" y="18129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0.04102</cdr:x>
      <cdr:y>0.90076</cdr:y>
    </cdr:from>
    <cdr:to>
      <cdr:x>0.99189</cdr:x>
      <cdr:y>0.97045</cdr:y>
    </cdr:to>
    <cdr:sp macro="" textlink="">
      <cdr:nvSpPr>
        <cdr:cNvPr id="2" name="TextovéPole 1"/>
        <cdr:cNvSpPr txBox="1"/>
      </cdr:nvSpPr>
      <cdr:spPr>
        <a:xfrm xmlns:a="http://schemas.openxmlformats.org/drawingml/2006/main">
          <a:off x="127000" y="2432050"/>
          <a:ext cx="2943894" cy="1881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Telecommunication Office, 2018</a:t>
          </a:r>
          <a:endParaRPr lang="cs-CZ" sz="400" i="1">
            <a:effectLst/>
            <a:latin typeface="Arial" panose="020B0604020202020204" pitchFamily="34" charset="0"/>
            <a:cs typeface="Arial" panose="020B0604020202020204" pitchFamily="34" charset="0"/>
          </a:endParaRPr>
        </a:p>
      </cdr:txBody>
    </cdr:sp>
  </cdr:relSizeAnchor>
</c:userShapes>
</file>

<file path=word/drawings/drawing80.xml><?xml version="1.0" encoding="utf-8"?>
<c:userShapes xmlns:c="http://schemas.openxmlformats.org/drawingml/2006/chart">
  <cdr:relSizeAnchor xmlns:cdr="http://schemas.openxmlformats.org/drawingml/2006/chartDrawing">
    <cdr:from>
      <cdr:x>0.0061</cdr:x>
      <cdr:y>0.0196</cdr:y>
    </cdr:from>
    <cdr:to>
      <cdr:x>0.96455</cdr:x>
      <cdr:y>0.13066</cdr:y>
    </cdr:to>
    <cdr:sp macro="" textlink="">
      <cdr:nvSpPr>
        <cdr:cNvPr id="3" name="TextovéPole 1"/>
        <cdr:cNvSpPr txBox="1"/>
      </cdr:nvSpPr>
      <cdr:spPr>
        <a:xfrm xmlns:a="http://schemas.openxmlformats.org/drawingml/2006/main">
          <a:off x="19050" y="57150"/>
          <a:ext cx="2994389" cy="32385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D5 Internet connection speed used by enterprises in the Czech Republic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0.00965</cdr:x>
      <cdr:y>0.77981</cdr:y>
    </cdr:from>
    <cdr:to>
      <cdr:x>0.95856</cdr:x>
      <cdr:y>0.92977</cdr:y>
    </cdr:to>
    <cdr:sp macro="" textlink="">
      <cdr:nvSpPr>
        <cdr:cNvPr id="4" name="TextovéPole 1"/>
        <cdr:cNvSpPr txBox="1"/>
      </cdr:nvSpPr>
      <cdr:spPr>
        <a:xfrm xmlns:a="http://schemas.openxmlformats.org/drawingml/2006/main">
          <a:off x="51002" y="2220889"/>
          <a:ext cx="5016298" cy="4270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800">
              <a:effectLst/>
              <a:latin typeface="Arial" panose="020B0604020202020204" pitchFamily="34" charset="0"/>
              <a:ea typeface="+mn-ea"/>
              <a:cs typeface="Arial" panose="020B0604020202020204" pitchFamily="34" charset="0"/>
            </a:rPr>
            <a:t>* as a percentage of all enterprises with 10+ employees </a:t>
          </a:r>
          <a:r>
            <a:rPr lang="cs-CZ" sz="800" u="sng">
              <a:effectLst/>
              <a:latin typeface="Arial" panose="020B0604020202020204" pitchFamily="34" charset="0"/>
              <a:ea typeface="+mn-ea"/>
              <a:cs typeface="Arial" panose="020B0604020202020204" pitchFamily="34" charset="0"/>
            </a:rPr>
            <a:t>with the internet</a:t>
          </a:r>
        </a:p>
        <a:p xmlns:a="http://schemas.openxmlformats.org/drawingml/2006/main">
          <a:endParaRPr lang="cs-CZ" sz="200" u="sng" baseline="0">
            <a:effectLst/>
            <a:latin typeface="Arial" panose="020B0604020202020204" pitchFamily="34" charset="0"/>
            <a:ea typeface="+mn-ea"/>
            <a:cs typeface="Arial" panose="020B0604020202020204" pitchFamily="34" charset="0"/>
          </a:endParaRPr>
        </a:p>
      </cdr:txBody>
    </cdr:sp>
  </cdr:relSizeAnchor>
  <cdr:relSizeAnchor xmlns:cdr="http://schemas.openxmlformats.org/drawingml/2006/chartDrawing">
    <cdr:from>
      <cdr:x>0.07718</cdr:x>
      <cdr:y>0.89474</cdr:y>
    </cdr:from>
    <cdr:to>
      <cdr:x>0.99335</cdr:x>
      <cdr:y>1</cdr:y>
    </cdr:to>
    <cdr:sp macro="" textlink="">
      <cdr:nvSpPr>
        <cdr:cNvPr id="5" name="TextovéPole 1"/>
        <cdr:cNvSpPr txBox="1"/>
      </cdr:nvSpPr>
      <cdr:spPr>
        <a:xfrm xmlns:a="http://schemas.openxmlformats.org/drawingml/2006/main">
          <a:off x="219075" y="2266949"/>
          <a:ext cx="2600500" cy="2667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1.xml><?xml version="1.0" encoding="utf-8"?>
<c:userShapes xmlns:c="http://schemas.openxmlformats.org/drawingml/2006/chart">
  <cdr:relSizeAnchor xmlns:cdr="http://schemas.openxmlformats.org/drawingml/2006/chartDrawing">
    <cdr:from>
      <cdr:x>0</cdr:x>
      <cdr:y>3.51127E-7</cdr:y>
    </cdr:from>
    <cdr:to>
      <cdr:x>0.95845</cdr:x>
      <cdr:y>0.10702</cdr:y>
    </cdr:to>
    <cdr:sp macro="" textlink="">
      <cdr:nvSpPr>
        <cdr:cNvPr id="3" name="TextovéPole 1"/>
        <cdr:cNvSpPr txBox="1"/>
      </cdr:nvSpPr>
      <cdr:spPr>
        <a:xfrm xmlns:a="http://schemas.openxmlformats.org/drawingml/2006/main">
          <a:off x="0" y="1"/>
          <a:ext cx="2702254" cy="30480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D6 Enterprises in the</a:t>
          </a:r>
          <a:r>
            <a:rPr lang="cs-CZ" sz="800" b="1" baseline="0">
              <a:latin typeface="Arial" pitchFamily="34" charset="0"/>
              <a:cs typeface="Arial" pitchFamily="34" charset="0"/>
            </a:rPr>
            <a:t> Czech Republic</a:t>
          </a:r>
          <a:r>
            <a:rPr lang="cs-CZ" sz="800" b="1">
              <a:latin typeface="Arial" pitchFamily="34" charset="0"/>
              <a:cs typeface="Arial" pitchFamily="34" charset="0"/>
            </a:rPr>
            <a:t> with </a:t>
          </a:r>
        </a:p>
        <a:p xmlns:a="http://schemas.openxmlformats.org/drawingml/2006/main">
          <a:pPr algn="ctr"/>
          <a:r>
            <a:rPr lang="cs-CZ" sz="800" b="1">
              <a:latin typeface="Arial" pitchFamily="34" charset="0"/>
              <a:cs typeface="Arial" pitchFamily="34" charset="0"/>
            </a:rPr>
            <a:t>at least 30 Mb/s connection speed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0.06194</cdr:x>
      <cdr:y>0.89632</cdr:y>
    </cdr:from>
    <cdr:to>
      <cdr:x>0.9843</cdr:x>
      <cdr:y>1</cdr:y>
    </cdr:to>
    <cdr:sp macro="" textlink="">
      <cdr:nvSpPr>
        <cdr:cNvPr id="6" name="TextovéPole 1"/>
        <cdr:cNvSpPr txBox="1"/>
      </cdr:nvSpPr>
      <cdr:spPr>
        <a:xfrm xmlns:a="http://schemas.openxmlformats.org/drawingml/2006/main">
          <a:off x="174625" y="2552700"/>
          <a:ext cx="260050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0.78595</cdr:y>
    </cdr:from>
    <cdr:to>
      <cdr:x>0.99324</cdr:x>
      <cdr:y>0.90301</cdr:y>
    </cdr:to>
    <cdr:sp macro="" textlink="">
      <cdr:nvSpPr>
        <cdr:cNvPr id="7" name="TextovéPole 1"/>
        <cdr:cNvSpPr txBox="1"/>
      </cdr:nvSpPr>
      <cdr:spPr>
        <a:xfrm xmlns:a="http://schemas.openxmlformats.org/drawingml/2006/main">
          <a:off x="0" y="2238375"/>
          <a:ext cx="2800350" cy="3333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i="1">
              <a:effectLst/>
              <a:latin typeface="Arial" panose="020B0604020202020204" pitchFamily="34" charset="0"/>
              <a:ea typeface="+mn-ea"/>
              <a:cs typeface="Arial" panose="020B0604020202020204" pitchFamily="34" charset="0"/>
            </a:rPr>
            <a:t>* </a:t>
          </a:r>
          <a:r>
            <a:rPr lang="cs-CZ" sz="800">
              <a:effectLst/>
              <a:latin typeface="Arial" panose="020B0604020202020204" pitchFamily="34" charset="0"/>
              <a:ea typeface="+mn-ea"/>
              <a:cs typeface="Arial" panose="020B0604020202020204" pitchFamily="34" charset="0"/>
            </a:rPr>
            <a:t>as a percentage of </a:t>
          </a:r>
          <a:r>
            <a:rPr lang="cs-CZ" sz="800" u="sng">
              <a:effectLst/>
              <a:latin typeface="Arial" panose="020B0604020202020204" pitchFamily="34" charset="0"/>
              <a:ea typeface="+mn-ea"/>
              <a:cs typeface="Arial" panose="020B0604020202020204" pitchFamily="34" charset="0"/>
            </a:rPr>
            <a:t>all enterprises</a:t>
          </a:r>
          <a:r>
            <a:rPr lang="cs-CZ" sz="800">
              <a:effectLst/>
              <a:latin typeface="Arial" panose="020B0604020202020204" pitchFamily="34" charset="0"/>
              <a:ea typeface="+mn-ea"/>
              <a:cs typeface="Arial" panose="020B0604020202020204" pitchFamily="34" charset="0"/>
            </a:rPr>
            <a:t> with 10+ employees in a given size class</a:t>
          </a:r>
        </a:p>
        <a:p xmlns:a="http://schemas.openxmlformats.org/drawingml/2006/main">
          <a:pPr algn="l" eaLnBrk="1" fontAlgn="auto" latinLnBrk="0" hangingPunct="1"/>
          <a:endParaRPr lang="cs-CZ" sz="800">
            <a:effectLst/>
            <a:latin typeface="Arial" panose="020B0604020202020204" pitchFamily="34" charset="0"/>
            <a:cs typeface="Arial" panose="020B0604020202020204" pitchFamily="34" charset="0"/>
          </a:endParaRPr>
        </a:p>
      </cdr:txBody>
    </cdr:sp>
  </cdr:relSizeAnchor>
</c:userShapes>
</file>

<file path=word/drawings/drawing82.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0.90546</cdr:y>
    </cdr:from>
    <cdr:to>
      <cdr:x>0.69056</cdr:x>
      <cdr:y>0.96657</cdr:y>
    </cdr:to>
    <cdr:sp macro="" textlink="">
      <cdr:nvSpPr>
        <cdr:cNvPr id="4" name="TextovéPole 1"/>
        <cdr:cNvSpPr txBox="1"/>
      </cdr:nvSpPr>
      <cdr:spPr>
        <a:xfrm xmlns:a="http://schemas.openxmlformats.org/drawingml/2006/main">
          <a:off x="122015" y="2819602"/>
          <a:ext cx="4002309" cy="1902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cdr:txBody>
    </cdr:sp>
  </cdr:relSizeAnchor>
</c:userShapes>
</file>

<file path=word/drawings/drawing83.xml><?xml version="1.0" encoding="utf-8"?>
<c:userShapes xmlns:c="http://schemas.openxmlformats.org/drawingml/2006/chart">
  <cdr:relSizeAnchor xmlns:cdr="http://schemas.openxmlformats.org/drawingml/2006/chartDrawing">
    <cdr:from>
      <cdr:x>0</cdr:x>
      <cdr:y>0.01182</cdr:y>
    </cdr:from>
    <cdr:to>
      <cdr:x>0.95845</cdr:x>
      <cdr:y>0.15209</cdr:y>
    </cdr:to>
    <cdr:sp macro="" textlink="">
      <cdr:nvSpPr>
        <cdr:cNvPr id="3" name="TextovéPole 1"/>
        <cdr:cNvSpPr txBox="1"/>
      </cdr:nvSpPr>
      <cdr:spPr>
        <a:xfrm xmlns:a="http://schemas.openxmlformats.org/drawingml/2006/main">
          <a:off x="0" y="34030"/>
          <a:ext cx="2932311" cy="4039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D8 Enterprises in the Czech Republic with </a:t>
          </a:r>
        </a:p>
        <a:p xmlns:a="http://schemas.openxmlformats.org/drawingml/2006/main">
          <a:pPr algn="ctr"/>
          <a:r>
            <a:rPr lang="cs-CZ" sz="800" b="1">
              <a:latin typeface="Arial" pitchFamily="34" charset="0"/>
              <a:cs typeface="Arial" pitchFamily="34" charset="0"/>
            </a:rPr>
            <a:t>a website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0.86124</cdr:y>
    </cdr:from>
    <cdr:to>
      <cdr:x>1</cdr:x>
      <cdr:y>0.97436</cdr:y>
    </cdr:to>
    <cdr:sp macro="" textlink="">
      <cdr:nvSpPr>
        <cdr:cNvPr id="7" name="TextovéPole 1"/>
        <cdr:cNvSpPr txBox="1"/>
      </cdr:nvSpPr>
      <cdr:spPr>
        <a:xfrm xmlns:a="http://schemas.openxmlformats.org/drawingml/2006/main">
          <a:off x="0" y="18129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4.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D9 Enterprises in the Czech Republic with </a:t>
          </a:r>
        </a:p>
        <a:p xmlns:a="http://schemas.openxmlformats.org/drawingml/2006/main">
          <a:pPr algn="ctr"/>
          <a:r>
            <a:rPr lang="cs-CZ" sz="800" b="1">
              <a:latin typeface="Arial" pitchFamily="34" charset="0"/>
              <a:cs typeface="Arial" pitchFamily="34" charset="0"/>
            </a:rPr>
            <a:t>a website customized for mobiles</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0.87029</cdr:y>
    </cdr:from>
    <cdr:to>
      <cdr:x>1</cdr:x>
      <cdr:y>0.98341</cdr:y>
    </cdr:to>
    <cdr:sp macro="" textlink="">
      <cdr:nvSpPr>
        <cdr:cNvPr id="7" name="TextovéPole 1"/>
        <cdr:cNvSpPr txBox="1"/>
      </cdr:nvSpPr>
      <cdr:spPr>
        <a:xfrm xmlns:a="http://schemas.openxmlformats.org/drawingml/2006/main">
          <a:off x="0" y="183197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5.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0.89762</cdr:y>
    </cdr:from>
    <cdr:to>
      <cdr:x>0.75436</cdr:x>
      <cdr:y>0.973</cdr:y>
    </cdr:to>
    <cdr:sp macro="" textlink="">
      <cdr:nvSpPr>
        <cdr:cNvPr id="4" name="TextovéPole 1"/>
        <cdr:cNvSpPr txBox="1"/>
      </cdr:nvSpPr>
      <cdr:spPr>
        <a:xfrm xmlns:a="http://schemas.openxmlformats.org/drawingml/2006/main">
          <a:off x="122015" y="2795189"/>
          <a:ext cx="4383309" cy="2347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a:p xmlns:a="http://schemas.openxmlformats.org/drawingml/2006/main">
          <a:pPr algn="l"/>
          <a:endParaRPr lang="cs-CZ" sz="200">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data for year 2009</a:t>
          </a:r>
        </a:p>
      </cdr:txBody>
    </cdr:sp>
  </cdr:relSizeAnchor>
</c:userShapes>
</file>

<file path=word/drawings/drawing86.xml><?xml version="1.0" encoding="utf-8"?>
<c:userShapes xmlns:c="http://schemas.openxmlformats.org/drawingml/2006/chart">
  <cdr:relSizeAnchor xmlns:cdr="http://schemas.openxmlformats.org/drawingml/2006/chartDrawing">
    <cdr:from>
      <cdr:x>0.03767</cdr:x>
      <cdr:y>0.90045</cdr:y>
    </cdr:from>
    <cdr:to>
      <cdr:x>1</cdr:x>
      <cdr:y>0.98643</cdr:y>
    </cdr:to>
    <cdr:sp macro="" textlink="">
      <cdr:nvSpPr>
        <cdr:cNvPr id="2" name="TextovéPole 1"/>
        <cdr:cNvSpPr txBox="1"/>
      </cdr:nvSpPr>
      <cdr:spPr>
        <a:xfrm xmlns:a="http://schemas.openxmlformats.org/drawingml/2006/main">
          <a:off x="104775" y="1895479"/>
          <a:ext cx="2676525" cy="1809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cs-CZ" sz="800" i="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3" name="TextovéPole 1"/>
        <cdr:cNvSpPr txBox="1"/>
      </cdr:nvSpPr>
      <cdr:spPr>
        <a:xfrm xmlns:a="http://schemas.openxmlformats.org/drawingml/2006/main">
          <a:off x="0" y="0"/>
          <a:ext cx="6248400" cy="32600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D11 Enterprises in the Czech Republic </a:t>
          </a:r>
        </a:p>
        <a:p xmlns:a="http://schemas.openxmlformats.org/drawingml/2006/main">
          <a:pPr algn="ctr"/>
          <a:r>
            <a:rPr lang="cs-CZ" sz="800" b="1">
              <a:latin typeface="Arial" pitchFamily="34" charset="0"/>
              <a:cs typeface="Arial" pitchFamily="34" charset="0"/>
            </a:rPr>
            <a:t>with selected websites facilities</a:t>
          </a:r>
          <a:r>
            <a:rPr lang="cs-CZ" sz="800" b="1" baseline="0">
              <a:latin typeface="Arial" pitchFamily="34" charset="0"/>
              <a:cs typeface="Arial" pitchFamily="34" charset="0"/>
            </a:rPr>
            <a:t>;</a:t>
          </a:r>
          <a:r>
            <a:rPr lang="cs-CZ" sz="800" b="1">
              <a:latin typeface="Arial" pitchFamily="34" charset="0"/>
              <a:cs typeface="Arial" pitchFamily="34" charset="0"/>
            </a:rPr>
            <a:t> 2017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0.01275</cdr:x>
      <cdr:y>0.89344</cdr:y>
    </cdr:from>
    <cdr:to>
      <cdr:x>0.99354</cdr:x>
      <cdr:y>1</cdr:y>
    </cdr:to>
    <cdr:sp macro="" textlink="">
      <cdr:nvSpPr>
        <cdr:cNvPr id="8" name="TextovéPole 1"/>
        <cdr:cNvSpPr txBox="1"/>
      </cdr:nvSpPr>
      <cdr:spPr>
        <a:xfrm xmlns:a="http://schemas.openxmlformats.org/drawingml/2006/main">
          <a:off x="38100" y="2572862"/>
          <a:ext cx="2930276" cy="3068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7.xml><?xml version="1.0" encoding="utf-8"?>
<c:userShapes xmlns:c="http://schemas.openxmlformats.org/drawingml/2006/chart">
  <cdr:relSizeAnchor xmlns:cdr="http://schemas.openxmlformats.org/drawingml/2006/chartDrawing">
    <cdr:from>
      <cdr:x>0.04111</cdr:x>
      <cdr:y>0.88974</cdr:y>
    </cdr:from>
    <cdr:to>
      <cdr:x>0.97803</cdr:x>
      <cdr:y>0.9918</cdr:y>
    </cdr:to>
    <cdr:sp macro="" textlink="">
      <cdr:nvSpPr>
        <cdr:cNvPr id="3" name="TextovéPole 1"/>
        <cdr:cNvSpPr txBox="1"/>
      </cdr:nvSpPr>
      <cdr:spPr>
        <a:xfrm xmlns:a="http://schemas.openxmlformats.org/drawingml/2006/main">
          <a:off x="117475" y="2203450"/>
          <a:ext cx="2677239"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8.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D13 Enterprises in the Czech Republic </a:t>
          </a:r>
        </a:p>
        <a:p xmlns:a="http://schemas.openxmlformats.org/drawingml/2006/main">
          <a:pPr algn="ctr"/>
          <a:r>
            <a:rPr lang="cs-CZ" sz="800" b="1">
              <a:latin typeface="Arial" pitchFamily="34" charset="0"/>
              <a:cs typeface="Arial" pitchFamily="34" charset="0"/>
            </a:rPr>
            <a:t>selling via a website or aplications</a:t>
          </a:r>
          <a:r>
            <a:rPr lang="cs-CZ" sz="800" b="1" baseline="0">
              <a:latin typeface="Arial" pitchFamily="34" charset="0"/>
              <a:cs typeface="Arial" pitchFamily="34" charset="0"/>
            </a:rPr>
            <a:t> (%)*</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7"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89.xml><?xml version="1.0" encoding="utf-8"?>
<c:userShapes xmlns:c="http://schemas.openxmlformats.org/drawingml/2006/chart">
  <cdr:relSizeAnchor xmlns:cdr="http://schemas.openxmlformats.org/drawingml/2006/chartDrawing">
    <cdr:from>
      <cdr:x>0</cdr:x>
      <cdr:y>0.04762</cdr:y>
    </cdr:from>
    <cdr:to>
      <cdr:x>1</cdr:x>
      <cdr:y>0.18315</cdr:y>
    </cdr:to>
    <cdr:sp macro="" textlink="">
      <cdr:nvSpPr>
        <cdr:cNvPr id="3" name="TextovéPole 1"/>
        <cdr:cNvSpPr txBox="1"/>
      </cdr:nvSpPr>
      <cdr:spPr>
        <a:xfrm xmlns:a="http://schemas.openxmlformats.org/drawingml/2006/main">
          <a:off x="-3829050" y="123825"/>
          <a:ext cx="2931160" cy="35242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D14 Enterprises in the Czech Republic selling via a website by customers' locations</a:t>
          </a:r>
          <a:r>
            <a:rPr lang="cs-CZ" sz="800" b="1" baseline="0">
              <a:latin typeface="Arial" pitchFamily="34" charset="0"/>
              <a:cs typeface="Arial" pitchFamily="34" charset="0"/>
            </a:rPr>
            <a:t>; </a:t>
          </a:r>
          <a:r>
            <a:rPr lang="cs-CZ" sz="800" b="1">
              <a:latin typeface="Arial" pitchFamily="34" charset="0"/>
              <a:cs typeface="Arial" pitchFamily="34" charset="0"/>
            </a:rPr>
            <a:t>2016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1</cdr:x>
      <cdr:y>0.14027</cdr:y>
    </cdr:to>
    <cdr:sp macro="" textlink="">
      <cdr:nvSpPr>
        <cdr:cNvPr id="5" name="TextovéPole 1"/>
        <cdr:cNvSpPr txBox="1"/>
      </cdr:nvSpPr>
      <cdr:spPr>
        <a:xfrm xmlns:a="http://schemas.openxmlformats.org/drawingml/2006/main">
          <a:off x="0" y="0"/>
          <a:ext cx="2781300"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7"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0.02649</cdr:x>
      <cdr:y>0.90429</cdr:y>
    </cdr:from>
    <cdr:to>
      <cdr:x>1</cdr:x>
      <cdr:y>0.97896</cdr:y>
    </cdr:to>
    <cdr:sp macro="" textlink="">
      <cdr:nvSpPr>
        <cdr:cNvPr id="2" name="TextovéPole 1"/>
        <cdr:cNvSpPr txBox="1"/>
      </cdr:nvSpPr>
      <cdr:spPr>
        <a:xfrm xmlns:a="http://schemas.openxmlformats.org/drawingml/2006/main">
          <a:off x="89105" y="1953266"/>
          <a:ext cx="3060000" cy="1612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baseline="0">
              <a:effectLst/>
              <a:latin typeface="Arial" panose="020B0604020202020204" pitchFamily="34" charset="0"/>
              <a:ea typeface="+mn-ea"/>
              <a:cs typeface="+mn-cs"/>
            </a:rPr>
            <a:t>Source: Czech </a:t>
          </a:r>
          <a:r>
            <a:rPr lang="cs-CZ" sz="800" b="0" i="1" baseline="0">
              <a:effectLst/>
              <a:latin typeface="Arial" panose="020B0604020202020204" pitchFamily="34" charset="0"/>
              <a:ea typeface="+mn-ea"/>
              <a:cs typeface="+mn-cs"/>
            </a:rPr>
            <a:t>Telecommunication</a:t>
          </a:r>
          <a:r>
            <a:rPr lang="cs-CZ" sz="800" i="1" baseline="0">
              <a:effectLst/>
              <a:latin typeface="Arial" panose="020B0604020202020204" pitchFamily="34" charset="0"/>
              <a:ea typeface="+mn-ea"/>
              <a:cs typeface="+mn-cs"/>
            </a:rPr>
            <a:t> Office, 2018</a:t>
          </a:r>
          <a:endParaRPr lang="cs-CZ" sz="800" i="1" baseline="0">
            <a:effectLst/>
            <a:latin typeface="Arial" panose="020B0604020202020204" pitchFamily="34" charset="0"/>
          </a:endParaRPr>
        </a:p>
      </cdr:txBody>
    </cdr:sp>
  </cdr:relSizeAnchor>
</c:userShapes>
</file>

<file path=word/drawings/drawing90.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0.02043</cdr:x>
      <cdr:y>0.90798</cdr:y>
    </cdr:from>
    <cdr:to>
      <cdr:x>0.73522</cdr:x>
      <cdr:y>0.98336</cdr:y>
    </cdr:to>
    <cdr:sp macro="" textlink="">
      <cdr:nvSpPr>
        <cdr:cNvPr id="4" name="TextovéPole 1"/>
        <cdr:cNvSpPr txBox="1"/>
      </cdr:nvSpPr>
      <cdr:spPr>
        <a:xfrm xmlns:a="http://schemas.openxmlformats.org/drawingml/2006/main">
          <a:off x="122015" y="3206622"/>
          <a:ext cx="4269009" cy="266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cdr:txBody>
    </cdr:sp>
  </cdr:relSizeAnchor>
</c:userShapes>
</file>

<file path=word/drawings/drawing91.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D16 Enterprises in the Czech Republic</a:t>
          </a:r>
          <a:r>
            <a:rPr lang="cs-CZ" sz="800" b="1" baseline="0">
              <a:latin typeface="Arial" pitchFamily="34" charset="0"/>
              <a:cs typeface="Arial" pitchFamily="34" charset="0"/>
            </a:rPr>
            <a:t> </a:t>
          </a:r>
        </a:p>
        <a:p xmlns:a="http://schemas.openxmlformats.org/drawingml/2006/main">
          <a:pPr algn="ctr"/>
          <a:r>
            <a:rPr lang="cs-CZ" sz="800" b="1">
              <a:latin typeface="Arial" pitchFamily="34" charset="0"/>
              <a:cs typeface="Arial" pitchFamily="34" charset="0"/>
            </a:rPr>
            <a:t>using any online social media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0.87029</cdr:y>
    </cdr:from>
    <cdr:to>
      <cdr:x>1</cdr:x>
      <cdr:y>0.98341</cdr:y>
    </cdr:to>
    <cdr:sp macro="" textlink="">
      <cdr:nvSpPr>
        <cdr:cNvPr id="7" name="TextovéPole 1"/>
        <cdr:cNvSpPr txBox="1"/>
      </cdr:nvSpPr>
      <cdr:spPr>
        <a:xfrm xmlns:a="http://schemas.openxmlformats.org/drawingml/2006/main">
          <a:off x="0" y="183197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2.xml><?xml version="1.0" encoding="utf-8"?>
<c:userShapes xmlns:c="http://schemas.openxmlformats.org/drawingml/2006/chart">
  <cdr:relSizeAnchor xmlns:cdr="http://schemas.openxmlformats.org/drawingml/2006/chartDrawing">
    <cdr:from>
      <cdr:x>0</cdr:x>
      <cdr:y>0</cdr:y>
    </cdr:from>
    <cdr:to>
      <cdr:x>1</cdr:x>
      <cdr:y>0.14027</cdr:y>
    </cdr:to>
    <cdr:sp macro="" textlink="">
      <cdr:nvSpPr>
        <cdr:cNvPr id="3" name="TextovéPole 1"/>
        <cdr:cNvSpPr txBox="1"/>
      </cdr:nvSpPr>
      <cdr:spPr>
        <a:xfrm xmlns:a="http://schemas.openxmlformats.org/drawingml/2006/main">
          <a:off x="0" y="0"/>
          <a:ext cx="2781300" cy="29527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D17 Types of social media used by enterprises in the Czech Republic (%)*</a:t>
          </a: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0.86576</cdr:y>
    </cdr:from>
    <cdr:to>
      <cdr:x>1</cdr:x>
      <cdr:y>0.97889</cdr:y>
    </cdr:to>
    <cdr:sp macro="" textlink="">
      <cdr:nvSpPr>
        <cdr:cNvPr id="7" name="TextovéPole 1"/>
        <cdr:cNvSpPr txBox="1"/>
      </cdr:nvSpPr>
      <cdr:spPr>
        <a:xfrm xmlns:a="http://schemas.openxmlformats.org/drawingml/2006/main">
          <a:off x="0" y="1822450"/>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3.xml><?xml version="1.0" encoding="utf-8"?>
<c:userShapes xmlns:c="http://schemas.openxmlformats.org/drawingml/2006/chart">
  <cdr:relSizeAnchor xmlns:cdr="http://schemas.openxmlformats.org/drawingml/2006/chartDrawing">
    <cdr:from>
      <cdr:x>0</cdr:x>
      <cdr:y>0</cdr:y>
    </cdr:from>
    <cdr:to>
      <cdr:x>0.95845</cdr:x>
      <cdr:y>0.14027</cdr:y>
    </cdr:to>
    <cdr:sp macro="" textlink="">
      <cdr:nvSpPr>
        <cdr:cNvPr id="3"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D18 Enterprises in the Czech Republic using online social networks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cdr:x>
      <cdr:y>0.86124</cdr:y>
    </cdr:from>
    <cdr:to>
      <cdr:x>1</cdr:x>
      <cdr:y>0.97436</cdr:y>
    </cdr:to>
    <cdr:sp macro="" textlink="">
      <cdr:nvSpPr>
        <cdr:cNvPr id="7" name="TextovéPole 1"/>
        <cdr:cNvSpPr txBox="1"/>
      </cdr:nvSpPr>
      <cdr:spPr>
        <a:xfrm xmlns:a="http://schemas.openxmlformats.org/drawingml/2006/main">
          <a:off x="0" y="18129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4.xml><?xml version="1.0" encoding="utf-8"?>
<c:userShapes xmlns:c="http://schemas.openxmlformats.org/drawingml/2006/chart">
  <cdr:relSizeAnchor xmlns:cdr="http://schemas.openxmlformats.org/drawingml/2006/chartDrawing">
    <cdr:from>
      <cdr:x>0.00778</cdr:x>
      <cdr:y>0.89606</cdr:y>
    </cdr:from>
    <cdr:to>
      <cdr:x>0.98111</cdr:x>
      <cdr:y>1</cdr:y>
    </cdr:to>
    <cdr:sp macro="" textlink="">
      <cdr:nvSpPr>
        <cdr:cNvPr id="3" name="TextovéPole 1"/>
        <cdr:cNvSpPr txBox="1"/>
      </cdr:nvSpPr>
      <cdr:spPr>
        <a:xfrm xmlns:a="http://schemas.openxmlformats.org/drawingml/2006/main">
          <a:off x="23807" y="2419350"/>
          <a:ext cx="2978390" cy="280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5.xml><?xml version="1.0" encoding="utf-8"?>
<c:userShapes xmlns:c="http://schemas.openxmlformats.org/drawingml/2006/chart">
  <cdr:relSizeAnchor xmlns:cdr="http://schemas.openxmlformats.org/drawingml/2006/chartDrawing">
    <cdr:from>
      <cdr:x>0.25327</cdr:x>
      <cdr:y>0.94598</cdr:y>
    </cdr:from>
    <cdr:to>
      <cdr:x>0.98493</cdr:x>
      <cdr:y>1</cdr:y>
    </cdr:to>
    <cdr:sp macro="" textlink="">
      <cdr:nvSpPr>
        <cdr:cNvPr id="2" name="TextovéPole 1"/>
        <cdr:cNvSpPr txBox="1"/>
      </cdr:nvSpPr>
      <cdr:spPr>
        <a:xfrm xmlns:a="http://schemas.openxmlformats.org/drawingml/2006/main">
          <a:off x="1531711" y="2724149"/>
          <a:ext cx="4424890" cy="155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0.0378</cdr:x>
      <cdr:y>0.8699</cdr:y>
    </cdr:from>
    <cdr:to>
      <cdr:x>0.89772</cdr:x>
      <cdr:y>1</cdr:y>
    </cdr:to>
    <cdr:sp macro="" textlink="">
      <cdr:nvSpPr>
        <cdr:cNvPr id="4" name="TextovéPole 1"/>
        <cdr:cNvSpPr txBox="1"/>
      </cdr:nvSpPr>
      <cdr:spPr>
        <a:xfrm xmlns:a="http://schemas.openxmlformats.org/drawingml/2006/main">
          <a:off x="228600" y="2505075"/>
          <a:ext cx="5200573" cy="3746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cs-CZ" sz="800">
              <a:latin typeface="Arial" panose="020B0604020202020204" pitchFamily="34" charset="0"/>
              <a:cs typeface="Arial" panose="020B0604020202020204" pitchFamily="34" charset="0"/>
            </a:rPr>
            <a:t>* as a percentage of all enterprises with 10+ employees in a given country</a:t>
          </a:r>
        </a:p>
        <a:p xmlns:a="http://schemas.openxmlformats.org/drawingml/2006/main">
          <a:pPr algn="l"/>
          <a:r>
            <a:rPr lang="cs-CZ" sz="800" i="1">
              <a:latin typeface="Arial" panose="020B0604020202020204" pitchFamily="34" charset="0"/>
              <a:cs typeface="Arial" panose="020B0604020202020204" pitchFamily="34" charset="0"/>
            </a:rPr>
            <a:t>Note: Enterprises using social media = enterprises that have a user profile on online social networks </a:t>
          </a:r>
        </a:p>
      </cdr:txBody>
    </cdr:sp>
  </cdr:relSizeAnchor>
</c:userShapes>
</file>

<file path=word/drawings/drawing96.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D21 Enterprises in the Czech Republic using paid cloud computing services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cdr:y>
    </cdr:from>
    <cdr:to>
      <cdr:x>0.95845</cdr:x>
      <cdr:y>0.14027</cdr:y>
    </cdr:to>
    <cdr:sp macro="" textlink="">
      <cdr:nvSpPr>
        <cdr:cNvPr id="5" name="TextovéPole 1"/>
        <cdr:cNvSpPr txBox="1"/>
      </cdr:nvSpPr>
      <cdr:spPr>
        <a:xfrm xmlns:a="http://schemas.openxmlformats.org/drawingml/2006/main">
          <a:off x="0" y="0"/>
          <a:ext cx="3295650" cy="29527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0.01333</cdr:x>
      <cdr:y>0.84864</cdr:y>
    </cdr:from>
    <cdr:to>
      <cdr:x>0.98667</cdr:x>
      <cdr:y>0.9762</cdr:y>
    </cdr:to>
    <cdr:sp macro="" textlink="">
      <cdr:nvSpPr>
        <cdr:cNvPr id="7" name="TextovéPole 1"/>
        <cdr:cNvSpPr txBox="1"/>
      </cdr:nvSpPr>
      <cdr:spPr>
        <a:xfrm xmlns:a="http://schemas.openxmlformats.org/drawingml/2006/main">
          <a:off x="38100" y="15843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ICT use survey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7.xml><?xml version="1.0" encoding="utf-8"?>
<c:userShapes xmlns:c="http://schemas.openxmlformats.org/drawingml/2006/chart">
  <cdr:relSizeAnchor xmlns:cdr="http://schemas.openxmlformats.org/drawingml/2006/chartDrawing">
    <cdr:from>
      <cdr:x>0.02667</cdr:x>
      <cdr:y>0.8859</cdr:y>
    </cdr:from>
    <cdr:to>
      <cdr:x>1</cdr:x>
      <cdr:y>0.98205</cdr:y>
    </cdr:to>
    <cdr:sp macro="" textlink="">
      <cdr:nvSpPr>
        <cdr:cNvPr id="4" name="TextovéPole 1"/>
        <cdr:cNvSpPr txBox="1"/>
      </cdr:nvSpPr>
      <cdr:spPr>
        <a:xfrm xmlns:a="http://schemas.openxmlformats.org/drawingml/2006/main">
          <a:off x="76200" y="2193925"/>
          <a:ext cx="2781300" cy="23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ICT use survey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in enterprises</a:t>
          </a:r>
          <a:endParaRPr lang="cs-CZ" sz="800">
            <a:effectLst/>
            <a:latin typeface="Arial" panose="020B0604020202020204" pitchFamily="34" charset="0"/>
            <a:cs typeface="Arial" panose="020B0604020202020204" pitchFamily="34" charset="0"/>
          </a:endParaRPr>
        </a:p>
      </cdr:txBody>
    </cdr:sp>
  </cdr:relSizeAnchor>
</c:userShapes>
</file>

<file path=word/drawings/drawing98.xml><?xml version="1.0" encoding="utf-8"?>
<c:userShapes xmlns:c="http://schemas.openxmlformats.org/drawingml/2006/chart">
  <cdr:relSizeAnchor xmlns:cdr="http://schemas.openxmlformats.org/drawingml/2006/chartDrawing">
    <cdr:from>
      <cdr:x>0.23732</cdr:x>
      <cdr:y>0.91509</cdr:y>
    </cdr:from>
    <cdr:to>
      <cdr:x>0.96898</cdr:x>
      <cdr:y>0.98227</cdr:y>
    </cdr:to>
    <cdr:sp macro="" textlink="">
      <cdr:nvSpPr>
        <cdr:cNvPr id="2" name="TextovéPole 1"/>
        <cdr:cNvSpPr txBox="1"/>
      </cdr:nvSpPr>
      <cdr:spPr>
        <a:xfrm xmlns:a="http://schemas.openxmlformats.org/drawingml/2006/main">
          <a:off x="1409700" y="2635461"/>
          <a:ext cx="4346025" cy="1934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cs-CZ" sz="800" i="1">
              <a:latin typeface="Arial" panose="020B0604020202020204" pitchFamily="34" charset="0"/>
              <a:cs typeface="Arial" panose="020B0604020202020204" pitchFamily="34" charset="0"/>
            </a:rPr>
            <a:t>Source: Eurostat 2018</a:t>
          </a:r>
        </a:p>
      </cdr:txBody>
    </cdr:sp>
  </cdr:relSizeAnchor>
  <cdr:relSizeAnchor xmlns:cdr="http://schemas.openxmlformats.org/drawingml/2006/chartDrawing">
    <cdr:from>
      <cdr:x>0.01885</cdr:x>
      <cdr:y>0.91653</cdr:y>
    </cdr:from>
    <cdr:to>
      <cdr:x>0.66332</cdr:x>
      <cdr:y>1</cdr:y>
    </cdr:to>
    <cdr:sp macro="" textlink="">
      <cdr:nvSpPr>
        <cdr:cNvPr id="4" name="TextovéPole 1"/>
        <cdr:cNvSpPr txBox="1"/>
      </cdr:nvSpPr>
      <cdr:spPr>
        <a:xfrm xmlns:a="http://schemas.openxmlformats.org/drawingml/2006/main">
          <a:off x="114030" y="3200400"/>
          <a:ext cx="3897527" cy="2914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a:effectLst/>
              <a:latin typeface="Arial" panose="020B0604020202020204" pitchFamily="34" charset="0"/>
              <a:ea typeface="+mn-ea"/>
              <a:cs typeface="Arial" panose="020B0604020202020204" pitchFamily="34" charset="0"/>
            </a:rPr>
            <a:t>* as a percentage of all enterprises  in a given size class and country  </a:t>
          </a:r>
          <a:endParaRPr lang="cs-CZ" sz="800">
            <a:effectLst/>
            <a:latin typeface="Arial" panose="020B0604020202020204" pitchFamily="34" charset="0"/>
            <a:cs typeface="Arial" panose="020B0604020202020204" pitchFamily="34" charset="0"/>
          </a:endParaRPr>
        </a:p>
        <a:p xmlns:a="http://schemas.openxmlformats.org/drawingml/2006/main">
          <a:pPr algn="l"/>
          <a:r>
            <a:rPr lang="cs-CZ" sz="800">
              <a:latin typeface="Arial" panose="020B0604020202020204" pitchFamily="34" charset="0"/>
              <a:cs typeface="Arial" panose="020B0604020202020204" pitchFamily="34" charset="0"/>
            </a:rPr>
            <a:t>** data for year 2016</a:t>
          </a:r>
        </a:p>
      </cdr:txBody>
    </cdr:sp>
  </cdr:relSizeAnchor>
</c:userShapes>
</file>

<file path=word/drawings/drawing99.xml><?xml version="1.0" encoding="utf-8"?>
<c:userShapes xmlns:c="http://schemas.openxmlformats.org/drawingml/2006/chart">
  <cdr:relSizeAnchor xmlns:cdr="http://schemas.openxmlformats.org/drawingml/2006/chartDrawing">
    <cdr:from>
      <cdr:x>0.01667</cdr:x>
      <cdr:y>0.02041</cdr:y>
    </cdr:from>
    <cdr:to>
      <cdr:x>0.97512</cdr:x>
      <cdr:y>0.16068</cdr:y>
    </cdr:to>
    <cdr:sp macro="" textlink="">
      <cdr:nvSpPr>
        <cdr:cNvPr id="3" name="TextovéPole 1"/>
        <cdr:cNvSpPr txBox="1"/>
      </cdr:nvSpPr>
      <cdr:spPr>
        <a:xfrm xmlns:a="http://schemas.openxmlformats.org/drawingml/2006/main">
          <a:off x="47625" y="3810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800" b="1">
              <a:latin typeface="Arial" pitchFamily="34" charset="0"/>
              <a:cs typeface="Arial" pitchFamily="34" charset="0"/>
            </a:rPr>
            <a:t>Figure D24 Enterprises in the Czech Republic using </a:t>
          </a:r>
        </a:p>
        <a:p xmlns:a="http://schemas.openxmlformats.org/drawingml/2006/main">
          <a:pPr algn="ctr"/>
          <a:r>
            <a:rPr lang="cs-CZ" sz="800" b="1">
              <a:latin typeface="Arial" pitchFamily="34" charset="0"/>
              <a:cs typeface="Arial" pitchFamily="34" charset="0"/>
            </a:rPr>
            <a:t>an ERP software application </a:t>
          </a:r>
          <a:r>
            <a:rPr lang="cs-CZ" sz="800" b="1" baseline="0">
              <a:latin typeface="Arial" pitchFamily="34" charset="0"/>
              <a:cs typeface="Arial" pitchFamily="34" charset="0"/>
            </a:rPr>
            <a:t>(%)*</a:t>
          </a:r>
          <a:endParaRPr lang="cs-CZ" sz="800" b="1">
            <a:latin typeface="Arial" pitchFamily="34" charset="0"/>
            <a:cs typeface="Arial" pitchFamily="34" charset="0"/>
          </a:endParaRPr>
        </a:p>
      </cdr:txBody>
    </cdr:sp>
  </cdr:relSizeAnchor>
  <cdr:relSizeAnchor xmlns:cdr="http://schemas.openxmlformats.org/drawingml/2006/chartDrawing">
    <cdr:from>
      <cdr:x>0</cdr:x>
      <cdr:y>0.0102</cdr:y>
    </cdr:from>
    <cdr:to>
      <cdr:x>0.95845</cdr:x>
      <cdr:y>0.15047</cdr:y>
    </cdr:to>
    <cdr:sp macro="" textlink="">
      <cdr:nvSpPr>
        <cdr:cNvPr id="5" name="TextovéPole 1"/>
        <cdr:cNvSpPr txBox="1"/>
      </cdr:nvSpPr>
      <cdr:spPr>
        <a:xfrm xmlns:a="http://schemas.openxmlformats.org/drawingml/2006/main">
          <a:off x="0" y="19050"/>
          <a:ext cx="2738771" cy="2618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endParaRPr lang="cs-CZ" sz="800" b="1">
            <a:latin typeface="Arial" pitchFamily="34" charset="0"/>
            <a:cs typeface="Arial" pitchFamily="34" charset="0"/>
          </a:endParaRPr>
        </a:p>
      </cdr:txBody>
    </cdr:sp>
  </cdr:relSizeAnchor>
  <cdr:relSizeAnchor xmlns:cdr="http://schemas.openxmlformats.org/drawingml/2006/chartDrawing">
    <cdr:from>
      <cdr:x>0.02667</cdr:x>
      <cdr:y>0.82653</cdr:y>
    </cdr:from>
    <cdr:to>
      <cdr:x>1</cdr:x>
      <cdr:y>1</cdr:y>
    </cdr:to>
    <cdr:sp macro="" textlink="">
      <cdr:nvSpPr>
        <cdr:cNvPr id="7" name="TextovéPole 1"/>
        <cdr:cNvSpPr txBox="1"/>
      </cdr:nvSpPr>
      <cdr:spPr>
        <a:xfrm xmlns:a="http://schemas.openxmlformats.org/drawingml/2006/main">
          <a:off x="76200" y="1543050"/>
          <a:ext cx="2781300" cy="323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Source: Czech Statistical Office 2018, </a:t>
          </a:r>
        </a:p>
        <a:p xmlns:a="http://schemas.openxmlformats.org/drawingml/2006/main">
          <a:pPr algn="r" eaLnBrk="1" fontAlgn="auto" latinLnBrk="0" hangingPunct="1"/>
          <a:r>
            <a:rPr lang="cs-CZ" sz="800" i="1">
              <a:effectLst/>
              <a:latin typeface="Arial" panose="020B0604020202020204" pitchFamily="34" charset="0"/>
              <a:ea typeface="+mn-ea"/>
              <a:cs typeface="Arial" panose="020B0604020202020204" pitchFamily="34" charset="0"/>
            </a:rPr>
            <a:t>ICT use survey in enterprises</a:t>
          </a:r>
          <a:endParaRPr lang="cs-CZ" sz="800">
            <a:effectLst/>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5606F-3F55-4324-8656-7B7DF517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EN_2017-08-14-3.dotx</Template>
  <TotalTime>1</TotalTime>
  <Pages>102</Pages>
  <Words>33031</Words>
  <Characters>194885</Characters>
  <Application>Microsoft Office Word</Application>
  <DocSecurity>0</DocSecurity>
  <Lines>1624</Lines>
  <Paragraphs>454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227462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Kotrbatá</dc:creator>
  <cp:keywords/>
  <cp:lastModifiedBy>Alena Kotrbatá</cp:lastModifiedBy>
  <cp:revision>2</cp:revision>
  <cp:lastPrinted>2019-01-03T11:43:00Z</cp:lastPrinted>
  <dcterms:created xsi:type="dcterms:W3CDTF">2019-01-09T13:26:00Z</dcterms:created>
  <dcterms:modified xsi:type="dcterms:W3CDTF">2019-01-09T13:26:00Z</dcterms:modified>
</cp:coreProperties>
</file>