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260B13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60B13">
        <w:t>Obsah</w:t>
      </w:r>
    </w:p>
    <w:p w14:paraId="60D4730E" w14:textId="77777777" w:rsidR="00BD6E6F" w:rsidRPr="00260B13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60B13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Ekonomický sta</w:t>
      </w:r>
      <w:r w:rsidR="00A435B9" w:rsidRPr="00260B13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Nezaměstnanos</w:t>
      </w:r>
      <w:r w:rsidR="00A435B9" w:rsidRPr="00260B13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Relativní ukazate</w:t>
      </w:r>
      <w:r w:rsidR="00A435B9" w:rsidRPr="00260B13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Další speciální ukaza</w:t>
      </w:r>
      <w:r w:rsidR="00A435B9" w:rsidRPr="00260B13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260B13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Srovnatelnost s výsledky publikovanými Eurostatem</w:t>
      </w:r>
    </w:p>
    <w:p w14:paraId="60D47317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Odhady intervalů spoleh</w:t>
      </w:r>
      <w:r w:rsidR="00A435B9" w:rsidRPr="00260B13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Způsob použití přílohovýc</w:t>
      </w:r>
      <w:r w:rsidR="00A435B9" w:rsidRPr="00260B13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Použité zdroje a číse</w:t>
      </w:r>
      <w:r w:rsidR="00A435B9" w:rsidRPr="00260B13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Charakteristika</w:t>
      </w:r>
      <w:r w:rsidR="00BF0615" w:rsidRPr="00260B13">
        <w:rPr>
          <w:rFonts w:ascii="Arial" w:hAnsi="Arial" w:cs="Arial"/>
          <w:sz w:val="20"/>
          <w:szCs w:val="26"/>
        </w:rPr>
        <w:t xml:space="preserve"> klasifikací a</w:t>
      </w:r>
      <w:r w:rsidRPr="00260B13">
        <w:rPr>
          <w:rFonts w:ascii="Arial" w:hAnsi="Arial" w:cs="Arial"/>
          <w:sz w:val="20"/>
          <w:szCs w:val="26"/>
        </w:rPr>
        <w:t xml:space="preserve"> číseln</w:t>
      </w:r>
      <w:r w:rsidR="00A435B9" w:rsidRPr="00260B13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Ostatní poznámk</w:t>
      </w:r>
      <w:r w:rsidR="00A435B9" w:rsidRPr="00260B13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Dostupnost publi</w:t>
      </w:r>
      <w:r w:rsidR="00A435B9" w:rsidRPr="00260B13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260B13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1</w:t>
      </w:r>
      <w:r w:rsidRPr="00260B13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60B13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101 / 3</w:t>
      </w:r>
      <w:r w:rsidRPr="00260B13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60B13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102 / 3</w:t>
      </w:r>
      <w:r w:rsidRPr="00260B13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60B13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="00A435B9" w:rsidRPr="00260B13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260B13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104 / 1</w:t>
      </w:r>
      <w:r w:rsidRPr="00260B13">
        <w:rPr>
          <w:rFonts w:ascii="Arial" w:hAnsi="Arial" w:cs="Arial"/>
          <w:sz w:val="20"/>
          <w:szCs w:val="26"/>
        </w:rPr>
        <w:tab/>
        <w:t>Úroveň formálníh</w:t>
      </w:r>
      <w:r w:rsidR="008023CC" w:rsidRPr="00260B13">
        <w:rPr>
          <w:rFonts w:ascii="Arial" w:hAnsi="Arial" w:cs="Arial"/>
          <w:sz w:val="20"/>
          <w:szCs w:val="26"/>
        </w:rPr>
        <w:t>o vzdělání a účast v neform</w:t>
      </w:r>
      <w:r w:rsidRPr="00260B13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 xml:space="preserve">dle ekonomického </w:t>
      </w:r>
      <w:r w:rsidR="00A435B9" w:rsidRPr="00260B13">
        <w:rPr>
          <w:rFonts w:ascii="Arial" w:hAnsi="Arial" w:cs="Arial"/>
          <w:sz w:val="20"/>
          <w:szCs w:val="26"/>
        </w:rPr>
        <w:t>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106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02221" w:rsidRPr="00260B13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260B13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2</w:t>
      </w:r>
      <w:r w:rsidRPr="00260B13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260B13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201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 xml:space="preserve">dle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203</w:t>
      </w:r>
      <w:r w:rsidR="00CD75D6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krajů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3. čá</w:t>
      </w:r>
      <w:r w:rsidR="00E555B1" w:rsidRPr="00260B13">
        <w:rPr>
          <w:rFonts w:ascii="Arial" w:hAnsi="Arial" w:cs="Arial"/>
          <w:sz w:val="20"/>
          <w:szCs w:val="26"/>
        </w:rPr>
        <w:t>st</w:t>
      </w:r>
      <w:r w:rsidR="00CD75D6" w:rsidRPr="00260B13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260B13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</w:t>
      </w:r>
      <w:r w:rsidR="005A215A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  <w:r w:rsidR="005A215A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5A215A" w:rsidRPr="00260B13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206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260B13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207 / 1</w:t>
      </w:r>
      <w:r w:rsidRPr="00260B13">
        <w:rPr>
          <w:rFonts w:ascii="Arial" w:hAnsi="Arial" w:cs="Arial"/>
          <w:sz w:val="20"/>
          <w:szCs w:val="26"/>
        </w:rPr>
        <w:tab/>
      </w:r>
      <w:r w:rsidR="0058024D" w:rsidRPr="00260B13">
        <w:rPr>
          <w:rFonts w:ascii="Arial" w:hAnsi="Arial" w:cs="Arial"/>
          <w:sz w:val="20"/>
          <w:szCs w:val="26"/>
        </w:rPr>
        <w:t>Zaměstnanost v NH podle postavení v zaměs</w:t>
      </w:r>
      <w:r w:rsidRPr="00260B13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60B13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208 / 1</w:t>
      </w:r>
      <w:r w:rsidRPr="00260B13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209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lastRenderedPageBreak/>
        <w:t>210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260B13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iCs/>
          <w:sz w:val="20"/>
        </w:rPr>
        <w:t>211 / 1</w:t>
      </w:r>
      <w:r w:rsidRPr="00260B13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260B13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 NH na dobu určitou podle věku</w:t>
      </w:r>
      <w:r w:rsidR="00C52B55" w:rsidRPr="00260B13">
        <w:rPr>
          <w:rFonts w:ascii="Arial" w:hAnsi="Arial" w:cs="Arial"/>
          <w:iCs/>
          <w:sz w:val="20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C52B55" w:rsidRPr="00260B13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260B13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301 / 3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302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260B13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303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60B13">
        <w:rPr>
          <w:rFonts w:ascii="Arial" w:hAnsi="Arial" w:cs="Arial"/>
          <w:sz w:val="20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B71B41" w:rsidRPr="00260B13">
        <w:rPr>
          <w:rFonts w:ascii="Arial" w:hAnsi="Arial" w:cs="Arial"/>
          <w:sz w:val="20"/>
        </w:rPr>
        <w:t xml:space="preserve"> </w:t>
      </w:r>
      <w:r w:rsidR="00494B90" w:rsidRPr="00260B13">
        <w:rPr>
          <w:rFonts w:ascii="Arial" w:hAnsi="Arial" w:cs="Arial"/>
          <w:sz w:val="20"/>
        </w:rPr>
        <w:t>ČR</w:t>
      </w:r>
      <w:r w:rsidR="00494B90" w:rsidRPr="00260B13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260B13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304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sz w:val="20"/>
          <w:szCs w:val="26"/>
        </w:rPr>
        <w:tab/>
      </w:r>
      <w:r w:rsidR="0064103B" w:rsidRPr="00260B13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260B13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305 / 1</w:t>
      </w:r>
      <w:r w:rsidRPr="00260B13">
        <w:rPr>
          <w:rFonts w:ascii="Arial" w:hAnsi="Arial" w:cs="Arial"/>
          <w:sz w:val="20"/>
          <w:szCs w:val="26"/>
        </w:rPr>
        <w:tab/>
      </w:r>
      <w:r w:rsidR="008E5F18" w:rsidRPr="00260B13">
        <w:rPr>
          <w:rFonts w:ascii="Arial" w:hAnsi="Arial" w:cs="Arial"/>
          <w:sz w:val="20"/>
          <w:szCs w:val="26"/>
        </w:rPr>
        <w:tab/>
      </w:r>
      <w:r w:rsidR="006337FE" w:rsidRPr="00260B13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260B13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260B13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306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3</w:t>
      </w:r>
      <w:r w:rsidRPr="00260B13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401 / 3</w:t>
      </w:r>
      <w:r w:rsidRPr="00260B13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60B13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402 / 1</w:t>
      </w:r>
      <w:r w:rsidRPr="00260B13">
        <w:rPr>
          <w:rFonts w:ascii="Arial" w:hAnsi="Arial" w:cs="Arial"/>
          <w:sz w:val="20"/>
          <w:szCs w:val="26"/>
        </w:rPr>
        <w:tab/>
      </w:r>
      <w:r w:rsidR="0090794F" w:rsidRPr="00260B13">
        <w:rPr>
          <w:rFonts w:ascii="Arial" w:hAnsi="Arial" w:cs="Arial"/>
          <w:sz w:val="20"/>
          <w:szCs w:val="26"/>
        </w:rPr>
        <w:t>Nezaměstnanost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60B13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260B13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403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60B13">
        <w:rPr>
          <w:rFonts w:ascii="Arial" w:hAnsi="Arial" w:cs="Arial"/>
          <w:sz w:val="20"/>
          <w:szCs w:val="26"/>
        </w:rPr>
        <w:t>podle úrovně</w:t>
      </w:r>
      <w:r w:rsidR="00BD6E6F" w:rsidRPr="00260B13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260B13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4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</w:r>
      <w:r w:rsidR="004C39CD" w:rsidRPr="00260B13">
        <w:rPr>
          <w:rFonts w:ascii="Arial" w:hAnsi="Arial" w:cs="Arial"/>
          <w:sz w:val="20"/>
          <w:szCs w:val="26"/>
        </w:rPr>
        <w:t>Důvod ukončení posledního zaměstnání a</w:t>
      </w:r>
      <w:r w:rsidRPr="00260B13">
        <w:rPr>
          <w:rFonts w:ascii="Arial" w:hAnsi="Arial" w:cs="Arial"/>
          <w:sz w:val="20"/>
          <w:szCs w:val="26"/>
        </w:rPr>
        <w:t xml:space="preserve"> </w:t>
      </w:r>
      <w:r w:rsidR="004C39CD" w:rsidRPr="00260B13">
        <w:rPr>
          <w:rFonts w:ascii="Arial" w:hAnsi="Arial" w:cs="Arial"/>
          <w:sz w:val="20"/>
          <w:szCs w:val="26"/>
        </w:rPr>
        <w:t xml:space="preserve">metody </w:t>
      </w:r>
      <w:r w:rsidRPr="00260B13">
        <w:rPr>
          <w:rFonts w:ascii="Arial" w:hAnsi="Arial" w:cs="Arial"/>
          <w:sz w:val="20"/>
          <w:szCs w:val="26"/>
        </w:rPr>
        <w:t>hledání zaměstnání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5</w:t>
      </w:r>
      <w:r w:rsidRPr="00260B13">
        <w:rPr>
          <w:rFonts w:ascii="Arial" w:hAnsi="Arial" w:cs="Arial"/>
          <w:sz w:val="20"/>
          <w:szCs w:val="26"/>
        </w:rPr>
        <w:t xml:space="preserve"> / 2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60B13">
        <w:rPr>
          <w:rFonts w:ascii="Arial" w:hAnsi="Arial" w:cs="Arial"/>
          <w:sz w:val="20"/>
          <w:szCs w:val="26"/>
        </w:rPr>
        <w:t xml:space="preserve">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6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7</w:t>
      </w:r>
      <w:r w:rsidRPr="00260B13">
        <w:rPr>
          <w:rFonts w:ascii="Arial" w:hAnsi="Arial" w:cs="Arial"/>
          <w:sz w:val="20"/>
          <w:szCs w:val="26"/>
        </w:rPr>
        <w:t xml:space="preserve"> / 3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podle krajů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503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506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260B13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Ia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Ib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IIa</w:t>
      </w:r>
      <w:r w:rsidRPr="00260B13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IIb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3AF6E16F" w:rsidR="001439D6" w:rsidRPr="00260B13" w:rsidRDefault="00BD6E6F" w:rsidP="00017CA4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sz w:val="20"/>
          <w:szCs w:val="26"/>
        </w:rPr>
        <w:t>III</w:t>
      </w:r>
      <w:r w:rsidRPr="00260B13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60B13">
        <w:rPr>
          <w:rFonts w:ascii="Arial" w:hAnsi="Arial" w:cs="Arial"/>
          <w:sz w:val="20"/>
          <w:szCs w:val="26"/>
        </w:rPr>
        <w:t>regionech soudržnosti</w:t>
      </w:r>
      <w:r w:rsidRPr="00260B13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260B13" w:rsidSect="00017CA4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8424C" w14:textId="77777777" w:rsidR="00A3573E" w:rsidRDefault="00A3573E">
      <w:r>
        <w:separator/>
      </w:r>
    </w:p>
  </w:endnote>
  <w:endnote w:type="continuationSeparator" w:id="0">
    <w:p w14:paraId="526D85C0" w14:textId="77777777" w:rsidR="00A3573E" w:rsidRDefault="00A3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9A77871" w:rsidR="00365F08" w:rsidRPr="004775F1" w:rsidRDefault="00365F08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4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1873310" w:rsidR="00365F08" w:rsidRDefault="00365F08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D284C" w14:textId="77777777" w:rsidR="00A3573E" w:rsidRDefault="00A3573E">
      <w:r>
        <w:separator/>
      </w:r>
    </w:p>
  </w:footnote>
  <w:footnote w:type="continuationSeparator" w:id="0">
    <w:p w14:paraId="3BC77C40" w14:textId="77777777" w:rsidR="00A3573E" w:rsidRDefault="00A3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17CA4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0BBA"/>
    <w:rsid w:val="005C28D5"/>
    <w:rsid w:val="005C2A4A"/>
    <w:rsid w:val="005C2D0C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67E1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63"/>
    <w:rsid w:val="007A06DD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73E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1C0D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3D03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46E2-B38F-4D5D-8519-089A8E32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2025-03-24T08:07:00Z</cp:lastPrinted>
  <dcterms:created xsi:type="dcterms:W3CDTF">2025-03-24T08:10:00Z</dcterms:created>
  <dcterms:modified xsi:type="dcterms:W3CDTF">2025-03-24T08:10:00Z</dcterms:modified>
</cp:coreProperties>
</file>