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A35" w:rsidRDefault="00DE56AE" w:rsidP="00DE56AE">
      <w:pPr>
        <w:pStyle w:val="Nadpis1"/>
        <w:jc w:val="both"/>
      </w:pPr>
      <w:bookmarkStart w:id="0" w:name="_Toc426017665"/>
      <w:r>
        <w:t xml:space="preserve">5. </w:t>
      </w:r>
      <w:r w:rsidR="00981EC7">
        <w:t>Makroekonomická stabilita a ostatní n</w:t>
      </w:r>
      <w:r w:rsidR="005D5A35">
        <w:t>erovnováhy</w:t>
      </w:r>
      <w:bookmarkEnd w:id="0"/>
      <w:r w:rsidR="005D5A35">
        <w:t xml:space="preserve"> </w:t>
      </w:r>
    </w:p>
    <w:p w:rsidR="005D5A35" w:rsidRDefault="005D5A35" w:rsidP="00B93A86">
      <w:pPr>
        <w:spacing w:line="240" w:lineRule="auto"/>
        <w:jc w:val="both"/>
      </w:pPr>
      <w:r>
        <w:t xml:space="preserve">Česká ekonomika se vyznačuje dlouhodobě relativní stabilitou. Výrazné vychýlení z rovnovážných stavů nebylo patrné ani v letech krize v roce 2009 či recese v letech </w:t>
      </w:r>
      <w:smartTag w:uri="urn:schemas-microsoft-com:office:smarttags" w:element="metricconverter">
        <w:smartTagPr>
          <w:attr w:name="ProductID" w:val="2012 a"/>
        </w:smartTagPr>
        <w:r>
          <w:t>2012 a</w:t>
        </w:r>
      </w:smartTag>
      <w:r>
        <w:t xml:space="preserve"> 2013. Makroekonomická stabilita a</w:t>
      </w:r>
      <w:r w:rsidR="00915DFE">
        <w:t> </w:t>
      </w:r>
      <w:r>
        <w:t xml:space="preserve">relativně nízké nerovnováhy i v některých dalších důležitých indikátorech jsou </w:t>
      </w:r>
      <w:r w:rsidR="008C41F7">
        <w:t>cennou devizou české ekonomiky.</w:t>
      </w:r>
    </w:p>
    <w:p w:rsidR="008C41F7" w:rsidRPr="00915DFE" w:rsidRDefault="008C41F7" w:rsidP="00B93A86">
      <w:pPr>
        <w:spacing w:line="240" w:lineRule="auto"/>
        <w:jc w:val="both"/>
        <w:rPr>
          <w:szCs w:val="20"/>
        </w:rPr>
      </w:pPr>
    </w:p>
    <w:p w:rsidR="005D5A35" w:rsidRPr="006E15CB" w:rsidRDefault="005D5A35" w:rsidP="008B0C8B">
      <w:pPr>
        <w:pStyle w:val="Nadpis2"/>
        <w:numPr>
          <w:ilvl w:val="1"/>
          <w:numId w:val="6"/>
        </w:numPr>
      </w:pPr>
      <w:bookmarkStart w:id="1" w:name="_Toc426017666"/>
      <w:r w:rsidRPr="006E15CB">
        <w:t>Vnitřní nerovnováha</w:t>
      </w:r>
      <w:bookmarkEnd w:id="1"/>
    </w:p>
    <w:p w:rsidR="005D5A35" w:rsidRDefault="005D5A35" w:rsidP="008C41F7">
      <w:pPr>
        <w:spacing w:line="240" w:lineRule="auto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Vnitřní nerovnováhy hodnocené nejčastěji výsledkem hospodaření sektoru vládních institucí, resp. vývojem jejich hrubého konsolidovaného dluhu ukazují v případě České republiky, že podle výše ročních deficitů či zadluženosti patří k zemím Evropské unie, </w:t>
      </w:r>
      <w:r w:rsidR="00D57C38">
        <w:rPr>
          <w:color w:val="000000"/>
          <w:szCs w:val="20"/>
        </w:rPr>
        <w:t xml:space="preserve">kde </w:t>
      </w:r>
      <w:r>
        <w:rPr>
          <w:color w:val="000000"/>
          <w:szCs w:val="20"/>
        </w:rPr>
        <w:t>jsou problémy sektoru vládních inst</w:t>
      </w:r>
      <w:r w:rsidR="008C41F7">
        <w:rPr>
          <w:color w:val="000000"/>
          <w:szCs w:val="20"/>
        </w:rPr>
        <w:t>itucí spíše menší. Je to patrné</w:t>
      </w:r>
      <w:r>
        <w:rPr>
          <w:color w:val="000000"/>
          <w:szCs w:val="20"/>
        </w:rPr>
        <w:t xml:space="preserve"> jak </w:t>
      </w:r>
      <w:r w:rsidR="00214ED2">
        <w:rPr>
          <w:color w:val="000000"/>
          <w:szCs w:val="20"/>
        </w:rPr>
        <w:t xml:space="preserve">z </w:t>
      </w:r>
      <w:r>
        <w:rPr>
          <w:color w:val="000000"/>
          <w:szCs w:val="20"/>
        </w:rPr>
        <w:t xml:space="preserve">dlouhodobého pohledu (s výjimkou přelomu první a druhé poloviny 90. let), dále v krizovém roce </w:t>
      </w:r>
      <w:smartTag w:uri="urn:schemas-microsoft-com:office:smarttags" w:element="metricconverter">
        <w:smartTagPr>
          <w:attr w:name="ProductID" w:val="2009 a"/>
        </w:smartTagPr>
        <w:r>
          <w:rPr>
            <w:color w:val="000000"/>
            <w:szCs w:val="20"/>
          </w:rPr>
          <w:t>2009 a</w:t>
        </w:r>
      </w:smartTag>
      <w:r>
        <w:rPr>
          <w:color w:val="000000"/>
          <w:szCs w:val="20"/>
        </w:rPr>
        <w:t xml:space="preserve"> </w:t>
      </w:r>
      <w:proofErr w:type="gramStart"/>
      <w:r>
        <w:rPr>
          <w:color w:val="000000"/>
          <w:szCs w:val="20"/>
        </w:rPr>
        <w:t>letech</w:t>
      </w:r>
      <w:proofErr w:type="gramEnd"/>
      <w:r>
        <w:rPr>
          <w:color w:val="000000"/>
          <w:szCs w:val="20"/>
        </w:rPr>
        <w:t xml:space="preserve"> následujících, kdy deficit vládních institucí v ČR byl vesměs menší než průměr za země EU 28 či </w:t>
      </w:r>
      <w:proofErr w:type="spellStart"/>
      <w:r>
        <w:rPr>
          <w:color w:val="000000"/>
          <w:szCs w:val="20"/>
        </w:rPr>
        <w:t>eurozóny</w:t>
      </w:r>
      <w:proofErr w:type="spellEnd"/>
      <w:r>
        <w:rPr>
          <w:color w:val="000000"/>
          <w:szCs w:val="20"/>
        </w:rPr>
        <w:t>. S poměrem hrubého konsolidovaného dluhu vládních institucí k nominálnímu HDP je ČR zemí usazenou spolehlivě ve třetině zemí EU s nejnižší takto mě</w:t>
      </w:r>
      <w:r w:rsidR="008C41F7">
        <w:rPr>
          <w:color w:val="000000"/>
          <w:szCs w:val="20"/>
        </w:rPr>
        <w:t>řenou relativní zadlužeností.</w:t>
      </w:r>
    </w:p>
    <w:p w:rsidR="008C41F7" w:rsidRPr="00915DFE" w:rsidRDefault="008C41F7" w:rsidP="008C41F7">
      <w:pPr>
        <w:spacing w:line="240" w:lineRule="auto"/>
        <w:jc w:val="both"/>
        <w:rPr>
          <w:color w:val="000000"/>
          <w:sz w:val="26"/>
          <w:szCs w:val="26"/>
        </w:rPr>
      </w:pPr>
    </w:p>
    <w:p w:rsidR="005D5A35" w:rsidRPr="006E15CB" w:rsidRDefault="005D5A35" w:rsidP="008B0C8B">
      <w:pPr>
        <w:pStyle w:val="Nadpis3"/>
        <w:numPr>
          <w:ilvl w:val="2"/>
          <w:numId w:val="6"/>
        </w:numPr>
      </w:pPr>
      <w:bookmarkStart w:id="2" w:name="_Toc426017667"/>
      <w:r w:rsidRPr="006E15CB">
        <w:t>Deficity a hrubý konsolidovaný dluh sektoru vládních institucí</w:t>
      </w:r>
      <w:bookmarkEnd w:id="2"/>
    </w:p>
    <w:p w:rsidR="005D5A35" w:rsidRDefault="005D5A35" w:rsidP="0098358E">
      <w:pPr>
        <w:spacing w:line="240" w:lineRule="auto"/>
        <w:jc w:val="both"/>
        <w:rPr>
          <w:color w:val="000000"/>
          <w:szCs w:val="20"/>
        </w:rPr>
      </w:pPr>
      <w:r>
        <w:rPr>
          <w:color w:val="000000"/>
          <w:szCs w:val="20"/>
        </w:rPr>
        <w:t>Pro potřebné hodnocení vnitřní nerovnováhy rozeberme sektor vládních institucí ČR z pohledu jeho struktury, výdajových položek ústředních vládních institucí, náhrad zaměstnancům ústředních a místních vládních institucí oproti ostatním institucionálním sektorům, mezinárodní srovnání a především pozici ČR v</w:t>
      </w:r>
      <w:r w:rsidR="00915DFE">
        <w:rPr>
          <w:color w:val="000000"/>
          <w:szCs w:val="20"/>
        </w:rPr>
        <w:t> </w:t>
      </w:r>
      <w:r>
        <w:rPr>
          <w:color w:val="000000"/>
          <w:szCs w:val="20"/>
        </w:rPr>
        <w:t xml:space="preserve">žebříčku ostatních zemí EU. </w:t>
      </w:r>
    </w:p>
    <w:p w:rsidR="005D5A35" w:rsidRPr="00BB19EC" w:rsidRDefault="005D5A35" w:rsidP="008C41F7">
      <w:pPr>
        <w:spacing w:after="120" w:line="240" w:lineRule="auto"/>
        <w:rPr>
          <w:color w:val="000000"/>
          <w:sz w:val="16"/>
          <w:szCs w:val="16"/>
        </w:rPr>
      </w:pPr>
    </w:p>
    <w:p w:rsidR="005D5A35" w:rsidRPr="00C0165A" w:rsidRDefault="005D5A35" w:rsidP="008B0C8B">
      <w:pPr>
        <w:pStyle w:val="Nadpis3"/>
        <w:numPr>
          <w:ilvl w:val="3"/>
          <w:numId w:val="6"/>
        </w:numPr>
        <w:rPr>
          <w:color w:val="auto"/>
          <w:sz w:val="20"/>
          <w:szCs w:val="20"/>
        </w:rPr>
      </w:pPr>
      <w:bookmarkStart w:id="3" w:name="_Toc426017668"/>
      <w:r w:rsidRPr="00C0165A">
        <w:rPr>
          <w:color w:val="auto"/>
          <w:sz w:val="20"/>
          <w:szCs w:val="20"/>
        </w:rPr>
        <w:t>Salda hospodaření sektoru vládních institucí</w:t>
      </w:r>
      <w:bookmarkEnd w:id="3"/>
    </w:p>
    <w:tbl>
      <w:tblPr>
        <w:tblW w:w="5000" w:type="pct"/>
        <w:tblCellMar>
          <w:left w:w="28" w:type="dxa"/>
          <w:right w:w="28" w:type="dxa"/>
        </w:tblCellMar>
        <w:tblLook w:val="00A0"/>
      </w:tblPr>
      <w:tblGrid>
        <w:gridCol w:w="2115"/>
        <w:gridCol w:w="283"/>
        <w:gridCol w:w="7296"/>
      </w:tblGrid>
      <w:tr w:rsidR="005D5A35" w:rsidTr="000F401E">
        <w:tc>
          <w:tcPr>
            <w:tcW w:w="1091" w:type="pct"/>
          </w:tcPr>
          <w:p w:rsidR="005D5A35" w:rsidRPr="009C4DA1" w:rsidRDefault="005D5A35" w:rsidP="008C41F7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Zadluženost a ekonomický růst v Evropě po krizi v roce 2009…</w:t>
            </w:r>
          </w:p>
        </w:tc>
        <w:tc>
          <w:tcPr>
            <w:tcW w:w="146" w:type="pct"/>
          </w:tcPr>
          <w:p w:rsidR="005D5A35" w:rsidRDefault="005D5A35" w:rsidP="008C41F7">
            <w:pPr>
              <w:pStyle w:val="Textpoznpodarou"/>
              <w:jc w:val="both"/>
            </w:pPr>
          </w:p>
        </w:tc>
        <w:tc>
          <w:tcPr>
            <w:tcW w:w="3763" w:type="pct"/>
          </w:tcPr>
          <w:p w:rsidR="005D5A35" w:rsidRPr="000F401E" w:rsidRDefault="005D5A35" w:rsidP="008C41F7">
            <w:pPr>
              <w:pStyle w:val="Textpoznpodarou"/>
              <w:jc w:val="both"/>
              <w:rPr>
                <w:spacing w:val="-4"/>
              </w:rPr>
            </w:pPr>
            <w:r>
              <w:rPr>
                <w:spacing w:val="-4"/>
              </w:rPr>
              <w:t>Výsledky hospodaření sektorů vládních institucí se zejména během hospodářské krize v roce 2009, ale i v letech následných, staly v evropských zemích problémem ještě větším, než vůle po obnově hospo</w:t>
            </w:r>
            <w:r w:rsidR="009C7AE1">
              <w:rPr>
                <w:spacing w:val="-4"/>
              </w:rPr>
              <w:t>dářského růstu po krizi. Z logi</w:t>
            </w:r>
            <w:r>
              <w:rPr>
                <w:spacing w:val="-4"/>
              </w:rPr>
              <w:t xml:space="preserve">ky věci spolu však souvisely jak zadluženost zemí prohlubovaná rostoucím ročními deficity sektorů vládních institucí, tak i nedostatečný ekonomický růst podvazovaný úspornými opatřením ve snaze bránit dalšímu zadlužování.  </w:t>
            </w:r>
          </w:p>
          <w:p w:rsidR="005D5A35" w:rsidRPr="00BB19EC" w:rsidRDefault="005D5A35" w:rsidP="008C41F7">
            <w:pPr>
              <w:pStyle w:val="Textpoznpodarou"/>
              <w:jc w:val="both"/>
              <w:rPr>
                <w:spacing w:val="-4"/>
              </w:rPr>
            </w:pPr>
          </w:p>
        </w:tc>
      </w:tr>
      <w:tr w:rsidR="005D5A35" w:rsidRPr="000F401E" w:rsidTr="009C4DA1">
        <w:tc>
          <w:tcPr>
            <w:tcW w:w="1091" w:type="pct"/>
          </w:tcPr>
          <w:p w:rsidR="005D5A35" w:rsidRPr="009C4DA1" w:rsidRDefault="005D5A35" w:rsidP="008C41F7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…začaly od roku 2011 zaznamenávat významné zlepšování až na deficit ve</w:t>
            </w:r>
            <w:r w:rsidR="00DB01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 xml:space="preserve">výši pouhých 2,9 % nominálního HDP za EU 28 v roce </w:t>
            </w:r>
            <w:smartTag w:uri="urn:schemas-microsoft-com:office:smarttags" w:element="metricconverter">
              <w:smartTagPr>
                <w:attr w:name="ProductID" w:val="2014 a"/>
              </w:smartTagPr>
              <w:r>
                <w:rPr>
                  <w:sz w:val="16"/>
                  <w:szCs w:val="16"/>
                </w:rPr>
                <w:t>2014 a</w:t>
              </w:r>
            </w:smartTag>
            <w:r>
              <w:rPr>
                <w:sz w:val="16"/>
                <w:szCs w:val="16"/>
              </w:rPr>
              <w:t xml:space="preserve"> 2,4 % za</w:t>
            </w:r>
            <w:r w:rsidR="00DB01A2">
              <w:rPr>
                <w:sz w:val="16"/>
                <w:szCs w:val="16"/>
              </w:rPr>
              <w:t> </w:t>
            </w:r>
            <w:proofErr w:type="spellStart"/>
            <w:r>
              <w:rPr>
                <w:sz w:val="16"/>
                <w:szCs w:val="16"/>
              </w:rPr>
              <w:t>eurozónu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9C4DA1">
              <w:rPr>
                <w:sz w:val="16"/>
                <w:szCs w:val="16"/>
              </w:rPr>
              <w:t xml:space="preserve"> </w:t>
            </w:r>
          </w:p>
          <w:p w:rsidR="005D5A35" w:rsidRPr="009C4DA1" w:rsidRDefault="005D5A35" w:rsidP="008C41F7">
            <w:pPr>
              <w:spacing w:line="240" w:lineRule="auto"/>
              <w:rPr>
                <w:sz w:val="16"/>
                <w:szCs w:val="16"/>
              </w:rPr>
            </w:pPr>
          </w:p>
          <w:p w:rsidR="005D5A35" w:rsidRPr="009C4DA1" w:rsidRDefault="005D5A35" w:rsidP="008C41F7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6" w:type="pct"/>
          </w:tcPr>
          <w:p w:rsidR="005D5A35" w:rsidRDefault="005D5A35" w:rsidP="008C41F7">
            <w:pPr>
              <w:pStyle w:val="Textpoznpodarou"/>
              <w:jc w:val="both"/>
            </w:pPr>
          </w:p>
        </w:tc>
        <w:tc>
          <w:tcPr>
            <w:tcW w:w="3763" w:type="pct"/>
          </w:tcPr>
          <w:p w:rsidR="005D5A35" w:rsidRPr="000F401E" w:rsidRDefault="00D712E0" w:rsidP="008C41F7">
            <w:pPr>
              <w:pStyle w:val="Textpoznpodarou"/>
              <w:jc w:val="both"/>
              <w:rPr>
                <w:spacing w:val="-4"/>
              </w:rPr>
            </w:pPr>
            <w:r>
              <w:rPr>
                <w:spacing w:val="-4"/>
              </w:rPr>
              <w:t>Přesto se od roku 2011 –</w:t>
            </w:r>
            <w:r w:rsidR="005D5A35">
              <w:rPr>
                <w:spacing w:val="-4"/>
              </w:rPr>
              <w:t xml:space="preserve"> odkdy je za evropská uskupení k dispozici </w:t>
            </w:r>
            <w:r>
              <w:rPr>
                <w:spacing w:val="-4"/>
              </w:rPr>
              <w:t>časová řada v metodice ESA 2010 –</w:t>
            </w:r>
            <w:r w:rsidR="005D5A35">
              <w:rPr>
                <w:spacing w:val="-4"/>
              </w:rPr>
              <w:t xml:space="preserve"> schodky vládních </w:t>
            </w:r>
            <w:r w:rsidR="00DF5343">
              <w:rPr>
                <w:spacing w:val="-4"/>
              </w:rPr>
              <w:t>institucí</w:t>
            </w:r>
            <w:r w:rsidR="005D5A35">
              <w:rPr>
                <w:spacing w:val="-4"/>
              </w:rPr>
              <w:t xml:space="preserve"> počítaných za celou EU 28, resp. </w:t>
            </w:r>
            <w:r w:rsidR="0039268B">
              <w:rPr>
                <w:spacing w:val="-4"/>
              </w:rPr>
              <w:t>v</w:t>
            </w:r>
            <w:r w:rsidR="00DB01A2">
              <w:rPr>
                <w:spacing w:val="-4"/>
              </w:rPr>
              <w:t> </w:t>
            </w:r>
            <w:r w:rsidR="005D5A35">
              <w:rPr>
                <w:spacing w:val="-4"/>
              </w:rPr>
              <w:t>ú</w:t>
            </w:r>
            <w:r w:rsidR="00616CD8">
              <w:rPr>
                <w:spacing w:val="-4"/>
              </w:rPr>
              <w:t>hrnu za země platících</w:t>
            </w:r>
            <w:r w:rsidR="0039268B">
              <w:rPr>
                <w:spacing w:val="-4"/>
              </w:rPr>
              <w:t xml:space="preserve"> eurem, významně zlepšily</w:t>
            </w:r>
            <w:r w:rsidR="005D5A35">
              <w:rPr>
                <w:spacing w:val="-4"/>
              </w:rPr>
              <w:t>. V </w:t>
            </w:r>
            <w:proofErr w:type="spellStart"/>
            <w:r w:rsidR="005D5A35">
              <w:rPr>
                <w:spacing w:val="-4"/>
              </w:rPr>
              <w:t>eurozóně</w:t>
            </w:r>
            <w:proofErr w:type="spellEnd"/>
            <w:r w:rsidR="005D5A35">
              <w:rPr>
                <w:spacing w:val="-4"/>
              </w:rPr>
              <w:t xml:space="preserve"> se negativní saldo sektorů vládních institucí, tj. čisté výpůjčky, dostaly pod úroveň tří procent nomi</w:t>
            </w:r>
            <w:r w:rsidR="00214ED2">
              <w:rPr>
                <w:spacing w:val="-4"/>
              </w:rPr>
              <w:t>nálního HDP, jak je požadováno M</w:t>
            </w:r>
            <w:r w:rsidR="005D5A35">
              <w:rPr>
                <w:spacing w:val="-4"/>
              </w:rPr>
              <w:t>aastrichtskou smlouvou. Došlo k tomu poprvé od krize v roce 2009 již v roce 2013 (-2,9 % nominálního HDP), na rozdíl od celé EU 28, kde bylo výsledku nižšího než uvedený limit dosaženo až v roce 2014 (-2,9 %, v roce 2013 činil d</w:t>
            </w:r>
            <w:r w:rsidR="00D65B29">
              <w:rPr>
                <w:spacing w:val="-4"/>
              </w:rPr>
              <w:t>eficit za EU 28 ještě 3,2 % HDP</w:t>
            </w:r>
            <w:r w:rsidR="005D5A35">
              <w:rPr>
                <w:spacing w:val="-4"/>
              </w:rPr>
              <w:t xml:space="preserve">).  </w:t>
            </w:r>
            <w:r w:rsidR="005D5A35" w:rsidRPr="000F401E">
              <w:rPr>
                <w:spacing w:val="-4"/>
              </w:rPr>
              <w:t xml:space="preserve"> </w:t>
            </w:r>
          </w:p>
          <w:p w:rsidR="005D5A35" w:rsidRPr="00BB19EC" w:rsidRDefault="005D5A35" w:rsidP="008C41F7">
            <w:pPr>
              <w:pStyle w:val="Textpoznpodarou"/>
              <w:jc w:val="both"/>
              <w:rPr>
                <w:spacing w:val="-4"/>
              </w:rPr>
            </w:pPr>
          </w:p>
        </w:tc>
      </w:tr>
      <w:tr w:rsidR="005D5A35" w:rsidRPr="009C4DA1" w:rsidTr="003C6F0F">
        <w:tc>
          <w:tcPr>
            <w:tcW w:w="1091" w:type="pct"/>
          </w:tcPr>
          <w:p w:rsidR="005D5A35" w:rsidRPr="009C4DA1" w:rsidRDefault="005D5A35" w:rsidP="006158DF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Horší výsledek sektoru vládních institucí za EU 28 oproti </w:t>
            </w:r>
            <w:proofErr w:type="spellStart"/>
            <w:r>
              <w:rPr>
                <w:sz w:val="16"/>
                <w:szCs w:val="16"/>
              </w:rPr>
              <w:t>euroz</w:t>
            </w:r>
            <w:r w:rsidR="00DB01A2">
              <w:rPr>
                <w:sz w:val="16"/>
                <w:szCs w:val="16"/>
              </w:rPr>
              <w:t>óně</w:t>
            </w:r>
            <w:proofErr w:type="spellEnd"/>
            <w:r w:rsidR="00DB01A2">
              <w:rPr>
                <w:sz w:val="16"/>
                <w:szCs w:val="16"/>
              </w:rPr>
              <w:t xml:space="preserve"> vlivem hlubokého deficitu v </w:t>
            </w:r>
            <w:r>
              <w:rPr>
                <w:sz w:val="16"/>
                <w:szCs w:val="16"/>
              </w:rPr>
              <w:t>sektoru</w:t>
            </w:r>
            <w:r w:rsidR="00DB01A2">
              <w:rPr>
                <w:sz w:val="16"/>
                <w:szCs w:val="16"/>
              </w:rPr>
              <w:t> ve</w:t>
            </w:r>
            <w:r>
              <w:rPr>
                <w:sz w:val="16"/>
                <w:szCs w:val="16"/>
              </w:rPr>
              <w:t xml:space="preserve"> Spojeném království (-5,7</w:t>
            </w:r>
            <w:r w:rsidR="00DB01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 xml:space="preserve">% HDP) jako nečlenské země </w:t>
            </w:r>
            <w:proofErr w:type="spellStart"/>
            <w:r>
              <w:rPr>
                <w:sz w:val="16"/>
                <w:szCs w:val="16"/>
              </w:rPr>
              <w:t>eurozóny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9C4DA1">
              <w:rPr>
                <w:sz w:val="16"/>
                <w:szCs w:val="16"/>
              </w:rPr>
              <w:t xml:space="preserve"> </w:t>
            </w:r>
          </w:p>
          <w:p w:rsidR="005D5A35" w:rsidRPr="009C4DA1" w:rsidRDefault="005D5A35" w:rsidP="006158DF">
            <w:pPr>
              <w:spacing w:line="240" w:lineRule="auto"/>
              <w:rPr>
                <w:sz w:val="16"/>
                <w:szCs w:val="16"/>
              </w:rPr>
            </w:pPr>
          </w:p>
          <w:p w:rsidR="005D5A35" w:rsidRPr="009C4DA1" w:rsidRDefault="005D5A35" w:rsidP="006158DF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6" w:type="pct"/>
          </w:tcPr>
          <w:p w:rsidR="005D5A35" w:rsidRDefault="005D5A35" w:rsidP="006158DF">
            <w:pPr>
              <w:pStyle w:val="Textpoznpodarou"/>
              <w:jc w:val="both"/>
            </w:pPr>
          </w:p>
        </w:tc>
        <w:tc>
          <w:tcPr>
            <w:tcW w:w="3763" w:type="pct"/>
          </w:tcPr>
          <w:p w:rsidR="005D5A35" w:rsidRPr="002544F5" w:rsidRDefault="005D5A35" w:rsidP="00A11838">
            <w:pPr>
              <w:pStyle w:val="Textpoznpodarou"/>
              <w:jc w:val="both"/>
            </w:pPr>
            <w:r w:rsidRPr="002544F5">
              <w:t xml:space="preserve">Úspěšnější vývoj za </w:t>
            </w:r>
            <w:proofErr w:type="spellStart"/>
            <w:r w:rsidRPr="002544F5">
              <w:t>za</w:t>
            </w:r>
            <w:proofErr w:type="spellEnd"/>
            <w:r w:rsidRPr="002544F5">
              <w:t xml:space="preserve"> </w:t>
            </w:r>
            <w:proofErr w:type="spellStart"/>
            <w:r w:rsidRPr="002544F5">
              <w:t>eurozónu</w:t>
            </w:r>
            <w:proofErr w:type="spellEnd"/>
            <w:r w:rsidRPr="002544F5">
              <w:t xml:space="preserve"> lze přičíst skutečnosti, že jejím členem není jedna ze čtyř největších evropských ekonomik – Spojené království totiž nejenže v roce 2009 vykázalo v evropském kontextu jeden z největší deficitů svého hospodaření (-10,8 % HDP, když dvojciferný relativní schodek byl podle dat </w:t>
            </w:r>
            <w:proofErr w:type="spellStart"/>
            <w:r w:rsidRPr="002544F5">
              <w:t>Eurostatu</w:t>
            </w:r>
            <w:proofErr w:type="spellEnd"/>
            <w:r w:rsidRPr="002544F5">
              <w:t xml:space="preserve"> nezahrnující Řecko zaznamenán již jen v Irsku s -13,9 % a Španělsku s -11 % HDP).  Hlubo</w:t>
            </w:r>
            <w:r w:rsidR="00D65B29">
              <w:t>ké byly schodky sektoru vládních</w:t>
            </w:r>
            <w:r w:rsidRPr="002544F5">
              <w:t xml:space="preserve"> institucí Spojeného království i v dalších letech a počínaje rokem </w:t>
            </w:r>
            <w:r w:rsidR="00D65B29">
              <w:t>2013 jimi byl zčásti financován</w:t>
            </w:r>
            <w:r w:rsidRPr="002544F5">
              <w:t xml:space="preserve"> i</w:t>
            </w:r>
            <w:r w:rsidR="00DB01A2">
              <w:t> </w:t>
            </w:r>
            <w:r w:rsidRPr="002544F5">
              <w:t>výstup z tamější recese. V roce 2013 (-5,7 %) tak tento výsledek přispěl ke zhoršení vykázaného deficitu za EU 28 nad tříprocentní hranici v poměru k HDP.</w:t>
            </w:r>
          </w:p>
          <w:p w:rsidR="005D5A35" w:rsidRPr="009C4DA1" w:rsidRDefault="005D5A35" w:rsidP="002B3DAF">
            <w:pPr>
              <w:pStyle w:val="Textpoznpodarou"/>
              <w:jc w:val="both"/>
              <w:rPr>
                <w:spacing w:val="-4"/>
              </w:rPr>
            </w:pPr>
          </w:p>
        </w:tc>
      </w:tr>
      <w:tr w:rsidR="005D5A35" w:rsidRPr="009C4DA1" w:rsidTr="003C6F0F">
        <w:tc>
          <w:tcPr>
            <w:tcW w:w="1091" w:type="pct"/>
          </w:tcPr>
          <w:p w:rsidR="005D5A35" w:rsidRPr="009C4DA1" w:rsidRDefault="005D5A35" w:rsidP="00FE2A4F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Přebytkové hos</w:t>
            </w:r>
            <w:r w:rsidR="006E32B9">
              <w:rPr>
                <w:sz w:val="16"/>
                <w:szCs w:val="16"/>
              </w:rPr>
              <w:t>podaření sektoru vládních insti</w:t>
            </w:r>
            <w:r>
              <w:rPr>
                <w:sz w:val="16"/>
                <w:szCs w:val="16"/>
              </w:rPr>
              <w:t>tucí v Norsku, Německu, Dánsku, Lucembursku a</w:t>
            </w:r>
            <w:r w:rsidR="00FE2A4F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Estonsku; ke zlepšení hospodaření v úhrnu za EU 28 však přispělo hlavně zlepšení Řecka</w:t>
            </w:r>
            <w:r w:rsidRPr="009C4DA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a EU jako celek snížila v roce 2014 deficit hospodaření pod limit 3 % HDP, který stanovila jako limit „zdravých“ </w:t>
            </w:r>
            <w:r>
              <w:rPr>
                <w:sz w:val="16"/>
                <w:szCs w:val="16"/>
              </w:rPr>
              <w:lastRenderedPageBreak/>
              <w:t>veřejných financí pro své země již začátkem 90. let jako jedno z kritérií nominální konvergence podle Maastrichtské smlouvy</w:t>
            </w:r>
          </w:p>
        </w:tc>
        <w:tc>
          <w:tcPr>
            <w:tcW w:w="146" w:type="pct"/>
          </w:tcPr>
          <w:p w:rsidR="005D5A35" w:rsidRDefault="005D5A35" w:rsidP="006158DF">
            <w:pPr>
              <w:pStyle w:val="Textpoznpodarou"/>
              <w:jc w:val="both"/>
            </w:pPr>
          </w:p>
        </w:tc>
        <w:tc>
          <w:tcPr>
            <w:tcW w:w="3763" w:type="pct"/>
          </w:tcPr>
          <w:p w:rsidR="005D5A35" w:rsidRDefault="005D5A35" w:rsidP="002B3DAF">
            <w:pPr>
              <w:pStyle w:val="Textpoznpodarou"/>
              <w:jc w:val="both"/>
              <w:rPr>
                <w:spacing w:val="-4"/>
              </w:rPr>
            </w:pPr>
            <w:r>
              <w:rPr>
                <w:spacing w:val="-4"/>
              </w:rPr>
              <w:t>Nejlepší výsledek hospodaření vlády byl v roce 2014 patrný v Evropě v případě Norska (přebytek 9,1 % HDP), dále s velkým odstupem u ekonomik Dánska a</w:t>
            </w:r>
            <w:r w:rsidR="00DB01A2">
              <w:rPr>
                <w:spacing w:val="-4"/>
              </w:rPr>
              <w:t> </w:t>
            </w:r>
            <w:r>
              <w:rPr>
                <w:spacing w:val="-4"/>
              </w:rPr>
              <w:t>Německa (+1,2 % a +0,7 % HDP</w:t>
            </w:r>
            <w:r w:rsidR="002F7C73">
              <w:rPr>
                <w:spacing w:val="-4"/>
              </w:rPr>
              <w:t>)</w:t>
            </w:r>
            <w:r>
              <w:rPr>
                <w:spacing w:val="-4"/>
              </w:rPr>
              <w:t xml:space="preserve">. Přebytkové hospodaření vykázalo ještě Estonsko a Lucembursko. </w:t>
            </w:r>
          </w:p>
          <w:p w:rsidR="005D5A35" w:rsidRPr="00BB19EC" w:rsidRDefault="005D5A35" w:rsidP="002B3DAF">
            <w:pPr>
              <w:pStyle w:val="Textpoznpodarou"/>
              <w:jc w:val="both"/>
              <w:rPr>
                <w:spacing w:val="-4"/>
              </w:rPr>
            </w:pPr>
          </w:p>
          <w:p w:rsidR="00BB19EC" w:rsidRDefault="005D5A35" w:rsidP="002B3DAF">
            <w:pPr>
              <w:pStyle w:val="Textpoznpodarou"/>
              <w:jc w:val="both"/>
              <w:rPr>
                <w:spacing w:val="-4"/>
              </w:rPr>
            </w:pPr>
            <w:r>
              <w:rPr>
                <w:spacing w:val="-4"/>
              </w:rPr>
              <w:t xml:space="preserve">Ostatní země hospodařily s deficity – nejhlubší byl evidován u Slovinska (-4,9 % HDP), Chorvatska a již zmíněného Spojeného království (shodně -5,7 %), Španělska (-5,8 %) a Kypru (-8,8 %). Velmi problémové Řecko dokázalo vlivem úsporných opatření a mezinárodní pomoci snížit svůj deficit z -12,3 % v roce 2013 na -3,5 % v roce 2014. Ještě větší skok byl patrný ve zlepšení deficitu Slovinska, které </w:t>
            </w:r>
            <w:r>
              <w:rPr>
                <w:spacing w:val="-4"/>
              </w:rPr>
              <w:lastRenderedPageBreak/>
              <w:t xml:space="preserve">v předchozích letech sanovalo svůj bankovní sektor. Se schodkem hospodařilo v roce 2014 podle </w:t>
            </w:r>
            <w:proofErr w:type="spellStart"/>
            <w:r>
              <w:rPr>
                <w:spacing w:val="-4"/>
              </w:rPr>
              <w:t>Eurostatu</w:t>
            </w:r>
            <w:proofErr w:type="spellEnd"/>
            <w:r>
              <w:rPr>
                <w:spacing w:val="-4"/>
              </w:rPr>
              <w:t xml:space="preserve"> celkem 24 zemí Ev</w:t>
            </w:r>
            <w:r w:rsidR="00BB19EC">
              <w:rPr>
                <w:spacing w:val="-4"/>
              </w:rPr>
              <w:t>ropy, v roce 2013 jich bylo 26.</w:t>
            </w:r>
          </w:p>
          <w:p w:rsidR="005D5A35" w:rsidRDefault="005D5A35" w:rsidP="002B3DAF">
            <w:pPr>
              <w:pStyle w:val="Textpoznpodarou"/>
              <w:jc w:val="both"/>
              <w:rPr>
                <w:spacing w:val="-4"/>
              </w:rPr>
            </w:pPr>
            <w:r>
              <w:rPr>
                <w:spacing w:val="-4"/>
              </w:rPr>
              <w:t xml:space="preserve">   </w:t>
            </w:r>
          </w:p>
          <w:p w:rsidR="005D5A35" w:rsidRPr="009C4DA1" w:rsidRDefault="005D5A35" w:rsidP="00017315">
            <w:pPr>
              <w:pStyle w:val="Textpoznpodarou"/>
              <w:jc w:val="both"/>
              <w:rPr>
                <w:spacing w:val="-4"/>
              </w:rPr>
            </w:pPr>
            <w:r>
              <w:rPr>
                <w:spacing w:val="-4"/>
              </w:rPr>
              <w:t xml:space="preserve">Přesto však v roce 2014 dosáhla EU jako celek snížení deficitu pod hranici, kterou sama určila pro své </w:t>
            </w:r>
            <w:r w:rsidR="00214ED2">
              <w:rPr>
                <w:spacing w:val="-4"/>
              </w:rPr>
              <w:t>země podle fiskálního kritéria M</w:t>
            </w:r>
            <w:r>
              <w:rPr>
                <w:spacing w:val="-4"/>
              </w:rPr>
              <w:t xml:space="preserve">aastrichtské smlouvy (tj. 3 % nominálního HDP).  </w:t>
            </w:r>
          </w:p>
        </w:tc>
      </w:tr>
    </w:tbl>
    <w:p w:rsidR="005D5A35" w:rsidRPr="003C6F0F" w:rsidRDefault="005D5A35" w:rsidP="000F401E">
      <w:pPr>
        <w:pStyle w:val="Textpoznpodarou"/>
        <w:jc w:val="both"/>
        <w:rPr>
          <w:sz w:val="16"/>
          <w:szCs w:val="16"/>
        </w:rPr>
      </w:pPr>
    </w:p>
    <w:tbl>
      <w:tblPr>
        <w:tblW w:w="5073" w:type="pct"/>
        <w:tblInd w:w="-72" w:type="dxa"/>
        <w:tblCellMar>
          <w:left w:w="70" w:type="dxa"/>
          <w:right w:w="70" w:type="dxa"/>
        </w:tblCellMar>
        <w:tblLook w:val="0000"/>
      </w:tblPr>
      <w:tblGrid>
        <w:gridCol w:w="1136"/>
        <w:gridCol w:w="3701"/>
        <w:gridCol w:w="923"/>
        <w:gridCol w:w="4161"/>
      </w:tblGrid>
      <w:tr w:rsidR="005D5A35" w:rsidRPr="00EB30B6" w:rsidTr="003C6F0F">
        <w:tc>
          <w:tcPr>
            <w:tcW w:w="573" w:type="pct"/>
          </w:tcPr>
          <w:p w:rsidR="005D5A35" w:rsidRDefault="005D5A35" w:rsidP="00E10497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Graf č. 1</w:t>
            </w:r>
          </w:p>
        </w:tc>
        <w:tc>
          <w:tcPr>
            <w:tcW w:w="1865" w:type="pct"/>
          </w:tcPr>
          <w:p w:rsidR="005D5A35" w:rsidRPr="0062290D" w:rsidRDefault="005D5A35" w:rsidP="0062290D">
            <w:pPr>
              <w:pStyle w:val="Textpoznpodarou"/>
              <w:rPr>
                <w:spacing w:val="-6"/>
              </w:rPr>
            </w:pPr>
            <w:r>
              <w:rPr>
                <w:b/>
                <w:spacing w:val="-6"/>
              </w:rPr>
              <w:t xml:space="preserve">Deficit sektorů vládních institucí v poměru k nominálnímu HDP </w:t>
            </w:r>
            <w:r w:rsidRPr="00A11838">
              <w:rPr>
                <w:spacing w:val="-6"/>
              </w:rPr>
              <w:t>(v %)</w:t>
            </w:r>
          </w:p>
        </w:tc>
        <w:tc>
          <w:tcPr>
            <w:tcW w:w="465" w:type="pct"/>
          </w:tcPr>
          <w:p w:rsidR="005D5A35" w:rsidRDefault="005D5A35" w:rsidP="00E10497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Graf č. 2</w:t>
            </w:r>
          </w:p>
        </w:tc>
        <w:tc>
          <w:tcPr>
            <w:tcW w:w="2097" w:type="pct"/>
          </w:tcPr>
          <w:p w:rsidR="005D5A35" w:rsidRPr="00E10497" w:rsidRDefault="005D5A35" w:rsidP="008C41F7">
            <w:pPr>
              <w:pStyle w:val="Textpoznpodarou"/>
              <w:rPr>
                <w:spacing w:val="-6"/>
              </w:rPr>
            </w:pPr>
            <w:r>
              <w:rPr>
                <w:b/>
                <w:bCs/>
              </w:rPr>
              <w:t xml:space="preserve">ČR - </w:t>
            </w:r>
            <w:r>
              <w:rPr>
                <w:b/>
                <w:spacing w:val="-6"/>
              </w:rPr>
              <w:t>Defici</w:t>
            </w:r>
            <w:r w:rsidR="008C41F7">
              <w:rPr>
                <w:b/>
                <w:spacing w:val="-6"/>
              </w:rPr>
              <w:t>t sektoru vládních institucí k </w:t>
            </w:r>
            <w:r>
              <w:rPr>
                <w:b/>
                <w:spacing w:val="-6"/>
              </w:rPr>
              <w:t xml:space="preserve">nominálnímu HDP </w:t>
            </w:r>
            <w:r w:rsidRPr="00A11838">
              <w:rPr>
                <w:spacing w:val="-6"/>
              </w:rPr>
              <w:t>(v %</w:t>
            </w:r>
            <w:r>
              <w:rPr>
                <w:spacing w:val="-6"/>
              </w:rPr>
              <w:t>, 1995-2014</w:t>
            </w:r>
            <w:r w:rsidRPr="00A11838">
              <w:rPr>
                <w:spacing w:val="-6"/>
              </w:rPr>
              <w:t>)</w:t>
            </w:r>
          </w:p>
        </w:tc>
      </w:tr>
      <w:tr w:rsidR="005D5A35" w:rsidRPr="00862A7A" w:rsidTr="003C6F0F">
        <w:trPr>
          <w:trHeight w:val="3256"/>
        </w:trPr>
        <w:tc>
          <w:tcPr>
            <w:tcW w:w="2438" w:type="pct"/>
            <w:gridSpan w:val="2"/>
          </w:tcPr>
          <w:p w:rsidR="005D5A35" w:rsidRPr="001D47E5" w:rsidRDefault="00DE56AE" w:rsidP="003C6F0F">
            <w:pPr>
              <w:pStyle w:val="Zhlav"/>
              <w:tabs>
                <w:tab w:val="clear" w:pos="4536"/>
                <w:tab w:val="clear" w:pos="9072"/>
              </w:tabs>
              <w:ind w:right="-275"/>
              <w:rPr>
                <w:rFonts w:ascii="Arial" w:hAnsi="Arial" w:cs="Arial"/>
                <w:sz w:val="20"/>
              </w:rPr>
            </w:pPr>
            <w:r w:rsidRPr="00FE2BC2">
              <w:rPr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06" type="#_x0000_t75" style="width:237.75pt;height:198.75pt">
                  <v:imagedata r:id="rId8" o:title=""/>
                </v:shape>
              </w:pict>
            </w:r>
          </w:p>
        </w:tc>
        <w:tc>
          <w:tcPr>
            <w:tcW w:w="2562" w:type="pct"/>
            <w:gridSpan w:val="2"/>
          </w:tcPr>
          <w:p w:rsidR="005D5A35" w:rsidRPr="00D00F76" w:rsidRDefault="00DE56AE" w:rsidP="00F16C0C">
            <w:pPr>
              <w:pStyle w:val="Zhlav"/>
              <w:tabs>
                <w:tab w:val="clear" w:pos="4536"/>
                <w:tab w:val="clear" w:pos="9072"/>
              </w:tabs>
              <w:spacing w:line="235" w:lineRule="auto"/>
              <w:jc w:val="right"/>
              <w:rPr>
                <w:rFonts w:ascii="Arial" w:hAnsi="Arial" w:cs="Arial"/>
                <w:noProof/>
                <w:sz w:val="20"/>
                <w:lang w:eastAsia="cs-CZ"/>
              </w:rPr>
            </w:pPr>
            <w:r w:rsidRPr="00FE2BC2">
              <w:rPr>
                <w:szCs w:val="20"/>
              </w:rPr>
              <w:pict>
                <v:shape id="_x0000_i1507" type="#_x0000_t75" style="width:243.75pt;height:198.75pt">
                  <v:imagedata r:id="rId9" o:title=""/>
                </v:shape>
              </w:pict>
            </w:r>
          </w:p>
        </w:tc>
      </w:tr>
    </w:tbl>
    <w:p w:rsidR="006E15CB" w:rsidRDefault="00132665" w:rsidP="006E15CB">
      <w:pPr>
        <w:jc w:val="right"/>
        <w:rPr>
          <w:sz w:val="18"/>
          <w:szCs w:val="18"/>
        </w:rPr>
      </w:pPr>
      <w:r>
        <w:rPr>
          <w:sz w:val="18"/>
          <w:szCs w:val="18"/>
        </w:rPr>
        <w:t>Zdroj</w:t>
      </w:r>
      <w:r w:rsidR="006E15CB" w:rsidRPr="006E15CB">
        <w:rPr>
          <w:sz w:val="18"/>
          <w:szCs w:val="18"/>
        </w:rPr>
        <w:t xml:space="preserve">: </w:t>
      </w:r>
      <w:proofErr w:type="spellStart"/>
      <w:r w:rsidR="006E15CB" w:rsidRPr="006E15CB">
        <w:rPr>
          <w:sz w:val="18"/>
          <w:szCs w:val="18"/>
        </w:rPr>
        <w:t>Eurostat</w:t>
      </w:r>
      <w:proofErr w:type="spellEnd"/>
    </w:p>
    <w:p w:rsidR="00F16C0C" w:rsidRPr="003C6F0F" w:rsidRDefault="00F16C0C" w:rsidP="006E15CB">
      <w:pPr>
        <w:spacing w:line="240" w:lineRule="auto"/>
        <w:jc w:val="right"/>
        <w:rPr>
          <w:sz w:val="16"/>
          <w:szCs w:val="16"/>
        </w:rPr>
      </w:pPr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2037"/>
        <w:gridCol w:w="272"/>
        <w:gridCol w:w="7468"/>
      </w:tblGrid>
      <w:tr w:rsidR="005D5A35" w:rsidRPr="00602D1D" w:rsidTr="004701B6">
        <w:tc>
          <w:tcPr>
            <w:tcW w:w="1042" w:type="pct"/>
          </w:tcPr>
          <w:p w:rsidR="005D5A35" w:rsidRPr="00602D1D" w:rsidRDefault="005D5A35" w:rsidP="004701B6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 České republice byl rok 2014 z pohledu hospodaření vládního sektoru relativně úspěšný, přestože jeho s</w:t>
            </w:r>
            <w:r w:rsidR="00AF2E94">
              <w:rPr>
                <w:color w:val="000000"/>
                <w:sz w:val="16"/>
                <w:szCs w:val="16"/>
              </w:rPr>
              <w:t xml:space="preserve">chodek se meziročně prohloubil </w:t>
            </w:r>
            <w:r>
              <w:rPr>
                <w:color w:val="000000"/>
                <w:sz w:val="16"/>
                <w:szCs w:val="16"/>
              </w:rPr>
              <w:t>na</w:t>
            </w:r>
            <w:r w:rsidR="00AF2E94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-2  %</w:t>
            </w:r>
            <w:r w:rsidRPr="00602D1D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nominálního HDP z -1,2 % v roce 2013</w:t>
            </w:r>
          </w:p>
          <w:p w:rsidR="005D5A35" w:rsidRPr="00602D1D" w:rsidRDefault="005D5A35" w:rsidP="004701B6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9" w:type="pct"/>
          </w:tcPr>
          <w:p w:rsidR="005D5A35" w:rsidRDefault="005D5A35" w:rsidP="004701B6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4701B6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V případě České republiky patřil rok 2014, co se týká hospodaření sektoru vládních institucí, k letům relativně úspěšným. Deficit v poměru k HDP činil 2 %, což byl lepší výsledek než průměr za EU 28 (-2,9 %), ale horší než kterého bylo dosaženo v ČR o</w:t>
            </w:r>
            <w:r w:rsidR="007253C1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>rok dříve (-1,2 %). Došlo k tomu vlivem mírného zhoršení v celé struktuře deficitu vládního sektoru – schodek ústřední vlády se v roce 2014 proti deficitu z roku 2013 prohloubil na -2,1 % HDP z -1,5 % v roce 2013, ztenčil se ale i přebytek hospodaření místních vlád (na 0,2 % z </w:t>
            </w:r>
            <w:r w:rsidR="001C38BC">
              <w:rPr>
                <w:color w:val="000000"/>
                <w:spacing w:val="-2"/>
              </w:rPr>
              <w:t>0,4 %) a meziročně méně příznivé</w:t>
            </w:r>
            <w:r>
              <w:rPr>
                <w:color w:val="000000"/>
                <w:spacing w:val="-2"/>
              </w:rPr>
              <w:t xml:space="preserve"> bylo i hospodaření fondů sociálního zabezpečení (-0,1 % HDP z nulového deficitu v roce 2013).</w:t>
            </w:r>
          </w:p>
          <w:p w:rsidR="005D5A35" w:rsidRPr="003C6F0F" w:rsidRDefault="005D5A35" w:rsidP="00E10497">
            <w:pPr>
              <w:pStyle w:val="Textpoznpodarou"/>
              <w:jc w:val="both"/>
              <w:rPr>
                <w:color w:val="000000"/>
                <w:spacing w:val="-2"/>
                <w:sz w:val="16"/>
                <w:szCs w:val="16"/>
              </w:rPr>
            </w:pPr>
          </w:p>
        </w:tc>
      </w:tr>
      <w:tr w:rsidR="005D5A35" w:rsidRPr="00602D1D" w:rsidTr="00686D87">
        <w:tc>
          <w:tcPr>
            <w:tcW w:w="1042" w:type="pct"/>
          </w:tcPr>
          <w:p w:rsidR="005D5A35" w:rsidRPr="00602D1D" w:rsidRDefault="005D5A35" w:rsidP="004701B6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Rozhodující vliv hospodaření ústřední vlády na saldo celého sektoru vládních institucí </w:t>
            </w:r>
          </w:p>
          <w:p w:rsidR="005D5A35" w:rsidRPr="00602D1D" w:rsidRDefault="005D5A35" w:rsidP="004701B6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9" w:type="pct"/>
          </w:tcPr>
          <w:p w:rsidR="005D5A35" w:rsidRDefault="005D5A35" w:rsidP="004701B6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4701B6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Saldo hospodaření ústřední vlády má v ČR rozhod</w:t>
            </w:r>
            <w:r w:rsidR="008C41F7">
              <w:rPr>
                <w:color w:val="000000"/>
                <w:spacing w:val="-2"/>
              </w:rPr>
              <w:t>ující vliv na výsledek za celý</w:t>
            </w:r>
            <w:r>
              <w:rPr>
                <w:color w:val="000000"/>
                <w:spacing w:val="-2"/>
              </w:rPr>
              <w:t xml:space="preserve"> </w:t>
            </w:r>
            <w:r w:rsidR="008C41F7">
              <w:rPr>
                <w:color w:val="000000"/>
                <w:spacing w:val="-2"/>
              </w:rPr>
              <w:t>sektor vládních institucí</w:t>
            </w:r>
            <w:r>
              <w:rPr>
                <w:color w:val="000000"/>
                <w:spacing w:val="-2"/>
              </w:rPr>
              <w:t xml:space="preserve"> (graf 3). V roce 2014 činila jeho úroveň 105 % výsledného deficitu a ČR tak patřila k zemím se „silným“ saldem sektoru ústřední vlády (v EU 28 jich byl</w:t>
            </w:r>
            <w:r w:rsidR="00214ED2">
              <w:rPr>
                <w:color w:val="000000"/>
                <w:spacing w:val="-2"/>
              </w:rPr>
              <w:t>a</w:t>
            </w:r>
            <w:r>
              <w:rPr>
                <w:color w:val="000000"/>
                <w:spacing w:val="-2"/>
              </w:rPr>
              <w:t xml:space="preserve"> více než polovina, tj. 15 zemí). Na podíl však má vliv i např. státoprávní uspořádání zemí (existence spolkových zemí).</w:t>
            </w:r>
          </w:p>
          <w:p w:rsidR="005D5A35" w:rsidRPr="003C6F0F" w:rsidRDefault="005D5A35" w:rsidP="003A2708">
            <w:pPr>
              <w:pStyle w:val="Textpoznpodarou"/>
              <w:jc w:val="both"/>
              <w:rPr>
                <w:color w:val="000000"/>
                <w:spacing w:val="-2"/>
                <w:sz w:val="18"/>
                <w:szCs w:val="18"/>
              </w:rPr>
            </w:pPr>
          </w:p>
        </w:tc>
      </w:tr>
      <w:tr w:rsidR="005D5A35" w:rsidRPr="00602D1D" w:rsidTr="00686D87">
        <w:tc>
          <w:tcPr>
            <w:tcW w:w="1042" w:type="pct"/>
          </w:tcPr>
          <w:p w:rsidR="005D5A35" w:rsidRDefault="005D5A35" w:rsidP="003A2708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Z celkových výdajů vládního sektoru ČR v roce 2014 ve výši 1 793,9 mld. korun připadlo na výdaje ústřední vlády 1 235,2 mld</w:t>
            </w:r>
            <w:r w:rsidR="008C41F7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 xml:space="preserve"> korun…</w:t>
            </w:r>
          </w:p>
          <w:p w:rsidR="005D5A35" w:rsidRPr="00602D1D" w:rsidRDefault="005D5A35" w:rsidP="003A2708">
            <w:pPr>
              <w:spacing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39" w:type="pct"/>
          </w:tcPr>
          <w:p w:rsidR="005D5A35" w:rsidRDefault="005D5A35" w:rsidP="004701B6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3A2708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Podle dosažitelných dat za rok 2013 činily výdaje ústřední vlády 1 196,7 mld. korun, což bylo 69,7 % výdajů sektoru vládních institucí jako celku (1 716,8 mld. korun)</w:t>
            </w:r>
            <w:r>
              <w:rPr>
                <w:rStyle w:val="Znakapoznpodarou"/>
                <w:color w:val="000000"/>
                <w:spacing w:val="-2"/>
              </w:rPr>
              <w:footnoteReference w:id="1"/>
            </w:r>
            <w:r>
              <w:rPr>
                <w:color w:val="000000"/>
                <w:spacing w:val="-2"/>
              </w:rPr>
              <w:t>. V roce 2014 podíl ústřední vlády mírně oslabil na 68,9 % při výdajích ve výši 1 235,2 mld. z celkových 1 793,9 mld. korun (68,9 %).</w:t>
            </w:r>
          </w:p>
          <w:p w:rsidR="005D5A35" w:rsidRPr="003C6F0F" w:rsidRDefault="005D5A35" w:rsidP="003A2708">
            <w:pPr>
              <w:pStyle w:val="Textpoznpodarou"/>
              <w:jc w:val="both"/>
              <w:rPr>
                <w:color w:val="000000"/>
                <w:spacing w:val="-2"/>
                <w:sz w:val="18"/>
                <w:szCs w:val="18"/>
              </w:rPr>
            </w:pPr>
          </w:p>
          <w:p w:rsidR="005D5A35" w:rsidRPr="008C41F7" w:rsidRDefault="005D5A35" w:rsidP="003A2708">
            <w:pPr>
              <w:pStyle w:val="Textpoznpodarou"/>
              <w:jc w:val="both"/>
              <w:rPr>
                <w:color w:val="000000"/>
              </w:rPr>
            </w:pPr>
            <w:r w:rsidRPr="008C41F7">
              <w:rPr>
                <w:color w:val="000000"/>
              </w:rPr>
              <w:t>Přes sedm desetin výdajů ústřední vlády připadá na položky COFOG „Sociální věci“ a „Stáří“. Velmi malým podílem, méně než 2 % z celkových výdajů sektoru vládních institucí, participuje sektor ústředních vládních institucí na ústavní zdravotní péči, civilní obraně, odstraňován</w:t>
            </w:r>
            <w:r w:rsidR="00214ED2">
              <w:rPr>
                <w:color w:val="000000"/>
              </w:rPr>
              <w:t>í</w:t>
            </w:r>
            <w:r w:rsidRPr="008C41F7">
              <w:rPr>
                <w:color w:val="000000"/>
              </w:rPr>
              <w:t xml:space="preserve"> pevných odpadů, ambulantní zdravotní péči nebo územním rozvoji obecně.    </w:t>
            </w:r>
          </w:p>
          <w:p w:rsidR="005D5A35" w:rsidRPr="003C6F0F" w:rsidRDefault="005D5A35" w:rsidP="004701B6">
            <w:pPr>
              <w:pStyle w:val="Textpoznpodarou"/>
              <w:jc w:val="both"/>
              <w:rPr>
                <w:color w:val="000000"/>
                <w:spacing w:val="-2"/>
                <w:sz w:val="18"/>
                <w:szCs w:val="18"/>
              </w:rPr>
            </w:pPr>
          </w:p>
        </w:tc>
      </w:tr>
      <w:tr w:rsidR="005D5A35" w:rsidRPr="00602D1D" w:rsidTr="00686D87">
        <w:tc>
          <w:tcPr>
            <w:tcW w:w="1042" w:type="pct"/>
          </w:tcPr>
          <w:p w:rsidR="005D5A35" w:rsidRPr="00602D1D" w:rsidRDefault="005D5A35" w:rsidP="00957164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…na výdaje místních vlád 439,4 mld. a výdaje fondů sociálního zabezpečení </w:t>
            </w:r>
            <w:r>
              <w:rPr>
                <w:color w:val="000000"/>
                <w:sz w:val="16"/>
                <w:szCs w:val="16"/>
              </w:rPr>
              <w:lastRenderedPageBreak/>
              <w:t xml:space="preserve">v roce 2014 činily 242,1 mld. korun </w:t>
            </w:r>
          </w:p>
        </w:tc>
        <w:tc>
          <w:tcPr>
            <w:tcW w:w="139" w:type="pct"/>
          </w:tcPr>
          <w:p w:rsidR="005D5A35" w:rsidRDefault="005D5A35" w:rsidP="004701B6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B04828">
            <w:pPr>
              <w:pStyle w:val="Textpoznpodarou"/>
              <w:jc w:val="both"/>
              <w:rPr>
                <w:color w:val="000000"/>
                <w:spacing w:val="-4"/>
              </w:rPr>
            </w:pPr>
            <w:r w:rsidRPr="008C41F7">
              <w:rPr>
                <w:color w:val="000000"/>
                <w:spacing w:val="-4"/>
              </w:rPr>
              <w:t xml:space="preserve">Co se týká hospodaření místních vlád (kraje, obce) byl přebytek v roce 2014 - meziročně s mírnou redukcí o 0,2 </w:t>
            </w:r>
            <w:proofErr w:type="spellStart"/>
            <w:r w:rsidRPr="008C41F7">
              <w:rPr>
                <w:color w:val="000000"/>
                <w:spacing w:val="-4"/>
              </w:rPr>
              <w:t>pb</w:t>
            </w:r>
            <w:proofErr w:type="spellEnd"/>
            <w:r w:rsidRPr="008C41F7">
              <w:rPr>
                <w:color w:val="000000"/>
                <w:spacing w:val="-4"/>
              </w:rPr>
              <w:t>., jak již bylo řečeno - ve  srovnání s </w:t>
            </w:r>
            <w:proofErr w:type="spellStart"/>
            <w:r w:rsidRPr="008C41F7">
              <w:rPr>
                <w:color w:val="000000"/>
                <w:spacing w:val="-4"/>
              </w:rPr>
              <w:t>bezdeficitním</w:t>
            </w:r>
            <w:proofErr w:type="spellEnd"/>
            <w:r w:rsidRPr="008C41F7">
              <w:rPr>
                <w:color w:val="000000"/>
                <w:spacing w:val="-4"/>
              </w:rPr>
              <w:t xml:space="preserve"> průměrem za EU 28 výsledkem příznivým, který navázal na přebytkové hospodaření </w:t>
            </w:r>
            <w:r w:rsidRPr="008C41F7">
              <w:rPr>
                <w:color w:val="000000"/>
                <w:spacing w:val="-4"/>
              </w:rPr>
              <w:lastRenderedPageBreak/>
              <w:t>místních vlád z předchozích dvou let. V Evropě si vedly nejlépe sektory místních vlád v Maďarsku (1,4 % HDP) a v Rumunsku a Španělsku (shodně s přebytky 0,5 % HDP). Většina zemí však v roce 2014 hospodařila se</w:t>
            </w:r>
            <w:r w:rsidR="008C41F7">
              <w:rPr>
                <w:color w:val="000000"/>
                <w:spacing w:val="-4"/>
              </w:rPr>
              <w:t xml:space="preserve"> schodky.</w:t>
            </w:r>
          </w:p>
          <w:p w:rsidR="00BB19EC" w:rsidRDefault="00BB19EC" w:rsidP="00B04828">
            <w:pPr>
              <w:pStyle w:val="Textpoznpodarou"/>
              <w:jc w:val="both"/>
              <w:rPr>
                <w:color w:val="000000"/>
                <w:spacing w:val="-4"/>
              </w:rPr>
            </w:pPr>
          </w:p>
          <w:p w:rsidR="005D5A35" w:rsidRPr="008C41F7" w:rsidRDefault="005D5A35" w:rsidP="00B04828">
            <w:pPr>
              <w:pStyle w:val="Textpoznpodarou"/>
              <w:jc w:val="both"/>
              <w:rPr>
                <w:color w:val="000000"/>
              </w:rPr>
            </w:pPr>
            <w:r w:rsidRPr="00DF6134">
              <w:rPr>
                <w:color w:val="000000"/>
                <w:spacing w:val="-2"/>
              </w:rPr>
              <w:t xml:space="preserve">Příjmy a výdaje ústřední vlády a místních vlád jsou v absolutních hodnotách výrazně vyšší, než je tomu u fondů sociálního zabezpečení. </w:t>
            </w:r>
            <w:r w:rsidR="00DF6134" w:rsidRPr="00DF6134">
              <w:rPr>
                <w:color w:val="000000"/>
                <w:spacing w:val="-2"/>
              </w:rPr>
              <w:t xml:space="preserve">I jejich výsledné saldo v </w:t>
            </w:r>
            <w:r w:rsidRPr="00DF6134">
              <w:rPr>
                <w:color w:val="000000"/>
                <w:spacing w:val="-2"/>
              </w:rPr>
              <w:t>poměru k HDP vykazuje zpravidla velmi nízký poměr. V roce 2014 bylo záporné (-0,1</w:t>
            </w:r>
            <w:r w:rsidR="00DF6134" w:rsidRPr="00DF6134">
              <w:rPr>
                <w:color w:val="000000"/>
                <w:spacing w:val="-2"/>
              </w:rPr>
              <w:t> </w:t>
            </w:r>
            <w:r w:rsidRPr="00DF6134">
              <w:rPr>
                <w:color w:val="000000"/>
                <w:spacing w:val="-2"/>
              </w:rPr>
              <w:t>% HDP),</w:t>
            </w:r>
            <w:r w:rsidRPr="008C41F7">
              <w:rPr>
                <w:color w:val="000000"/>
              </w:rPr>
              <w:t xml:space="preserve"> stejně jako v letech 2009-2012 v důsledku zhoršené situace v ekonomice. V roce 2013 činily výdaje fondů sociálního zabezpečení 228,6 mld., v roce 20</w:t>
            </w:r>
            <w:r w:rsidR="008C41F7" w:rsidRPr="008C41F7">
              <w:rPr>
                <w:color w:val="000000"/>
              </w:rPr>
              <w:t>14 pak 242,1 mld. korun.</w:t>
            </w:r>
          </w:p>
          <w:p w:rsidR="005D5A35" w:rsidRDefault="005D5A35" w:rsidP="004701B6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</w:tc>
      </w:tr>
      <w:tr w:rsidR="005D5A35" w:rsidRPr="00602D1D" w:rsidTr="00686D87">
        <w:tc>
          <w:tcPr>
            <w:tcW w:w="1042" w:type="pct"/>
          </w:tcPr>
          <w:p w:rsidR="005D5A35" w:rsidRPr="00602D1D" w:rsidRDefault="005D5A35" w:rsidP="00E10497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V roce 2013 i 2014 schodek sektoru vládních institucí pod průměrnou úrovní posledních šesti let …</w:t>
            </w: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  <w:p w:rsidR="005D5A35" w:rsidRPr="00602D1D" w:rsidRDefault="005D5A35" w:rsidP="004701B6">
            <w:pPr>
              <w:spacing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39" w:type="pct"/>
          </w:tcPr>
          <w:p w:rsidR="005D5A35" w:rsidRDefault="005D5A35" w:rsidP="004701B6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370362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V úhrnu byly relativní deficity hospodaření sektoru vládních institucí ČR v letech 2013 a 2014 lepší než průměr posledních šesti let (2009-2014), který činil -3,3 % HDP. Ani během relativně silné a dlouhé konjunktury české ekonomiky v době po vstupu do EU se nedařilo deficity významněji redukovat (za roky 2004-2008 činil schodek v</w:t>
            </w:r>
            <w:r w:rsidR="007253C1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 xml:space="preserve">průměru 2,2 % HDP). Nejvyšší průměrné deficitní hospodaření však zaznamenával vládní sektor ČR v letech 1998-2003, kdy schodek v poměru k HDP činil ročně v průměru -4,9 %. V letech 2002 a 2003 se dokonce propadl pod 6 % nominálního HDP - rozpočtové příjmy například ovlivnila skutečnost, že i při relativně silných deficitech byla ještě snížena sazba DPH. </w:t>
            </w:r>
          </w:p>
          <w:p w:rsidR="005D5A35" w:rsidRPr="00602D1D" w:rsidRDefault="005D5A35" w:rsidP="00370362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</w:tc>
      </w:tr>
      <w:tr w:rsidR="005D5A35" w:rsidRPr="00602D1D" w:rsidTr="00017315">
        <w:tc>
          <w:tcPr>
            <w:tcW w:w="1042" w:type="pct"/>
          </w:tcPr>
          <w:p w:rsidR="005D5A35" w:rsidRPr="00602D1D" w:rsidRDefault="005D5A35" w:rsidP="004701B6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 a v evropském žebříčku znamenal schodek 2 % HDP 10. pořadí těsně za</w:t>
            </w:r>
            <w:r w:rsidR="007253C1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Švédskem (v roce 2013 se</w:t>
            </w:r>
            <w:r w:rsidR="007253C1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 xml:space="preserve">schodkem 1,2 % to bylo 8. místo za Dánskem) </w:t>
            </w:r>
          </w:p>
          <w:p w:rsidR="005D5A35" w:rsidRPr="00602D1D" w:rsidRDefault="005D5A35" w:rsidP="004701B6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9" w:type="pct"/>
          </w:tcPr>
          <w:p w:rsidR="005D5A35" w:rsidRDefault="005D5A35" w:rsidP="004701B6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Pr="00602D1D" w:rsidRDefault="005D5A35" w:rsidP="00214ED2">
            <w:pPr>
              <w:pStyle w:val="Textpoznpodarou"/>
              <w:jc w:val="both"/>
              <w:rPr>
                <w:color w:val="000000"/>
                <w:spacing w:val="-2"/>
              </w:rPr>
            </w:pPr>
            <w:r w:rsidRPr="003A180C">
              <w:rPr>
                <w:color w:val="000000"/>
              </w:rPr>
              <w:t>Pokud jde o pořadí v evropském žebříku, rok 2014 znamenal pro ČR v „úspěšnosti“ hospodaření vlád 10. příčku, se zhruba srovnatelným deficitem</w:t>
            </w:r>
            <w:r w:rsidR="00214ED2">
              <w:rPr>
                <w:color w:val="000000"/>
              </w:rPr>
              <w:t xml:space="preserve">, který </w:t>
            </w:r>
            <w:r w:rsidRPr="003A180C">
              <w:rPr>
                <w:color w:val="000000"/>
              </w:rPr>
              <w:t>mělo Švédsko (-1,9 % HDP).</w:t>
            </w:r>
            <w:r>
              <w:rPr>
                <w:color w:val="000000"/>
                <w:spacing w:val="-2"/>
              </w:rPr>
              <w:t xml:space="preserve"> Mírně lepší pořadí obsadila ČR i v roce předcházejícím s deficitem relativně o dost příznivějším (-1,2 % HDP). Lepšící se trend je však patrný nejen </w:t>
            </w:r>
            <w:r w:rsidR="00214ED2">
              <w:rPr>
                <w:color w:val="000000"/>
                <w:spacing w:val="-2"/>
              </w:rPr>
              <w:t>z</w:t>
            </w:r>
            <w:r>
              <w:rPr>
                <w:color w:val="000000"/>
                <w:spacing w:val="-2"/>
              </w:rPr>
              <w:t xml:space="preserve"> křivky grafu 3, ale i </w:t>
            </w:r>
            <w:r w:rsidR="00214ED2">
              <w:rPr>
                <w:color w:val="000000"/>
                <w:spacing w:val="-2"/>
              </w:rPr>
              <w:t>z</w:t>
            </w:r>
            <w:r>
              <w:rPr>
                <w:color w:val="000000"/>
                <w:spacing w:val="-2"/>
              </w:rPr>
              <w:t xml:space="preserve"> docilovaného pořadí. V roce 2004 byla ČR s deficitem -2,7 % HDP na 16. místě, v roce 2009 s -5,5 % na 13. místě a v roce 2011 (-2,7 %) na 11. místě. Uvedené proporce jasně ukazují i vývoj v řadě ostatních zemí.     </w:t>
            </w:r>
          </w:p>
        </w:tc>
      </w:tr>
    </w:tbl>
    <w:p w:rsidR="005D5A35" w:rsidRDefault="005D5A35" w:rsidP="00686D87"/>
    <w:tbl>
      <w:tblPr>
        <w:tblW w:w="5000" w:type="pct"/>
        <w:tblLook w:val="00A0"/>
      </w:tblPr>
      <w:tblGrid>
        <w:gridCol w:w="107"/>
        <w:gridCol w:w="950"/>
        <w:gridCol w:w="1350"/>
        <w:gridCol w:w="101"/>
        <w:gridCol w:w="2448"/>
        <w:gridCol w:w="974"/>
        <w:gridCol w:w="3924"/>
      </w:tblGrid>
      <w:tr w:rsidR="005D5A35" w:rsidRPr="003D4760" w:rsidTr="00D93A51">
        <w:tc>
          <w:tcPr>
            <w:tcW w:w="537" w:type="pct"/>
            <w:gridSpan w:val="2"/>
          </w:tcPr>
          <w:p w:rsidR="005D5A35" w:rsidRPr="003D34B4" w:rsidRDefault="005D5A35" w:rsidP="00E10497">
            <w:pPr>
              <w:pStyle w:val="Textpoznpodarou"/>
              <w:rPr>
                <w:lang w:eastAsia="en-US"/>
              </w:rPr>
            </w:pPr>
            <w:r w:rsidRPr="003D34B4">
              <w:rPr>
                <w:lang w:eastAsia="en-US"/>
              </w:rPr>
              <w:t>Graf č. 3</w:t>
            </w:r>
          </w:p>
        </w:tc>
        <w:tc>
          <w:tcPr>
            <w:tcW w:w="1978" w:type="pct"/>
            <w:gridSpan w:val="3"/>
          </w:tcPr>
          <w:p w:rsidR="00DF5343" w:rsidRDefault="005D5A35" w:rsidP="00DF5343">
            <w:pPr>
              <w:pStyle w:val="Textpoznpodarou"/>
              <w:rPr>
                <w:b/>
                <w:lang w:eastAsia="en-US"/>
              </w:rPr>
            </w:pPr>
            <w:r w:rsidRPr="003D34B4">
              <w:rPr>
                <w:b/>
                <w:lang w:eastAsia="en-US"/>
              </w:rPr>
              <w:t>ČR – defi</w:t>
            </w:r>
            <w:r w:rsidR="00DF5343">
              <w:rPr>
                <w:b/>
                <w:lang w:eastAsia="en-US"/>
              </w:rPr>
              <w:t>cit sektoru vládních institucí a </w:t>
            </w:r>
            <w:r w:rsidRPr="003D34B4">
              <w:rPr>
                <w:b/>
                <w:lang w:eastAsia="en-US"/>
              </w:rPr>
              <w:t>ústřední</w:t>
            </w:r>
            <w:r w:rsidR="00DF5343">
              <w:rPr>
                <w:b/>
                <w:lang w:eastAsia="en-US"/>
              </w:rPr>
              <w:t xml:space="preserve">ch vládních institucí </w:t>
            </w:r>
          </w:p>
          <w:p w:rsidR="005D5A35" w:rsidRPr="00DF5343" w:rsidRDefault="005D5A35" w:rsidP="00DF5343">
            <w:pPr>
              <w:pStyle w:val="Textpoznpodarou"/>
              <w:rPr>
                <w:b/>
                <w:lang w:eastAsia="en-US"/>
              </w:rPr>
            </w:pPr>
            <w:r w:rsidRPr="003D34B4">
              <w:rPr>
                <w:lang w:eastAsia="en-US"/>
              </w:rPr>
              <w:t>(</w:t>
            </w:r>
            <w:r w:rsidR="007253C1">
              <w:rPr>
                <w:lang w:eastAsia="en-US"/>
              </w:rPr>
              <w:t xml:space="preserve">v </w:t>
            </w:r>
            <w:r w:rsidRPr="003D34B4">
              <w:rPr>
                <w:lang w:eastAsia="en-US"/>
              </w:rPr>
              <w:t xml:space="preserve">% </w:t>
            </w:r>
            <w:proofErr w:type="spellStart"/>
            <w:r w:rsidRPr="003D34B4">
              <w:rPr>
                <w:lang w:eastAsia="en-US"/>
              </w:rPr>
              <w:t>nom</w:t>
            </w:r>
            <w:proofErr w:type="spellEnd"/>
            <w:r w:rsidRPr="003D34B4">
              <w:rPr>
                <w:lang w:eastAsia="en-US"/>
              </w:rPr>
              <w:t>. HDP)</w:t>
            </w:r>
          </w:p>
        </w:tc>
        <w:tc>
          <w:tcPr>
            <w:tcW w:w="494" w:type="pct"/>
          </w:tcPr>
          <w:p w:rsidR="005D5A35" w:rsidRPr="003D34B4" w:rsidRDefault="005D5A35" w:rsidP="00D2620E">
            <w:pPr>
              <w:pStyle w:val="Textpoznpodarou"/>
              <w:rPr>
                <w:lang w:eastAsia="en-US"/>
              </w:rPr>
            </w:pPr>
            <w:r w:rsidRPr="003D34B4">
              <w:rPr>
                <w:lang w:eastAsia="en-US"/>
              </w:rPr>
              <w:t>Graf č.</w:t>
            </w:r>
            <w:r w:rsidR="00D2620E">
              <w:rPr>
                <w:lang w:eastAsia="en-US"/>
              </w:rPr>
              <w:t> </w:t>
            </w:r>
            <w:r w:rsidRPr="003D34B4">
              <w:rPr>
                <w:lang w:eastAsia="en-US"/>
              </w:rPr>
              <w:t>4</w:t>
            </w:r>
          </w:p>
        </w:tc>
        <w:tc>
          <w:tcPr>
            <w:tcW w:w="1991" w:type="pct"/>
          </w:tcPr>
          <w:p w:rsidR="00DF5343" w:rsidRDefault="005D5A35" w:rsidP="00DF5343">
            <w:pPr>
              <w:pStyle w:val="Textpoznpodarou"/>
              <w:rPr>
                <w:b/>
                <w:spacing w:val="-2"/>
                <w:lang w:eastAsia="en-US"/>
              </w:rPr>
            </w:pPr>
            <w:r w:rsidRPr="003D34B4">
              <w:rPr>
                <w:b/>
                <w:spacing w:val="-2"/>
                <w:lang w:eastAsia="en-US"/>
              </w:rPr>
              <w:t xml:space="preserve">Evropa – salda hospodaření </w:t>
            </w:r>
            <w:r w:rsidR="00DF5343">
              <w:rPr>
                <w:b/>
                <w:spacing w:val="-2"/>
                <w:lang w:eastAsia="en-US"/>
              </w:rPr>
              <w:t xml:space="preserve">sektorů </w:t>
            </w:r>
            <w:r w:rsidRPr="003D34B4">
              <w:rPr>
                <w:b/>
                <w:spacing w:val="-2"/>
                <w:lang w:eastAsia="en-US"/>
              </w:rPr>
              <w:t xml:space="preserve">vládních </w:t>
            </w:r>
            <w:r w:rsidR="00DF5343">
              <w:rPr>
                <w:b/>
                <w:spacing w:val="-2"/>
                <w:lang w:eastAsia="en-US"/>
              </w:rPr>
              <w:t>institucí</w:t>
            </w:r>
            <w:r w:rsidRPr="003D34B4">
              <w:rPr>
                <w:b/>
                <w:spacing w:val="-2"/>
                <w:lang w:eastAsia="en-US"/>
              </w:rPr>
              <w:t xml:space="preserve"> v roce 2014 </w:t>
            </w:r>
          </w:p>
          <w:p w:rsidR="005D5A35" w:rsidRPr="003D34B4" w:rsidRDefault="005D5A35" w:rsidP="00DF5343">
            <w:pPr>
              <w:pStyle w:val="Textpoznpodarou"/>
              <w:rPr>
                <w:spacing w:val="-2"/>
                <w:lang w:eastAsia="en-US"/>
              </w:rPr>
            </w:pPr>
            <w:r w:rsidRPr="003D34B4">
              <w:rPr>
                <w:spacing w:val="-2"/>
                <w:lang w:eastAsia="en-US"/>
              </w:rPr>
              <w:t>(</w:t>
            </w:r>
            <w:r w:rsidR="007253C1">
              <w:rPr>
                <w:spacing w:val="-2"/>
                <w:lang w:eastAsia="en-US"/>
              </w:rPr>
              <w:t xml:space="preserve">v </w:t>
            </w:r>
            <w:r w:rsidRPr="003D34B4">
              <w:rPr>
                <w:spacing w:val="-2"/>
                <w:lang w:eastAsia="en-US"/>
              </w:rPr>
              <w:t xml:space="preserve">% </w:t>
            </w:r>
            <w:proofErr w:type="spellStart"/>
            <w:r w:rsidRPr="003D34B4">
              <w:rPr>
                <w:spacing w:val="-2"/>
                <w:lang w:eastAsia="en-US"/>
              </w:rPr>
              <w:t>nom</w:t>
            </w:r>
            <w:proofErr w:type="spellEnd"/>
            <w:r w:rsidRPr="003D34B4">
              <w:rPr>
                <w:spacing w:val="-2"/>
                <w:lang w:eastAsia="en-US"/>
              </w:rPr>
              <w:t>. HDP)</w:t>
            </w:r>
          </w:p>
        </w:tc>
      </w:tr>
      <w:tr w:rsidR="005D5A35" w:rsidRPr="007D44C3" w:rsidTr="00D93A51">
        <w:trPr>
          <w:trHeight w:val="3508"/>
        </w:trPr>
        <w:tc>
          <w:tcPr>
            <w:tcW w:w="2515" w:type="pct"/>
            <w:gridSpan w:val="5"/>
          </w:tcPr>
          <w:p w:rsidR="005D5A35" w:rsidRPr="003D34B4" w:rsidRDefault="00D93A51" w:rsidP="003D34B4">
            <w:pPr>
              <w:pStyle w:val="Textpoznpodarou"/>
              <w:jc w:val="both"/>
              <w:rPr>
                <w:sz w:val="22"/>
                <w:lang w:eastAsia="en-US"/>
              </w:rPr>
            </w:pPr>
            <w:r>
              <w:object w:dxaOrig="6855" w:dyaOrig="4950">
                <v:shape id="_x0000_i1508" type="#_x0000_t75" style="width:234pt;height:185.25pt" o:ole="">
                  <v:imagedata r:id="rId10" o:title=""/>
                </v:shape>
                <o:OLEObject Type="Embed" ProgID="PBrush" ShapeID="_x0000_i1508" DrawAspect="Content" ObjectID="_1499762841" r:id="rId11"/>
              </w:object>
            </w:r>
          </w:p>
        </w:tc>
        <w:tc>
          <w:tcPr>
            <w:tcW w:w="2485" w:type="pct"/>
            <w:gridSpan w:val="2"/>
          </w:tcPr>
          <w:p w:rsidR="005D5A35" w:rsidRPr="003D34B4" w:rsidRDefault="00D93A51" w:rsidP="00D2620E">
            <w:pPr>
              <w:pStyle w:val="Textpoznpodarou"/>
              <w:jc w:val="right"/>
              <w:rPr>
                <w:sz w:val="22"/>
                <w:lang w:eastAsia="en-US"/>
              </w:rPr>
            </w:pPr>
            <w:r>
              <w:object w:dxaOrig="6390" w:dyaOrig="5100">
                <v:shape id="_x0000_i1509" type="#_x0000_t75" style="width:233.25pt;height:185.25pt" o:ole="">
                  <v:imagedata r:id="rId12" o:title=""/>
                </v:shape>
                <o:OLEObject Type="Embed" ProgID="PBrush" ShapeID="_x0000_i1509" DrawAspect="Content" ObjectID="_1499762842" r:id="rId13"/>
              </w:object>
            </w:r>
          </w:p>
        </w:tc>
      </w:tr>
      <w:tr w:rsidR="005D5A35" w:rsidRPr="007D44C3" w:rsidTr="00D93A51">
        <w:tc>
          <w:tcPr>
            <w:tcW w:w="5000" w:type="pct"/>
            <w:gridSpan w:val="7"/>
          </w:tcPr>
          <w:p w:rsidR="00D93A51" w:rsidRDefault="00132665" w:rsidP="00D93A51">
            <w:pPr>
              <w:jc w:val="right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Zdroj</w:t>
            </w:r>
            <w:r w:rsidR="006E15CB" w:rsidRPr="006E15CB">
              <w:rPr>
                <w:sz w:val="18"/>
                <w:szCs w:val="18"/>
                <w:lang w:eastAsia="en-US"/>
              </w:rPr>
              <w:t xml:space="preserve">: </w:t>
            </w:r>
            <w:proofErr w:type="spellStart"/>
            <w:r w:rsidR="006E15CB" w:rsidRPr="006E15CB">
              <w:rPr>
                <w:sz w:val="18"/>
                <w:szCs w:val="18"/>
                <w:lang w:eastAsia="en-US"/>
              </w:rPr>
              <w:t>Eurostat</w:t>
            </w:r>
            <w:proofErr w:type="spellEnd"/>
          </w:p>
          <w:p w:rsidR="00D93A51" w:rsidRPr="006E15CB" w:rsidRDefault="00D93A51" w:rsidP="00D93A51">
            <w:pPr>
              <w:jc w:val="right"/>
              <w:rPr>
                <w:sz w:val="18"/>
                <w:szCs w:val="18"/>
                <w:lang w:eastAsia="en-US"/>
              </w:rPr>
            </w:pPr>
          </w:p>
        </w:tc>
      </w:tr>
      <w:tr w:rsidR="005D5A35" w:rsidRPr="00602D1D" w:rsidTr="00D93A51">
        <w:tblPrEx>
          <w:tblCellMar>
            <w:left w:w="28" w:type="dxa"/>
            <w:right w:w="28" w:type="dxa"/>
          </w:tblCellMar>
        </w:tblPrEx>
        <w:trPr>
          <w:gridBefore w:val="1"/>
          <w:wBefore w:w="55" w:type="pct"/>
        </w:trPr>
        <w:tc>
          <w:tcPr>
            <w:tcW w:w="1167" w:type="pct"/>
            <w:gridSpan w:val="2"/>
          </w:tcPr>
          <w:p w:rsidR="005D5A35" w:rsidRPr="00602D1D" w:rsidRDefault="005D5A35" w:rsidP="004701B6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U zemí ekonomicky i</w:t>
            </w:r>
            <w:r w:rsidR="008F41F7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teritoriálně blízkých docházelo</w:t>
            </w:r>
            <w:r w:rsidR="008F41F7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po krizi v roce 2009</w:t>
            </w:r>
            <w:r w:rsidR="008F41F7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ke zlepšování hospodaření jejich vládních sektorů, a to vesměs ve</w:t>
            </w:r>
            <w:r w:rsidR="008F41F7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 xml:space="preserve">srovnatelném měřítku </w:t>
            </w:r>
          </w:p>
          <w:p w:rsidR="005D5A35" w:rsidRPr="00602D1D" w:rsidRDefault="005D5A35" w:rsidP="004701B6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" w:type="pct"/>
          </w:tcPr>
          <w:p w:rsidR="005D5A35" w:rsidRDefault="005D5A35" w:rsidP="004701B6">
            <w:pPr>
              <w:pStyle w:val="Textpoznpodarou"/>
              <w:jc w:val="both"/>
            </w:pPr>
          </w:p>
        </w:tc>
        <w:tc>
          <w:tcPr>
            <w:tcW w:w="3727" w:type="pct"/>
            <w:gridSpan w:val="3"/>
          </w:tcPr>
          <w:p w:rsidR="005D5A35" w:rsidRDefault="005D5A35" w:rsidP="00DA7613">
            <w:pPr>
              <w:pStyle w:val="Textpoznpodarou"/>
              <w:jc w:val="both"/>
            </w:pPr>
            <w:r w:rsidRPr="00DA7613">
              <w:t xml:space="preserve">Obvyklá srovnání </w:t>
            </w:r>
            <w:r>
              <w:t xml:space="preserve">ČR se </w:t>
            </w:r>
            <w:r w:rsidRPr="00DA7613">
              <w:t>zem</w:t>
            </w:r>
            <w:r>
              <w:t>ěmi</w:t>
            </w:r>
            <w:r w:rsidRPr="00DA7613">
              <w:t xml:space="preserve"> sousední</w:t>
            </w:r>
            <w:r>
              <w:t>mi</w:t>
            </w:r>
            <w:r w:rsidRPr="00DA7613">
              <w:t xml:space="preserve"> anebo </w:t>
            </w:r>
            <w:r>
              <w:t>ekono</w:t>
            </w:r>
            <w:r w:rsidRPr="00DA7613">
              <w:t>micky „příbuzný</w:t>
            </w:r>
            <w:r>
              <w:t>mi</w:t>
            </w:r>
            <w:r w:rsidRPr="00DA7613">
              <w:t>“ ukazují</w:t>
            </w:r>
            <w:r>
              <w:t xml:space="preserve"> během dvou posledních dekád podobný vývoj hospodaření sektorů vládních institucí ČR, Polska a po převážnou část zvoleného období i Slovinska (z</w:t>
            </w:r>
            <w:r w:rsidR="008F41F7">
              <w:t> </w:t>
            </w:r>
            <w:r>
              <w:t>grafu 5 je patrný tento exces zapříčiněný sanací slovinských komerčních bank). Poněkud odlišné byly však deficity sektorů vládních institucí v poměru k HDP u</w:t>
            </w:r>
            <w:r w:rsidR="008F41F7">
              <w:t> </w:t>
            </w:r>
            <w:r>
              <w:t xml:space="preserve">Maďarska a Slovenska, které se oproti ostatním zemím uvedeným v grafu 5 vyznačovaly obecně větší hloubkou. Je to patné zejména v případě Slovenska s propady v letech 1998-2000. Poté se až do roku 2007 tato vnitřní nerovnováha na Slovensku velmi významně zredukovala, zřejmě i v důsledku reforem. </w:t>
            </w:r>
          </w:p>
          <w:p w:rsidR="005D5A35" w:rsidRPr="007910AE" w:rsidRDefault="005D5A35" w:rsidP="00DA7613">
            <w:pPr>
              <w:pStyle w:val="Textpoznpodarou"/>
              <w:jc w:val="both"/>
              <w:rPr>
                <w:sz w:val="12"/>
                <w:szCs w:val="12"/>
              </w:rPr>
            </w:pPr>
          </w:p>
          <w:p w:rsidR="005D5A35" w:rsidRPr="00602D1D" w:rsidRDefault="005D5A35" w:rsidP="00AA0A14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t xml:space="preserve">V období po krizi roku 2009 je </w:t>
            </w:r>
            <w:r w:rsidRPr="00DA7613">
              <w:t>trend ke zlepšování</w:t>
            </w:r>
            <w:r>
              <w:t xml:space="preserve"> deficitů sektorů vládních institucí středoevropských zemí </w:t>
            </w:r>
            <w:r w:rsidRPr="00DA7613">
              <w:t>obecným jevem</w:t>
            </w:r>
            <w:r>
              <w:t xml:space="preserve"> (graf 6). </w:t>
            </w:r>
            <w:r>
              <w:rPr>
                <w:color w:val="000000"/>
                <w:spacing w:val="-2"/>
              </w:rPr>
              <w:t xml:space="preserve"> </w:t>
            </w:r>
          </w:p>
        </w:tc>
      </w:tr>
    </w:tbl>
    <w:p w:rsidR="005D5A35" w:rsidRDefault="005D5A35" w:rsidP="00686D87">
      <w:r w:rsidRPr="00D2620E">
        <w:lastRenderedPageBreak/>
        <w:t>Graf č. 5:</w:t>
      </w:r>
      <w:r w:rsidRPr="00DA7613">
        <w:rPr>
          <w:b/>
        </w:rPr>
        <w:t xml:space="preserve"> Deficity sektorů vládních </w:t>
      </w:r>
      <w:r>
        <w:rPr>
          <w:b/>
        </w:rPr>
        <w:t xml:space="preserve">institucí </w:t>
      </w:r>
      <w:r w:rsidRPr="00DA7613">
        <w:rPr>
          <w:b/>
        </w:rPr>
        <w:t>vybraných zemí</w:t>
      </w:r>
      <w:r>
        <w:t xml:space="preserve"> (% nominálního HDP)</w:t>
      </w:r>
    </w:p>
    <w:p w:rsidR="005D5A35" w:rsidRPr="006D41A6" w:rsidRDefault="005D5A35" w:rsidP="00686D87">
      <w:pPr>
        <w:rPr>
          <w:sz w:val="4"/>
          <w:szCs w:val="4"/>
        </w:rPr>
      </w:pPr>
    </w:p>
    <w:p w:rsidR="005D5A35" w:rsidRDefault="00DE56AE" w:rsidP="00DA7613">
      <w:pPr>
        <w:jc w:val="center"/>
      </w:pPr>
      <w:r>
        <w:rPr>
          <w:noProof/>
        </w:rPr>
        <w:pict>
          <v:shape id="_x0000_i1510" type="#_x0000_t75" style="width:427.5pt;height:174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">
            <v:imagedata r:id="rId14" o:title=""/>
            <o:lock v:ext="edit" aspectratio="f"/>
          </v:shape>
        </w:pict>
      </w:r>
    </w:p>
    <w:p w:rsidR="006E15CB" w:rsidRDefault="00132665" w:rsidP="006E15CB">
      <w:pPr>
        <w:jc w:val="right"/>
        <w:rPr>
          <w:sz w:val="18"/>
          <w:szCs w:val="18"/>
        </w:rPr>
      </w:pPr>
      <w:r>
        <w:rPr>
          <w:sz w:val="18"/>
          <w:szCs w:val="18"/>
        </w:rPr>
        <w:t>Zdroj</w:t>
      </w:r>
      <w:r w:rsidR="006E15CB" w:rsidRPr="006E15CB">
        <w:rPr>
          <w:sz w:val="18"/>
          <w:szCs w:val="18"/>
        </w:rPr>
        <w:t xml:space="preserve">: </w:t>
      </w:r>
      <w:proofErr w:type="spellStart"/>
      <w:r w:rsidR="006E15CB" w:rsidRPr="006E15CB">
        <w:rPr>
          <w:sz w:val="18"/>
          <w:szCs w:val="18"/>
        </w:rPr>
        <w:t>Eurostat</w:t>
      </w:r>
      <w:proofErr w:type="spellEnd"/>
    </w:p>
    <w:p w:rsidR="006E15CB" w:rsidRPr="00BB19EC" w:rsidRDefault="006E15CB" w:rsidP="006E15CB">
      <w:pPr>
        <w:spacing w:line="240" w:lineRule="auto"/>
        <w:jc w:val="right"/>
        <w:rPr>
          <w:sz w:val="16"/>
          <w:szCs w:val="16"/>
        </w:rPr>
      </w:pPr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2037"/>
        <w:gridCol w:w="272"/>
        <w:gridCol w:w="7468"/>
      </w:tblGrid>
      <w:tr w:rsidR="005D5A35" w:rsidRPr="00602D1D" w:rsidTr="008C41F7">
        <w:tc>
          <w:tcPr>
            <w:tcW w:w="1042" w:type="pct"/>
          </w:tcPr>
          <w:p w:rsidR="005D5A35" w:rsidRPr="008F41F7" w:rsidRDefault="005D5A35" w:rsidP="004701B6">
            <w:pPr>
              <w:spacing w:line="240" w:lineRule="auto"/>
              <w:rPr>
                <w:color w:val="000000"/>
                <w:spacing w:val="-4"/>
                <w:sz w:val="16"/>
                <w:szCs w:val="16"/>
              </w:rPr>
            </w:pPr>
            <w:r w:rsidRPr="008F41F7">
              <w:rPr>
                <w:color w:val="000000"/>
                <w:spacing w:val="-4"/>
                <w:sz w:val="16"/>
                <w:szCs w:val="16"/>
              </w:rPr>
              <w:t>Výrazná sezónnost výdajů vlády v ČR patrná vždy v</w:t>
            </w:r>
            <w:r w:rsidR="008F41F7">
              <w:rPr>
                <w:color w:val="000000"/>
                <w:spacing w:val="-4"/>
                <w:sz w:val="16"/>
                <w:szCs w:val="16"/>
              </w:rPr>
              <w:t> </w:t>
            </w:r>
            <w:r w:rsidRPr="008F41F7">
              <w:rPr>
                <w:color w:val="000000"/>
                <w:spacing w:val="-4"/>
                <w:sz w:val="16"/>
                <w:szCs w:val="16"/>
              </w:rPr>
              <w:t>posledních čtvrtletích roku</w:t>
            </w:r>
          </w:p>
          <w:p w:rsidR="005D5A35" w:rsidRPr="00602D1D" w:rsidRDefault="005D5A35" w:rsidP="004701B6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9" w:type="pct"/>
          </w:tcPr>
          <w:p w:rsidR="005D5A35" w:rsidRDefault="005D5A35" w:rsidP="004701B6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Pr="00FF21B9" w:rsidRDefault="005D5A35" w:rsidP="007910AE">
            <w:pPr>
              <w:pStyle w:val="Textpoznpodarou"/>
              <w:jc w:val="both"/>
            </w:pPr>
            <w:r>
              <w:t>Sezónnost především u celkových výdajů sektoru vládních institucí, projevující se vysokými výdaji hlavně v posledním čtvrtletí, je patrná i z vývoje v roce 2014 (graf 7). Je však vidět i nárůst příjmů v té době.</w:t>
            </w:r>
          </w:p>
        </w:tc>
      </w:tr>
    </w:tbl>
    <w:p w:rsidR="005D5A35" w:rsidRPr="00266591" w:rsidRDefault="005D5A35" w:rsidP="00686D87">
      <w:pPr>
        <w:rPr>
          <w:sz w:val="16"/>
          <w:szCs w:val="16"/>
        </w:rPr>
      </w:pPr>
    </w:p>
    <w:tbl>
      <w:tblPr>
        <w:tblW w:w="4946" w:type="pct"/>
        <w:tblLook w:val="00A0"/>
      </w:tblPr>
      <w:tblGrid>
        <w:gridCol w:w="920"/>
        <w:gridCol w:w="153"/>
        <w:gridCol w:w="1023"/>
        <w:gridCol w:w="299"/>
        <w:gridCol w:w="2529"/>
        <w:gridCol w:w="96"/>
        <w:gridCol w:w="880"/>
        <w:gridCol w:w="100"/>
        <w:gridCol w:w="3842"/>
      </w:tblGrid>
      <w:tr w:rsidR="005D5A35" w:rsidRPr="003D4760" w:rsidTr="00266591">
        <w:tc>
          <w:tcPr>
            <w:tcW w:w="553" w:type="pct"/>
            <w:gridSpan w:val="2"/>
          </w:tcPr>
          <w:p w:rsidR="005D5A35" w:rsidRPr="003D34B4" w:rsidRDefault="005D5A35" w:rsidP="004701B6">
            <w:pPr>
              <w:pStyle w:val="Textpoznpodarou"/>
              <w:rPr>
                <w:lang w:eastAsia="en-US"/>
              </w:rPr>
            </w:pPr>
            <w:r w:rsidRPr="003D34B4">
              <w:rPr>
                <w:lang w:eastAsia="en-US"/>
              </w:rPr>
              <w:t>Graf č. 6</w:t>
            </w:r>
          </w:p>
        </w:tc>
        <w:tc>
          <w:tcPr>
            <w:tcW w:w="2035" w:type="pct"/>
            <w:gridSpan w:val="4"/>
          </w:tcPr>
          <w:p w:rsidR="005D5A35" w:rsidRPr="003D34B4" w:rsidRDefault="005D5A35" w:rsidP="00BF1D58">
            <w:pPr>
              <w:pStyle w:val="Textpoznpodarou"/>
              <w:rPr>
                <w:lang w:eastAsia="en-US"/>
              </w:rPr>
            </w:pPr>
            <w:r w:rsidRPr="003D34B4">
              <w:rPr>
                <w:b/>
                <w:lang w:eastAsia="en-US"/>
              </w:rPr>
              <w:t>Deficity sektorů vládních</w:t>
            </w:r>
            <w:r>
              <w:rPr>
                <w:b/>
                <w:lang w:eastAsia="en-US"/>
              </w:rPr>
              <w:t xml:space="preserve"> institucí</w:t>
            </w:r>
            <w:r w:rsidRPr="003D34B4">
              <w:rPr>
                <w:b/>
                <w:lang w:eastAsia="en-US"/>
              </w:rPr>
              <w:t xml:space="preserve"> středoevropských zemí </w:t>
            </w:r>
            <w:r w:rsidRPr="003D34B4">
              <w:rPr>
                <w:lang w:eastAsia="en-US"/>
              </w:rPr>
              <w:t xml:space="preserve">(% </w:t>
            </w:r>
            <w:proofErr w:type="spellStart"/>
            <w:r w:rsidRPr="003D34B4">
              <w:rPr>
                <w:lang w:eastAsia="en-US"/>
              </w:rPr>
              <w:t>nom</w:t>
            </w:r>
            <w:proofErr w:type="spellEnd"/>
            <w:r w:rsidRPr="003D34B4">
              <w:rPr>
                <w:lang w:eastAsia="en-US"/>
              </w:rPr>
              <w:t>. HDP)</w:t>
            </w:r>
          </w:p>
        </w:tc>
        <w:tc>
          <w:tcPr>
            <w:tcW w:w="490" w:type="pct"/>
            <w:gridSpan w:val="2"/>
          </w:tcPr>
          <w:p w:rsidR="005D5A35" w:rsidRPr="003D34B4" w:rsidRDefault="005D5A35" w:rsidP="00D2620E">
            <w:pPr>
              <w:pStyle w:val="Textpoznpodarou"/>
              <w:rPr>
                <w:lang w:eastAsia="en-US"/>
              </w:rPr>
            </w:pPr>
            <w:r w:rsidRPr="003D34B4">
              <w:rPr>
                <w:lang w:eastAsia="en-US"/>
              </w:rPr>
              <w:t>Graf č.</w:t>
            </w:r>
            <w:r w:rsidR="00D2620E">
              <w:rPr>
                <w:lang w:eastAsia="en-US"/>
              </w:rPr>
              <w:t> </w:t>
            </w:r>
            <w:r w:rsidRPr="003D34B4">
              <w:rPr>
                <w:lang w:eastAsia="en-US"/>
              </w:rPr>
              <w:t>7</w:t>
            </w:r>
          </w:p>
        </w:tc>
        <w:tc>
          <w:tcPr>
            <w:tcW w:w="1922" w:type="pct"/>
          </w:tcPr>
          <w:p w:rsidR="005D5A35" w:rsidRPr="003D34B4" w:rsidRDefault="005D5A35" w:rsidP="00DF5343">
            <w:pPr>
              <w:pStyle w:val="Textpoznpodarou"/>
              <w:rPr>
                <w:spacing w:val="-2"/>
                <w:lang w:eastAsia="en-US"/>
              </w:rPr>
            </w:pPr>
            <w:r w:rsidRPr="003D34B4">
              <w:rPr>
                <w:b/>
                <w:spacing w:val="-2"/>
                <w:lang w:eastAsia="en-US"/>
              </w:rPr>
              <w:t>2014 - Příjmy a výdaje sektoru vládní</w:t>
            </w:r>
            <w:r>
              <w:rPr>
                <w:b/>
                <w:spacing w:val="-2"/>
                <w:lang w:eastAsia="en-US"/>
              </w:rPr>
              <w:t>c</w:t>
            </w:r>
            <w:r w:rsidRPr="003D34B4">
              <w:rPr>
                <w:b/>
                <w:spacing w:val="-2"/>
                <w:lang w:eastAsia="en-US"/>
              </w:rPr>
              <w:t>h</w:t>
            </w:r>
            <w:r>
              <w:rPr>
                <w:b/>
                <w:spacing w:val="-2"/>
                <w:lang w:eastAsia="en-US"/>
              </w:rPr>
              <w:t xml:space="preserve"> institucí</w:t>
            </w:r>
            <w:r w:rsidRPr="003D34B4">
              <w:rPr>
                <w:b/>
                <w:spacing w:val="-2"/>
                <w:lang w:eastAsia="en-US"/>
              </w:rPr>
              <w:t xml:space="preserve"> a ústřední</w:t>
            </w:r>
            <w:r w:rsidR="00DF5343">
              <w:rPr>
                <w:b/>
                <w:spacing w:val="-2"/>
                <w:lang w:eastAsia="en-US"/>
              </w:rPr>
              <w:t xml:space="preserve">ch </w:t>
            </w:r>
            <w:r w:rsidRPr="003D34B4">
              <w:rPr>
                <w:b/>
                <w:spacing w:val="-2"/>
                <w:lang w:eastAsia="en-US"/>
              </w:rPr>
              <w:t>vlád</w:t>
            </w:r>
            <w:r w:rsidR="00DF5343">
              <w:rPr>
                <w:b/>
                <w:spacing w:val="-2"/>
                <w:lang w:eastAsia="en-US"/>
              </w:rPr>
              <w:t>ních institucí</w:t>
            </w:r>
            <w:r w:rsidRPr="003D34B4">
              <w:rPr>
                <w:b/>
                <w:spacing w:val="-2"/>
                <w:lang w:eastAsia="en-US"/>
              </w:rPr>
              <w:t xml:space="preserve"> </w:t>
            </w:r>
            <w:r w:rsidRPr="003D34B4">
              <w:rPr>
                <w:spacing w:val="-2"/>
                <w:lang w:eastAsia="en-US"/>
              </w:rPr>
              <w:t>(v mil. korun)</w:t>
            </w:r>
          </w:p>
        </w:tc>
      </w:tr>
      <w:tr w:rsidR="005D5A35" w:rsidRPr="007D44C3" w:rsidTr="00266591">
        <w:trPr>
          <w:trHeight w:val="3728"/>
        </w:trPr>
        <w:tc>
          <w:tcPr>
            <w:tcW w:w="2588" w:type="pct"/>
            <w:gridSpan w:val="6"/>
          </w:tcPr>
          <w:p w:rsidR="005D5A35" w:rsidRPr="003D34B4" w:rsidRDefault="00266591" w:rsidP="00D2620E">
            <w:pPr>
              <w:pStyle w:val="Textpoznpodarou"/>
              <w:rPr>
                <w:sz w:val="22"/>
                <w:lang w:eastAsia="en-US"/>
              </w:rPr>
            </w:pPr>
            <w:r>
              <w:object w:dxaOrig="6810" w:dyaOrig="5160">
                <v:shape id="_x0000_i1511" type="#_x0000_t75" style="width:232.5pt;height:186pt" o:ole="">
                  <v:imagedata r:id="rId15" o:title=""/>
                </v:shape>
                <o:OLEObject Type="Embed" ProgID="PBrush" ShapeID="_x0000_i1511" DrawAspect="Content" ObjectID="_1499762843" r:id="rId16"/>
              </w:object>
            </w:r>
          </w:p>
        </w:tc>
        <w:tc>
          <w:tcPr>
            <w:tcW w:w="2412" w:type="pct"/>
            <w:gridSpan w:val="3"/>
          </w:tcPr>
          <w:p w:rsidR="005D5A35" w:rsidRPr="003D34B4" w:rsidRDefault="00266591" w:rsidP="00266591">
            <w:pPr>
              <w:pStyle w:val="Textpoznpodarou"/>
              <w:jc w:val="right"/>
              <w:rPr>
                <w:sz w:val="22"/>
                <w:lang w:eastAsia="en-US"/>
              </w:rPr>
            </w:pPr>
            <w:r>
              <w:object w:dxaOrig="6570" w:dyaOrig="5205">
                <v:shape id="_x0000_i1512" type="#_x0000_t75" style="width:230.25pt;height:186pt" o:ole="">
                  <v:imagedata r:id="rId17" o:title=""/>
                </v:shape>
                <o:OLEObject Type="Embed" ProgID="PBrush" ShapeID="_x0000_i1512" DrawAspect="Content" ObjectID="_1499762844" r:id="rId18"/>
              </w:object>
            </w:r>
          </w:p>
        </w:tc>
      </w:tr>
      <w:tr w:rsidR="005D5A35" w:rsidRPr="007D44C3" w:rsidTr="00266591">
        <w:tc>
          <w:tcPr>
            <w:tcW w:w="5000" w:type="pct"/>
            <w:gridSpan w:val="9"/>
          </w:tcPr>
          <w:p w:rsidR="00D2620E" w:rsidRDefault="00132665" w:rsidP="003D34B4">
            <w:pPr>
              <w:pStyle w:val="Textpoznpodarou"/>
              <w:jc w:val="right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Zdroj</w:t>
            </w:r>
            <w:r w:rsidR="005D5A35" w:rsidRPr="003D34B4">
              <w:rPr>
                <w:sz w:val="18"/>
                <w:szCs w:val="18"/>
                <w:lang w:eastAsia="en-US"/>
              </w:rPr>
              <w:t xml:space="preserve">: </w:t>
            </w:r>
            <w:proofErr w:type="spellStart"/>
            <w:r w:rsidR="005D5A35" w:rsidRPr="003D34B4">
              <w:rPr>
                <w:sz w:val="18"/>
                <w:szCs w:val="18"/>
                <w:lang w:eastAsia="en-US"/>
              </w:rPr>
              <w:t>Eurostat</w:t>
            </w:r>
            <w:proofErr w:type="spellEnd"/>
            <w:r w:rsidR="005D5A35" w:rsidRPr="003D34B4">
              <w:rPr>
                <w:sz w:val="18"/>
                <w:szCs w:val="18"/>
                <w:lang w:eastAsia="en-US"/>
              </w:rPr>
              <w:t>, ČSÚ</w:t>
            </w:r>
          </w:p>
          <w:p w:rsidR="00D2620E" w:rsidRPr="00D2620E" w:rsidRDefault="00D2620E" w:rsidP="003D34B4">
            <w:pPr>
              <w:pStyle w:val="Textpoznpodarou"/>
              <w:jc w:val="right"/>
              <w:rPr>
                <w:sz w:val="14"/>
                <w:szCs w:val="14"/>
                <w:lang w:eastAsia="en-US"/>
              </w:rPr>
            </w:pPr>
          </w:p>
        </w:tc>
      </w:tr>
      <w:tr w:rsidR="005D5A35" w:rsidRPr="00602D1D" w:rsidTr="00266591">
        <w:tblPrEx>
          <w:tblCellMar>
            <w:left w:w="28" w:type="dxa"/>
            <w:right w:w="28" w:type="dxa"/>
          </w:tblCellMar>
        </w:tblPrEx>
        <w:tc>
          <w:tcPr>
            <w:tcW w:w="1080" w:type="pct"/>
            <w:gridSpan w:val="3"/>
          </w:tcPr>
          <w:p w:rsidR="005D5A35" w:rsidRPr="00602D1D" w:rsidRDefault="005D5A35" w:rsidP="0051266C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Vý</w:t>
            </w:r>
            <w:r w:rsidR="008C41F7">
              <w:rPr>
                <w:color w:val="000000"/>
                <w:sz w:val="16"/>
                <w:szCs w:val="16"/>
              </w:rPr>
              <w:t>daje sektoru vládních institucí</w:t>
            </w:r>
            <w:r>
              <w:rPr>
                <w:color w:val="000000"/>
                <w:sz w:val="16"/>
                <w:szCs w:val="16"/>
              </w:rPr>
              <w:t xml:space="preserve"> ČR v roce 2014 stouply meziročně o 4,7 %, když v roce 2013 o 3,3 % poklesly – zatímco tehdy se</w:t>
            </w:r>
            <w:r w:rsidR="0051266C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na jejich snížení podílel</w:t>
            </w:r>
            <w:r w:rsidR="0051266C">
              <w:rPr>
                <w:color w:val="000000"/>
                <w:sz w:val="16"/>
                <w:szCs w:val="16"/>
              </w:rPr>
              <w:t> </w:t>
            </w:r>
            <w:proofErr w:type="spellStart"/>
            <w:r>
              <w:rPr>
                <w:color w:val="000000"/>
                <w:sz w:val="16"/>
                <w:szCs w:val="16"/>
              </w:rPr>
              <w:t>subsektor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ústřední vlády (-4,9 % y/y), v roce 2014 se nejvíce meziročně zvedly výdaje místních vlád (+6,4 %) a fondů sociálního zabezpečení (+5,9 %)</w:t>
            </w: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4" w:type="pct"/>
          </w:tcPr>
          <w:p w:rsidR="005D5A35" w:rsidRDefault="005D5A35" w:rsidP="00D26579">
            <w:pPr>
              <w:pStyle w:val="Textpoznpodarou"/>
              <w:jc w:val="both"/>
            </w:pPr>
          </w:p>
        </w:tc>
        <w:tc>
          <w:tcPr>
            <w:tcW w:w="3765" w:type="pct"/>
            <w:gridSpan w:val="5"/>
          </w:tcPr>
          <w:p w:rsidR="005D5A35" w:rsidRDefault="005D5A35" w:rsidP="0080798B">
            <w:pPr>
              <w:pStyle w:val="Textpoznpodarou"/>
              <w:jc w:val="both"/>
            </w:pPr>
            <w:r>
              <w:t>Pokud jde o celkové výdaje a data o meziročních tempech v jejich struktuře</w:t>
            </w:r>
            <w:r w:rsidR="008C41F7">
              <w:t>, pak sektor vládních institucí</w:t>
            </w:r>
            <w:r>
              <w:t xml:space="preserve"> ČR vydal v roce 2014 celkem proti roku 2013 více o 4,7 %, přičemž nejrychleji rostly výdaje místních vlád (+6,4 %, tj. o 25 mld. korun) a fondů sociálního zabezpečení (+5,9 %, tj. o 13,5 mld. korun). I když zvětšení výdajů ústředních vládních institucí bylo co </w:t>
            </w:r>
            <w:r w:rsidR="00214ED2">
              <w:t xml:space="preserve">do </w:t>
            </w:r>
            <w:r>
              <w:t xml:space="preserve">procentní dynamiky nižší (+3,6 % meziročně), vzhledem k proporci tohoto </w:t>
            </w:r>
            <w:proofErr w:type="spellStart"/>
            <w:r>
              <w:t>subsektoru</w:t>
            </w:r>
            <w:proofErr w:type="spellEnd"/>
            <w:r>
              <w:t xml:space="preserve"> na celkových výdajích sektoru vládních institucí ČR byl jejich nominální přírůstek vysoký (+42,4 mld. korun). Participoval tak na celkovém zvýšení (+81 mld.) více než polovinou (z 52,3 %).</w:t>
            </w:r>
          </w:p>
          <w:p w:rsidR="005D5A35" w:rsidRPr="00266591" w:rsidRDefault="005D5A35" w:rsidP="0080798B">
            <w:pPr>
              <w:pStyle w:val="Textpoznpodarou"/>
              <w:jc w:val="both"/>
            </w:pPr>
          </w:p>
          <w:p w:rsidR="005D5A35" w:rsidRDefault="005D5A35" w:rsidP="0080798B">
            <w:pPr>
              <w:pStyle w:val="Textpoznpodarou"/>
              <w:jc w:val="both"/>
            </w:pPr>
            <w:r>
              <w:t>Vývoj výdajů sektoru vládních institucí ČR v roce 2014 nebyl tak příznivý jako v roce 2013, neboť tehdy celkové výdaje klesly o 3,3 % vlivem jejich poklesu v </w:t>
            </w:r>
            <w:proofErr w:type="spellStart"/>
            <w:r>
              <w:t>subsektoru</w:t>
            </w:r>
            <w:proofErr w:type="spellEnd"/>
            <w:r>
              <w:t xml:space="preserve"> ústřední vlády (-4,9 %). Mírné zvýšení tehdy zaznamenaly výdaje místních vlád (+2% proti roku 2012). </w:t>
            </w:r>
          </w:p>
          <w:p w:rsidR="005D5A35" w:rsidRPr="00D2620E" w:rsidRDefault="005D5A35" w:rsidP="0080798B">
            <w:pPr>
              <w:pStyle w:val="Textpoznpodarou"/>
              <w:jc w:val="both"/>
              <w:rPr>
                <w:color w:val="000000"/>
                <w:spacing w:val="-2"/>
                <w:sz w:val="14"/>
                <w:szCs w:val="14"/>
              </w:rPr>
            </w:pPr>
            <w:r>
              <w:t xml:space="preserve"> </w:t>
            </w:r>
          </w:p>
        </w:tc>
      </w:tr>
      <w:tr w:rsidR="005D5A35" w:rsidRPr="00602D1D" w:rsidTr="00266591">
        <w:tblPrEx>
          <w:tblCellMar>
            <w:left w:w="28" w:type="dxa"/>
            <w:right w:w="28" w:type="dxa"/>
          </w:tblCellMar>
        </w:tblPrEx>
        <w:tc>
          <w:tcPr>
            <w:tcW w:w="1080" w:type="pct"/>
            <w:gridSpan w:val="3"/>
          </w:tcPr>
          <w:p w:rsidR="005D5A35" w:rsidRPr="00602D1D" w:rsidRDefault="005D5A35" w:rsidP="00BB19EC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Nejvíce se na výdajích sektoru vládních institucí podílí sociální sféra - z</w:t>
            </w:r>
            <w:r w:rsidR="00BB19EC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32</w:t>
            </w:r>
            <w:r w:rsidR="00BB19EC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 xml:space="preserve">% v roce 2013, její podíl na výdajích samotné ústřední </w:t>
            </w:r>
            <w:r>
              <w:rPr>
                <w:color w:val="000000"/>
                <w:sz w:val="16"/>
                <w:szCs w:val="16"/>
              </w:rPr>
              <w:lastRenderedPageBreak/>
              <w:t>vlády však činil 44 %</w:t>
            </w:r>
          </w:p>
        </w:tc>
        <w:tc>
          <w:tcPr>
            <w:tcW w:w="154" w:type="pct"/>
          </w:tcPr>
          <w:p w:rsidR="005D5A35" w:rsidRDefault="005D5A35" w:rsidP="000A4B3E">
            <w:pPr>
              <w:pStyle w:val="Textpoznpodarou"/>
              <w:jc w:val="both"/>
            </w:pPr>
          </w:p>
        </w:tc>
        <w:tc>
          <w:tcPr>
            <w:tcW w:w="3765" w:type="pct"/>
            <w:gridSpan w:val="5"/>
          </w:tcPr>
          <w:p w:rsidR="005D5A35" w:rsidRDefault="005D5A35" w:rsidP="00D2620E">
            <w:pPr>
              <w:pStyle w:val="Textpoznpodarou"/>
              <w:jc w:val="both"/>
            </w:pPr>
            <w:r>
              <w:t>Co se hlavních položek výdajů sektoru vládních institucí týká, data v klasifikaci COFOG dostupná za rok 2013 uvádějí nejvyšší vý</w:t>
            </w:r>
            <w:r w:rsidR="00214ED2">
              <w:t xml:space="preserve">daje v položce „Sociální věci“ </w:t>
            </w:r>
            <w:r>
              <w:t>32</w:t>
            </w:r>
            <w:r w:rsidR="0051266C">
              <w:t> </w:t>
            </w:r>
            <w:r>
              <w:t>%, tj. 544 mld. (z toho s</w:t>
            </w:r>
            <w:r w:rsidR="0051266C">
              <w:t>amotn</w:t>
            </w:r>
            <w:r w:rsidR="00DF5343">
              <w:t xml:space="preserve">é </w:t>
            </w:r>
            <w:r w:rsidR="0051266C">
              <w:t>ústřední vlád</w:t>
            </w:r>
            <w:r w:rsidR="00DF5343">
              <w:t>ní instituce</w:t>
            </w:r>
            <w:r w:rsidR="0051266C">
              <w:t xml:space="preserve"> 522,8 mld.</w:t>
            </w:r>
            <w:r>
              <w:t xml:space="preserve"> korun). Na </w:t>
            </w:r>
            <w:r w:rsidR="00DF5343">
              <w:t>n</w:t>
            </w:r>
            <w:r>
              <w:t xml:space="preserve">ich se položka „Stáří“ podílí 325 miliardami (ústřední vláda 317 mld. korun), </w:t>
            </w:r>
            <w:r>
              <w:lastRenderedPageBreak/>
              <w:t xml:space="preserve">položka „Nemoc a invalidita“ 90 mld. (resp. 84 mld. korun) a položka „Rodina a děti“ 54 mld. (resp. 48 miliardami korun vydávaných </w:t>
            </w:r>
            <w:proofErr w:type="spellStart"/>
            <w:r>
              <w:t>subsektorem</w:t>
            </w:r>
            <w:proofErr w:type="spellEnd"/>
            <w:r>
              <w:t xml:space="preserve"> ústřední vlády).</w:t>
            </w:r>
          </w:p>
          <w:p w:rsidR="00266591" w:rsidRPr="00960239" w:rsidRDefault="00266591" w:rsidP="00D2620E">
            <w:pPr>
              <w:pStyle w:val="Textpoznpodarou"/>
              <w:jc w:val="both"/>
            </w:pPr>
          </w:p>
        </w:tc>
      </w:tr>
      <w:tr w:rsidR="005D5A35" w:rsidRPr="00960239" w:rsidTr="00266591">
        <w:tblPrEx>
          <w:tblCellMar>
            <w:left w:w="28" w:type="dxa"/>
            <w:right w:w="28" w:type="dxa"/>
          </w:tblCellMar>
        </w:tblPrEx>
        <w:tc>
          <w:tcPr>
            <w:tcW w:w="1080" w:type="pct"/>
            <w:gridSpan w:val="3"/>
          </w:tcPr>
          <w:p w:rsidR="005D5A35" w:rsidRPr="00602D1D" w:rsidRDefault="005D5A35" w:rsidP="00A82A03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Objemy mezd (náhrad zaměstnancům) vyplacené v </w:t>
            </w:r>
            <w:proofErr w:type="spellStart"/>
            <w:r>
              <w:rPr>
                <w:color w:val="000000"/>
                <w:sz w:val="16"/>
                <w:szCs w:val="16"/>
              </w:rPr>
              <w:t>subsektoru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ústřední vlády byly v roce 2014 (154 mld. korun) prakticky totožné s objemy vyplácenými na úrovni místních vládních institucí (obcí, krajů), tj. 146 mld. korun</w:t>
            </w:r>
          </w:p>
        </w:tc>
        <w:tc>
          <w:tcPr>
            <w:tcW w:w="154" w:type="pct"/>
          </w:tcPr>
          <w:p w:rsidR="005D5A35" w:rsidRDefault="005D5A35" w:rsidP="000A4B3E">
            <w:pPr>
              <w:pStyle w:val="Textpoznpodarou"/>
              <w:jc w:val="both"/>
            </w:pPr>
          </w:p>
        </w:tc>
        <w:tc>
          <w:tcPr>
            <w:tcW w:w="3765" w:type="pct"/>
            <w:gridSpan w:val="5"/>
          </w:tcPr>
          <w:p w:rsidR="005D5A35" w:rsidRPr="005D5B8F" w:rsidRDefault="005D5A35" w:rsidP="000A4B3E">
            <w:pPr>
              <w:pStyle w:val="Textpoznpodarou"/>
              <w:jc w:val="both"/>
              <w:rPr>
                <w:spacing w:val="-2"/>
              </w:rPr>
            </w:pPr>
            <w:r w:rsidRPr="005D5B8F">
              <w:rPr>
                <w:spacing w:val="-2"/>
              </w:rPr>
              <w:t>Ačkoli se má za to, že velká většina lidí pracujících ve vládním sektoru jsou zaměstnanci státu (sektoru ústřední vlády), z objemu vyplácených náhrad zaměstnancům plyne, že rozdíl není příliš veliký. V roce 2014 totiž vyplatila ústřední vláda v náhradách zaměstnancům 154 mld. korun (tj. zhruba 12 % svých celkových výdajů), ale místní vlády prakticky totéž, tj. 146 mld. korun představujících 34 % jejich celkových výdajů. Nepoměr v procentním zastoupení je logický, neboť ústřední vláda má na starosti mj. výdaje sociálního charakteru jako nejsilnější výdajové položky, výdaje na obranu a jiné položky soustředěné na centrální úrovni, což modifikuje výsledný procentní podíl. Z a</w:t>
            </w:r>
            <w:r w:rsidR="005D5B8F" w:rsidRPr="005D5B8F">
              <w:rPr>
                <w:spacing w:val="-2"/>
              </w:rPr>
              <w:t>bsolutních hodnot je však patrný rozsah</w:t>
            </w:r>
            <w:r w:rsidRPr="005D5B8F">
              <w:rPr>
                <w:spacing w:val="-2"/>
              </w:rPr>
              <w:t xml:space="preserve"> „personální</w:t>
            </w:r>
            <w:r w:rsidR="005D5B8F" w:rsidRPr="005D5B8F">
              <w:rPr>
                <w:spacing w:val="-2"/>
              </w:rPr>
              <w:t>ho</w:t>
            </w:r>
            <w:r w:rsidRPr="005D5B8F">
              <w:rPr>
                <w:spacing w:val="-2"/>
              </w:rPr>
              <w:t xml:space="preserve"> zajištění“ fungování sektoru místních vlád</w:t>
            </w:r>
            <w:r w:rsidR="005D5B8F" w:rsidRPr="005D5B8F">
              <w:rPr>
                <w:spacing w:val="-2"/>
              </w:rPr>
              <w:t>ních institucí</w:t>
            </w:r>
            <w:r w:rsidRPr="005D5B8F">
              <w:rPr>
                <w:spacing w:val="-2"/>
              </w:rPr>
              <w:t>.</w:t>
            </w:r>
          </w:p>
          <w:p w:rsidR="005D5A35" w:rsidRPr="008C41F7" w:rsidRDefault="005D5A35" w:rsidP="000A4B3E">
            <w:pPr>
              <w:pStyle w:val="Textpoznpodarou"/>
              <w:jc w:val="both"/>
            </w:pPr>
          </w:p>
          <w:p w:rsidR="005D5A35" w:rsidRPr="00960239" w:rsidRDefault="005D5A35" w:rsidP="000A4B3E">
            <w:pPr>
              <w:pStyle w:val="Textpoznpodarou"/>
              <w:jc w:val="both"/>
            </w:pPr>
            <w:r>
              <w:t xml:space="preserve">Zaměstnanci fondů sociálního zabezpečení získali v roce 2014 v podobě náhrad 3,8 mld. korun, což spolu s výše zmíněnými </w:t>
            </w:r>
            <w:proofErr w:type="spellStart"/>
            <w:r>
              <w:t>subsektory</w:t>
            </w:r>
            <w:proofErr w:type="spellEnd"/>
            <w:r>
              <w:t xml:space="preserve"> představovalo celkové náhrady zaměstnancům v uvedeném roce ve výši 304 mld. korun. Bylo to necelých 17 % celkových výdajů sektoru vládních institucí ČR v daném roce. </w:t>
            </w:r>
            <w:r w:rsidRPr="00960239">
              <w:t xml:space="preserve"> </w:t>
            </w:r>
          </w:p>
          <w:p w:rsidR="005D5A35" w:rsidRPr="00960239" w:rsidRDefault="005D5A35" w:rsidP="000A4B3E">
            <w:pPr>
              <w:pStyle w:val="Textpoznpodarou"/>
              <w:jc w:val="both"/>
            </w:pPr>
          </w:p>
        </w:tc>
      </w:tr>
      <w:tr w:rsidR="005D5A35" w:rsidRPr="00960239" w:rsidTr="00266591">
        <w:tblPrEx>
          <w:tblCellMar>
            <w:left w:w="28" w:type="dxa"/>
            <w:right w:w="28" w:type="dxa"/>
          </w:tblCellMar>
        </w:tblPrEx>
        <w:tc>
          <w:tcPr>
            <w:tcW w:w="1080" w:type="pct"/>
            <w:gridSpan w:val="3"/>
          </w:tcPr>
          <w:p w:rsidR="005D5A35" w:rsidRDefault="005D5A35" w:rsidP="00F35395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Od roku 1993 do roku 2014 se objem vyplácených náhrad zaměstnancům sektoru vládních institucí</w:t>
            </w:r>
            <w:r w:rsidR="00F62807">
              <w:rPr>
                <w:color w:val="000000"/>
                <w:sz w:val="16"/>
                <w:szCs w:val="16"/>
              </w:rPr>
              <w:t xml:space="preserve"> zvýšil</w:t>
            </w:r>
            <w:r>
              <w:rPr>
                <w:color w:val="000000"/>
                <w:sz w:val="16"/>
                <w:szCs w:val="16"/>
              </w:rPr>
              <w:t xml:space="preserve"> více než čtyřikrát, což bylo mírně více než za</w:t>
            </w:r>
            <w:r w:rsidR="00F35395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českou ekonomiku jako celek</w:t>
            </w:r>
          </w:p>
        </w:tc>
        <w:tc>
          <w:tcPr>
            <w:tcW w:w="154" w:type="pct"/>
          </w:tcPr>
          <w:p w:rsidR="005D5A35" w:rsidRDefault="005D5A35" w:rsidP="000A4B3E">
            <w:pPr>
              <w:pStyle w:val="Textpoznpodarou"/>
              <w:jc w:val="both"/>
            </w:pPr>
          </w:p>
        </w:tc>
        <w:tc>
          <w:tcPr>
            <w:tcW w:w="3765" w:type="pct"/>
            <w:gridSpan w:val="5"/>
          </w:tcPr>
          <w:p w:rsidR="005D5A35" w:rsidRDefault="005D5A35" w:rsidP="00DC0BB4">
            <w:pPr>
              <w:pStyle w:val="Textpoznpodarou"/>
              <w:jc w:val="both"/>
            </w:pPr>
            <w:r>
              <w:t>Porovnáme-li vývoj vyplácených náhrad zaměstnancům vládního sektoru v dosažitelné časové řadě, tj. od roku 1993, je zřejmé, že jejich výše stoupla za</w:t>
            </w:r>
            <w:r w:rsidR="00F35395">
              <w:t> </w:t>
            </w:r>
            <w:r>
              <w:t>uvedené období 4,05krát, zatímco</w:t>
            </w:r>
            <w:r w:rsidR="00C93679">
              <w:t xml:space="preserve"> za</w:t>
            </w:r>
            <w:r>
              <w:t xml:space="preserve"> ekonomiku jako celek jen 3,73krát. Tuto skutečnost je však třeba korigovat faktem, že přírůstek za celou ekonomiku byl významně ovlivněn přírůstkem vyplácených náhrad v sektoru domácností (živnosti). Ten se totiž za období 1993-2014 zvýšil jen 1,36krát. Přitom nefinanční podniky vyplatily zaměstnancům v podobě náhrad téměř čtyřikrát více (3,87krát) než v roce 1993 a finanční instituce dokonce skoro pětkrát více (4,82 krát více). V těchto přírůstcích a proporcích hraje samozřejmě roli, kromě průměrné mzdy, i</w:t>
            </w:r>
            <w:r w:rsidR="00F35395">
              <w:t> </w:t>
            </w:r>
            <w:r>
              <w:t>vývoj počtu</w:t>
            </w:r>
            <w:r w:rsidR="00D2620E">
              <w:t> </w:t>
            </w:r>
            <w:r>
              <w:t xml:space="preserve">zaměstnanců.   </w:t>
            </w:r>
          </w:p>
          <w:p w:rsidR="005D5A35" w:rsidRDefault="005D5A35" w:rsidP="006D41A6">
            <w:pPr>
              <w:pStyle w:val="Textpoznpodarou"/>
              <w:jc w:val="both"/>
            </w:pPr>
          </w:p>
        </w:tc>
      </w:tr>
      <w:tr w:rsidR="005D5A35" w:rsidRPr="00960239" w:rsidTr="00266591">
        <w:tblPrEx>
          <w:tblCellMar>
            <w:left w:w="28" w:type="dxa"/>
            <w:right w:w="28" w:type="dxa"/>
          </w:tblCellMar>
        </w:tblPrEx>
        <w:tc>
          <w:tcPr>
            <w:tcW w:w="1080" w:type="pct"/>
            <w:gridSpan w:val="3"/>
          </w:tcPr>
          <w:p w:rsidR="005D5A35" w:rsidRPr="00602D1D" w:rsidRDefault="005D5A35" w:rsidP="00CB5B25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Teprve v roce 2013 získali zaměstnanci sektoru vládních institucí na mzdách (v podobě náhrad zaměstnancům) více peněz než v roce 2009, a to nepatrně </w:t>
            </w:r>
          </w:p>
          <w:p w:rsidR="005D5A35" w:rsidRDefault="005D5A35" w:rsidP="00A82A03">
            <w:pPr>
              <w:spacing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4" w:type="pct"/>
          </w:tcPr>
          <w:p w:rsidR="005D5A35" w:rsidRDefault="005D5A35" w:rsidP="000A4B3E">
            <w:pPr>
              <w:pStyle w:val="Textpoznpodarou"/>
              <w:jc w:val="both"/>
            </w:pPr>
          </w:p>
        </w:tc>
        <w:tc>
          <w:tcPr>
            <w:tcW w:w="3765" w:type="pct"/>
            <w:gridSpan w:val="5"/>
          </w:tcPr>
          <w:p w:rsidR="005D5A35" w:rsidRDefault="005D5A35" w:rsidP="00C53F31">
            <w:pPr>
              <w:pStyle w:val="Textpoznpodarou"/>
              <w:jc w:val="both"/>
            </w:pPr>
            <w:r>
              <w:t>Nepříznivý ekonomický vývoj zasáhl po roce 2009 výplaty náhrad zaměstnancům v</w:t>
            </w:r>
            <w:r w:rsidR="00F35395">
              <w:t> </w:t>
            </w:r>
            <w:r>
              <w:t xml:space="preserve">sektoru vládních institucí do té míry, že teprve v roce 2013 dosáhly úrovně roku 2009 (293,6 mld. korun proti 293 mld. korun v roce 2009), jak je vidět z grafu 8. V roce 2014 byly náhrady zaměstnancům meziročně vyšší o 3,9 % v největším meziročním růstu od roku 2009. V něm totiž vyplacené náhrady zaměstnancům </w:t>
            </w:r>
            <w:r w:rsidR="00C93679">
              <w:t>vzrostly, i přes krizi, o 4,7 %</w:t>
            </w:r>
            <w:r>
              <w:t xml:space="preserve"> - s přičiněním legislativních změn v sociální </w:t>
            </w:r>
            <w:r w:rsidR="008C41F7">
              <w:t>oblasti. Za</w:t>
            </w:r>
            <w:r w:rsidR="00C93679">
              <w:t> </w:t>
            </w:r>
            <w:r w:rsidR="008C41F7">
              <w:t>posledních pět let,</w:t>
            </w:r>
            <w:r>
              <w:t xml:space="preserve"> v období 2010-2014, činil přírůstek náhrad v průměru ročně jen +1 % (bez zahrnutí roku 2014</w:t>
            </w:r>
            <w:r w:rsidR="008C41F7">
              <w:t xml:space="preserve"> ale pouze stagnoval na +0,1 %</w:t>
            </w:r>
            <w:r>
              <w:t xml:space="preserve">). </w:t>
            </w:r>
          </w:p>
          <w:p w:rsidR="005D5A35" w:rsidRPr="008C41F7" w:rsidRDefault="005D5A35" w:rsidP="00C53F31">
            <w:pPr>
              <w:pStyle w:val="Textpoznpodarou"/>
              <w:jc w:val="both"/>
            </w:pPr>
          </w:p>
          <w:p w:rsidR="005D5A35" w:rsidRDefault="005D5A35" w:rsidP="00C53F31">
            <w:pPr>
              <w:pStyle w:val="Textpoznpodarou"/>
              <w:jc w:val="both"/>
            </w:pPr>
            <w:r>
              <w:t xml:space="preserve">To ostře kontrastovalo s vývojem </w:t>
            </w:r>
            <w:r w:rsidR="00214ED2">
              <w:t xml:space="preserve">v </w:t>
            </w:r>
            <w:r>
              <w:t>let</w:t>
            </w:r>
            <w:r w:rsidR="00214ED2">
              <w:t>ech</w:t>
            </w:r>
            <w:r>
              <w:t xml:space="preserve"> 2005-2009, kdy vyplacené náhrady rostly v</w:t>
            </w:r>
            <w:r w:rsidR="00F35395">
              <w:t> </w:t>
            </w:r>
            <w:r>
              <w:t xml:space="preserve">průměru ročně o 7,1 % anebo s obdobím 2000-2004, kdy byl růst mezd v sektoru vládních institucí </w:t>
            </w:r>
            <w:r w:rsidR="00214ED2">
              <w:t xml:space="preserve">velmi </w:t>
            </w:r>
            <w:r>
              <w:t>v</w:t>
            </w:r>
            <w:r w:rsidR="00214ED2">
              <w:t>ysoký</w:t>
            </w:r>
            <w:r>
              <w:t xml:space="preserve"> (ročně v průměru o více než desetinu, tj. +10,1 %). </w:t>
            </w:r>
          </w:p>
          <w:p w:rsidR="005D5A35" w:rsidRPr="008C41F7" w:rsidRDefault="005D5A35" w:rsidP="00C53F31">
            <w:pPr>
              <w:pStyle w:val="Textpoznpodarou"/>
              <w:jc w:val="both"/>
            </w:pPr>
          </w:p>
          <w:p w:rsidR="005D5A35" w:rsidRDefault="005D5A35" w:rsidP="00C53F31">
            <w:pPr>
              <w:pStyle w:val="Textpoznpodarou"/>
              <w:jc w:val="both"/>
            </w:pPr>
            <w:r>
              <w:t>Zatímco ve dvou obdobích předchozí dekády rostly náhrady zaměstnancům vládního sektoru (tj. zmíněných +10,1 %, resp. +7,1 %) vesměs rychleji než za</w:t>
            </w:r>
            <w:r w:rsidR="00F35395">
              <w:t> </w:t>
            </w:r>
            <w:r>
              <w:t>ekonomiku jako celek (+8,8 %, resp. +6,7 %), v období po krizi 2009 tomu bylo</w:t>
            </w:r>
            <w:r w:rsidR="00F35395">
              <w:t> </w:t>
            </w:r>
            <w:r>
              <w:t>naopak (graf 9). Jestliže pracovníkům sektoru v</w:t>
            </w:r>
            <w:r w:rsidR="00F35395">
              <w:t>ládních insti</w:t>
            </w:r>
            <w:r>
              <w:t>t</w:t>
            </w:r>
            <w:r w:rsidR="00F35395">
              <w:t>u</w:t>
            </w:r>
            <w:r>
              <w:t xml:space="preserve">cí rostly za roky 2010-2014  náhrady v průměru ročně o 1 %, v ekonomice jako celku o 2,2 %. Příčinou byly snahy o konsolidaci veřejných rozpočtů v ČR.    </w:t>
            </w:r>
          </w:p>
          <w:p w:rsidR="005D5A35" w:rsidRDefault="005D5A35" w:rsidP="00C53F31">
            <w:pPr>
              <w:pStyle w:val="Textpoznpodarou"/>
              <w:jc w:val="both"/>
            </w:pPr>
          </w:p>
        </w:tc>
      </w:tr>
      <w:tr w:rsidR="005D5A35" w:rsidRPr="00960239" w:rsidTr="00266591">
        <w:tblPrEx>
          <w:tblCellMar>
            <w:left w:w="28" w:type="dxa"/>
            <w:right w:w="28" w:type="dxa"/>
          </w:tblCellMar>
        </w:tblPrEx>
        <w:tc>
          <w:tcPr>
            <w:tcW w:w="1080" w:type="pct"/>
            <w:gridSpan w:val="3"/>
          </w:tcPr>
          <w:p w:rsidR="005D5A35" w:rsidRPr="00602D1D" w:rsidRDefault="005D5A35" w:rsidP="000A4B3E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Čisté příjmy z majetku vládního sektoru záporné</w:t>
            </w: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  <w:p w:rsidR="005D5A35" w:rsidRPr="00602D1D" w:rsidRDefault="005D5A35" w:rsidP="000A4B3E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4" w:type="pct"/>
          </w:tcPr>
          <w:p w:rsidR="005D5A35" w:rsidRDefault="005D5A35" w:rsidP="000A4B3E">
            <w:pPr>
              <w:pStyle w:val="Textpoznpodarou"/>
              <w:jc w:val="both"/>
            </w:pPr>
          </w:p>
        </w:tc>
        <w:tc>
          <w:tcPr>
            <w:tcW w:w="3765" w:type="pct"/>
            <w:gridSpan w:val="5"/>
          </w:tcPr>
          <w:p w:rsidR="009F408C" w:rsidRDefault="005D5A35" w:rsidP="00A82A03">
            <w:pPr>
              <w:pStyle w:val="Textpoznpodarou"/>
              <w:jc w:val="both"/>
            </w:pPr>
            <w:r>
              <w:t xml:space="preserve">Otázka, zda sektor </w:t>
            </w:r>
            <w:r w:rsidR="005D5B8F">
              <w:t xml:space="preserve">vládních institucí </w:t>
            </w:r>
            <w:r>
              <w:t>získává příjmy z majetku v rozsahu, který může významnější měrou ovlivnit jeho prvotní důchody, je podle dat za rok 2014 bohužel zodpověditelná v záporném slova smyslu. Přijaté důchody z vlastnictví sice činily téměř 37 mld. korun (z toho u ústřední</w:t>
            </w:r>
            <w:r w:rsidR="005D5B8F">
              <w:t>ch</w:t>
            </w:r>
            <w:r>
              <w:t xml:space="preserve"> </w:t>
            </w:r>
            <w:r w:rsidR="005D5B8F">
              <w:t>vládních institucí</w:t>
            </w:r>
            <w:r>
              <w:t xml:space="preserve"> 29 mld.), ovšem placené důchody z vlastnictví - především placené úroky – převýšily v uved</w:t>
            </w:r>
            <w:r w:rsidR="008C41F7">
              <w:t>eném roce 56 mld. korun. Čisté</w:t>
            </w:r>
            <w:r>
              <w:t xml:space="preserve"> příjmy z majetku vládních institucí tak byly záporné (-20,4 mld.). Jen místní vládní instituce a fondy sociálního zabezpečení zaznamenaly čisté kladné příjmy ve výši 5,8 mld., resp. 0,2 mld. korun. </w:t>
            </w:r>
          </w:p>
          <w:p w:rsidR="005D5A35" w:rsidRDefault="005D5A35" w:rsidP="00A82A03">
            <w:pPr>
              <w:pStyle w:val="Textpoznpodarou"/>
              <w:jc w:val="both"/>
            </w:pPr>
            <w:r>
              <w:t xml:space="preserve">  </w:t>
            </w:r>
            <w:r w:rsidRPr="00960239">
              <w:t xml:space="preserve"> </w:t>
            </w:r>
          </w:p>
          <w:p w:rsidR="00C9531C" w:rsidRDefault="00C9531C" w:rsidP="00A82A03">
            <w:pPr>
              <w:pStyle w:val="Textpoznpodarou"/>
              <w:jc w:val="both"/>
            </w:pPr>
          </w:p>
          <w:p w:rsidR="00D2620E" w:rsidRDefault="00D2620E" w:rsidP="00A82A03">
            <w:pPr>
              <w:pStyle w:val="Textpoznpodarou"/>
              <w:jc w:val="both"/>
            </w:pPr>
          </w:p>
          <w:p w:rsidR="00D2620E" w:rsidRPr="00960239" w:rsidRDefault="00D2620E" w:rsidP="00A82A03">
            <w:pPr>
              <w:pStyle w:val="Textpoznpodarou"/>
              <w:jc w:val="both"/>
            </w:pPr>
          </w:p>
        </w:tc>
      </w:tr>
      <w:tr w:rsidR="005D5A35" w:rsidRPr="00C53F31" w:rsidTr="00266591">
        <w:tc>
          <w:tcPr>
            <w:tcW w:w="474" w:type="pct"/>
          </w:tcPr>
          <w:p w:rsidR="005D5A35" w:rsidRPr="003D34B4" w:rsidRDefault="005D5A35" w:rsidP="00D2620E">
            <w:pPr>
              <w:pStyle w:val="Textpoznpodarou"/>
              <w:rPr>
                <w:lang w:eastAsia="en-US"/>
              </w:rPr>
            </w:pPr>
            <w:r w:rsidRPr="003D34B4">
              <w:rPr>
                <w:lang w:eastAsia="en-US"/>
              </w:rPr>
              <w:lastRenderedPageBreak/>
              <w:t>Graf č.</w:t>
            </w:r>
            <w:r w:rsidR="00D2620E">
              <w:rPr>
                <w:lang w:eastAsia="en-US"/>
              </w:rPr>
              <w:t> </w:t>
            </w:r>
            <w:r w:rsidRPr="003D34B4">
              <w:rPr>
                <w:lang w:eastAsia="en-US"/>
              </w:rPr>
              <w:t>8</w:t>
            </w:r>
          </w:p>
        </w:tc>
        <w:tc>
          <w:tcPr>
            <w:tcW w:w="2063" w:type="pct"/>
            <w:gridSpan w:val="4"/>
          </w:tcPr>
          <w:p w:rsidR="005D5A35" w:rsidRPr="003D34B4" w:rsidRDefault="005D5A35" w:rsidP="002B28A4">
            <w:pPr>
              <w:pStyle w:val="Textpoznpodarou"/>
              <w:rPr>
                <w:lang w:eastAsia="en-US"/>
              </w:rPr>
            </w:pPr>
            <w:r w:rsidRPr="003D34B4">
              <w:rPr>
                <w:b/>
                <w:lang w:eastAsia="en-US"/>
              </w:rPr>
              <w:t>Náhrady zaměstnancům sektoru vládní</w:t>
            </w:r>
            <w:r>
              <w:rPr>
                <w:b/>
                <w:lang w:eastAsia="en-US"/>
              </w:rPr>
              <w:t>c</w:t>
            </w:r>
            <w:r w:rsidRPr="003D34B4">
              <w:rPr>
                <w:b/>
                <w:lang w:eastAsia="en-US"/>
              </w:rPr>
              <w:t>h</w:t>
            </w:r>
            <w:r>
              <w:rPr>
                <w:b/>
                <w:lang w:eastAsia="en-US"/>
              </w:rPr>
              <w:t xml:space="preserve"> institucí</w:t>
            </w:r>
            <w:r w:rsidRPr="003D34B4">
              <w:rPr>
                <w:lang w:eastAsia="en-US"/>
              </w:rPr>
              <w:t xml:space="preserve"> (v mil. korun)</w:t>
            </w:r>
          </w:p>
        </w:tc>
        <w:tc>
          <w:tcPr>
            <w:tcW w:w="491" w:type="pct"/>
            <w:gridSpan w:val="2"/>
          </w:tcPr>
          <w:p w:rsidR="005D5A35" w:rsidRPr="003D34B4" w:rsidRDefault="005D5A35" w:rsidP="00D2620E">
            <w:pPr>
              <w:pStyle w:val="Textpoznpodarou"/>
              <w:rPr>
                <w:lang w:eastAsia="en-US"/>
              </w:rPr>
            </w:pPr>
            <w:r w:rsidRPr="003D34B4">
              <w:rPr>
                <w:lang w:eastAsia="en-US"/>
              </w:rPr>
              <w:t>Graf č.</w:t>
            </w:r>
            <w:r w:rsidR="00D2620E">
              <w:rPr>
                <w:lang w:eastAsia="en-US"/>
              </w:rPr>
              <w:t> </w:t>
            </w:r>
            <w:r w:rsidRPr="003D34B4">
              <w:rPr>
                <w:lang w:eastAsia="en-US"/>
              </w:rPr>
              <w:t>9</w:t>
            </w:r>
          </w:p>
        </w:tc>
        <w:tc>
          <w:tcPr>
            <w:tcW w:w="1971" w:type="pct"/>
            <w:gridSpan w:val="2"/>
          </w:tcPr>
          <w:p w:rsidR="005D5A35" w:rsidRPr="003D34B4" w:rsidRDefault="005D5A35" w:rsidP="002B28A4">
            <w:pPr>
              <w:pStyle w:val="Textpoznpodarou"/>
              <w:rPr>
                <w:b/>
                <w:spacing w:val="-2"/>
                <w:lang w:eastAsia="en-US"/>
              </w:rPr>
            </w:pPr>
            <w:r w:rsidRPr="003D34B4">
              <w:rPr>
                <w:b/>
                <w:spacing w:val="-2"/>
                <w:lang w:eastAsia="en-US"/>
              </w:rPr>
              <w:t xml:space="preserve">Náhrady zaměstnancům </w:t>
            </w:r>
            <w:r w:rsidRPr="003D34B4">
              <w:rPr>
                <w:spacing w:val="-2"/>
                <w:lang w:eastAsia="en-US"/>
              </w:rPr>
              <w:t>(sektor vládní</w:t>
            </w:r>
            <w:r>
              <w:rPr>
                <w:spacing w:val="-2"/>
                <w:lang w:eastAsia="en-US"/>
              </w:rPr>
              <w:t>ch institucí</w:t>
            </w:r>
            <w:r w:rsidRPr="003D34B4">
              <w:rPr>
                <w:spacing w:val="-2"/>
                <w:lang w:eastAsia="en-US"/>
              </w:rPr>
              <w:t>, ekonomika celkem, y/y v %)</w:t>
            </w:r>
            <w:r w:rsidRPr="003D34B4">
              <w:rPr>
                <w:b/>
                <w:spacing w:val="-2"/>
                <w:lang w:eastAsia="en-US"/>
              </w:rPr>
              <w:t xml:space="preserve"> </w:t>
            </w:r>
          </w:p>
        </w:tc>
      </w:tr>
      <w:tr w:rsidR="005D5A35" w:rsidRPr="007D44C3" w:rsidTr="00266591">
        <w:tc>
          <w:tcPr>
            <w:tcW w:w="2537" w:type="pct"/>
            <w:gridSpan w:val="5"/>
          </w:tcPr>
          <w:p w:rsidR="005D5A35" w:rsidRPr="003D34B4" w:rsidRDefault="00DE56AE" w:rsidP="003D34B4">
            <w:pPr>
              <w:pStyle w:val="Textpoznpodarou"/>
              <w:jc w:val="both"/>
              <w:rPr>
                <w:sz w:val="22"/>
                <w:lang w:eastAsia="en-US"/>
              </w:rPr>
            </w:pPr>
            <w:r w:rsidRPr="00FE2BC2">
              <w:rPr>
                <w:noProof/>
                <w:sz w:val="22"/>
              </w:rPr>
              <w:pict>
                <v:shape id="_x0000_i1513" type="#_x0000_t75" style="width:235.5pt;height:192pt;visibility:visible">
                  <v:imagedata r:id="rId19" o:title=""/>
                </v:shape>
              </w:pict>
            </w:r>
          </w:p>
        </w:tc>
        <w:tc>
          <w:tcPr>
            <w:tcW w:w="2463" w:type="pct"/>
            <w:gridSpan w:val="4"/>
          </w:tcPr>
          <w:p w:rsidR="005D5A35" w:rsidRPr="003D34B4" w:rsidRDefault="00DE56AE" w:rsidP="003D34B4">
            <w:pPr>
              <w:pStyle w:val="Textpoznpodarou"/>
              <w:jc w:val="both"/>
              <w:rPr>
                <w:sz w:val="22"/>
                <w:lang w:eastAsia="en-US"/>
              </w:rPr>
            </w:pPr>
            <w:r w:rsidRPr="00FE2BC2">
              <w:rPr>
                <w:noProof/>
                <w:sz w:val="22"/>
              </w:rPr>
              <w:pict>
                <v:shape id="_x0000_i1514" type="#_x0000_t75" style="width:234.75pt;height:192pt;visibility:visible">
                  <v:imagedata r:id="rId20" o:title=""/>
                </v:shape>
              </w:pict>
            </w:r>
          </w:p>
        </w:tc>
      </w:tr>
      <w:tr w:rsidR="005D5A35" w:rsidRPr="007D44C3" w:rsidTr="00266591">
        <w:tc>
          <w:tcPr>
            <w:tcW w:w="5000" w:type="pct"/>
            <w:gridSpan w:val="9"/>
          </w:tcPr>
          <w:p w:rsidR="005D5A35" w:rsidRPr="003D34B4" w:rsidRDefault="005D5A35" w:rsidP="003D34B4">
            <w:pPr>
              <w:pStyle w:val="Textpoznpodarou"/>
              <w:jc w:val="right"/>
              <w:rPr>
                <w:sz w:val="18"/>
                <w:szCs w:val="18"/>
                <w:lang w:eastAsia="en-US"/>
              </w:rPr>
            </w:pPr>
            <w:r w:rsidRPr="003D34B4">
              <w:rPr>
                <w:sz w:val="18"/>
                <w:szCs w:val="18"/>
                <w:lang w:eastAsia="en-US"/>
              </w:rPr>
              <w:t xml:space="preserve">Zdroj: ČSÚ, </w:t>
            </w:r>
            <w:proofErr w:type="spellStart"/>
            <w:r w:rsidRPr="003D34B4">
              <w:rPr>
                <w:sz w:val="18"/>
                <w:szCs w:val="18"/>
                <w:lang w:eastAsia="en-US"/>
              </w:rPr>
              <w:t>Eurostat</w:t>
            </w:r>
            <w:proofErr w:type="spellEnd"/>
          </w:p>
          <w:p w:rsidR="005D5A35" w:rsidRPr="003D34B4" w:rsidRDefault="005D5A35" w:rsidP="003D34B4">
            <w:pPr>
              <w:pStyle w:val="Textpoznpodarou"/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:rsidR="005D5A35" w:rsidRPr="000A4B3E" w:rsidRDefault="005D5A35" w:rsidP="00686D87">
      <w:pPr>
        <w:rPr>
          <w:sz w:val="4"/>
          <w:szCs w:val="4"/>
        </w:rPr>
      </w:pPr>
    </w:p>
    <w:p w:rsidR="005D5A35" w:rsidRPr="00C0165A" w:rsidRDefault="005D5A35" w:rsidP="008B0C8B">
      <w:pPr>
        <w:pStyle w:val="Nadpis3"/>
        <w:numPr>
          <w:ilvl w:val="3"/>
          <w:numId w:val="6"/>
        </w:numPr>
        <w:rPr>
          <w:color w:val="auto"/>
          <w:sz w:val="20"/>
          <w:szCs w:val="20"/>
        </w:rPr>
      </w:pPr>
      <w:bookmarkStart w:id="4" w:name="_Toc426017669"/>
      <w:r w:rsidRPr="00C0165A">
        <w:rPr>
          <w:color w:val="auto"/>
          <w:sz w:val="20"/>
          <w:szCs w:val="20"/>
        </w:rPr>
        <w:t>Hrubý konsolidovaný dluh sektoru</w:t>
      </w:r>
      <w:r w:rsidR="005D5B8F" w:rsidRPr="005D5B8F">
        <w:rPr>
          <w:color w:val="auto"/>
          <w:sz w:val="20"/>
          <w:szCs w:val="20"/>
        </w:rPr>
        <w:t xml:space="preserve"> </w:t>
      </w:r>
      <w:r w:rsidR="005D5B8F" w:rsidRPr="00C0165A">
        <w:rPr>
          <w:color w:val="auto"/>
          <w:sz w:val="20"/>
          <w:szCs w:val="20"/>
        </w:rPr>
        <w:t>vládní</w:t>
      </w:r>
      <w:r w:rsidR="005D5B8F">
        <w:rPr>
          <w:color w:val="auto"/>
          <w:sz w:val="20"/>
          <w:szCs w:val="20"/>
        </w:rPr>
        <w:t>c</w:t>
      </w:r>
      <w:r w:rsidR="005D5B8F" w:rsidRPr="00C0165A">
        <w:rPr>
          <w:color w:val="auto"/>
          <w:sz w:val="20"/>
          <w:szCs w:val="20"/>
        </w:rPr>
        <w:t>h</w:t>
      </w:r>
      <w:r w:rsidR="005D5B8F">
        <w:rPr>
          <w:color w:val="auto"/>
          <w:sz w:val="20"/>
          <w:szCs w:val="20"/>
        </w:rPr>
        <w:t xml:space="preserve"> institucí</w:t>
      </w:r>
      <w:bookmarkEnd w:id="4"/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2037"/>
        <w:gridCol w:w="272"/>
        <w:gridCol w:w="7468"/>
      </w:tblGrid>
      <w:tr w:rsidR="005D5A35" w:rsidRPr="00602D1D" w:rsidTr="008E30AD">
        <w:tc>
          <w:tcPr>
            <w:tcW w:w="1042" w:type="pct"/>
          </w:tcPr>
          <w:p w:rsidR="005D5A35" w:rsidRPr="00602D1D" w:rsidRDefault="005D5A35" w:rsidP="00D26579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Zadluženost sektoru vládních institucí ČR se v roce 2014 po sedmnácti letech růstu meziročně snížila o 23,6 mld. korun na</w:t>
            </w:r>
            <w:r w:rsidR="00E03BFF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 xml:space="preserve">1 816,1 mld. korun </w:t>
            </w: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  <w:p w:rsidR="005D5A35" w:rsidRPr="00602D1D" w:rsidRDefault="005D5A35" w:rsidP="00D26579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9" w:type="pct"/>
          </w:tcPr>
          <w:p w:rsidR="005D5A35" w:rsidRDefault="005D5A35" w:rsidP="00D26579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8E30AD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Dynamika zadlužování sektoru vládních institucí České </w:t>
            </w:r>
            <w:r w:rsidR="006E15CB">
              <w:rPr>
                <w:color w:val="000000"/>
                <w:spacing w:val="-2"/>
              </w:rPr>
              <w:t>republiky zaznamenala poprvé po</w:t>
            </w:r>
            <w:r>
              <w:rPr>
                <w:color w:val="000000"/>
                <w:spacing w:val="-2"/>
              </w:rPr>
              <w:t xml:space="preserve"> sedmnácti letech významně pozitivní posun. Celkový hrubý konsolidovaný dluh vládního sektoru se v roce 2014 poprvé od roku 1997 meziročně snížil (graf </w:t>
            </w:r>
            <w:r w:rsidR="009F408C">
              <w:rPr>
                <w:color w:val="000000"/>
                <w:spacing w:val="-2"/>
              </w:rPr>
              <w:t>10</w:t>
            </w:r>
            <w:r>
              <w:rPr>
                <w:color w:val="000000"/>
                <w:spacing w:val="-2"/>
              </w:rPr>
              <w:t xml:space="preserve">). Koncem roku činil v nominálním vyjádření 1 816,1 mld. korun, zatímco v závěru roku 2013 to bylo 1 839,7 mld. korun. Snížení výše nominální zadluženosti o 1,3 % představovalo v absolutním vyjádření pokles o 23,6 mld. korun. </w:t>
            </w:r>
          </w:p>
          <w:p w:rsidR="005D5A35" w:rsidRPr="00E03E80" w:rsidRDefault="005D5A35" w:rsidP="008E30AD">
            <w:pPr>
              <w:pStyle w:val="Textpoznpodarou"/>
              <w:jc w:val="both"/>
              <w:rPr>
                <w:color w:val="000000"/>
                <w:spacing w:val="-2"/>
                <w:sz w:val="16"/>
                <w:szCs w:val="16"/>
              </w:rPr>
            </w:pPr>
          </w:p>
        </w:tc>
      </w:tr>
      <w:tr w:rsidR="005D5A35" w:rsidRPr="00602D1D" w:rsidTr="008E30AD">
        <w:tc>
          <w:tcPr>
            <w:tcW w:w="1042" w:type="pct"/>
          </w:tcPr>
          <w:p w:rsidR="005D5A35" w:rsidRPr="00602D1D" w:rsidRDefault="005D5A35" w:rsidP="00D26579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Úrokové náklady na obsluhu dluhu byly meziročně vyšší o 2,4 % a</w:t>
            </w:r>
            <w:r w:rsidR="00E03BFF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 xml:space="preserve">dosáhly 56,3 mld. korun </w:t>
            </w: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  <w:p w:rsidR="005D5A35" w:rsidRPr="00602D1D" w:rsidRDefault="005D5A35" w:rsidP="00D26579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9" w:type="pct"/>
          </w:tcPr>
          <w:p w:rsidR="005D5A35" w:rsidRDefault="005D5A35" w:rsidP="00D26579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284F79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I přes meziroční pokles zadluženosti činily náklady na obsluhu dluhu v podobě placených úroků v konsolidovaném vyjádření více než v roce předešlém (graf 12). Zatímco v roce 2013 zaplatila ČR na úrocích z dluhu necelých 55 mld. korun (rok předtím 57,8 mld.), v roce 2014 se nákladové úroky opět o více než miliardu zvýšily na 56,3 mld. korun (+2,4 %).  </w:t>
            </w:r>
          </w:p>
          <w:p w:rsidR="005D5A35" w:rsidRPr="00C408C3" w:rsidRDefault="005D5A35" w:rsidP="00284F79">
            <w:pPr>
              <w:pStyle w:val="Textpoznpodarou"/>
              <w:jc w:val="both"/>
              <w:rPr>
                <w:color w:val="000000"/>
                <w:spacing w:val="-2"/>
                <w:sz w:val="12"/>
                <w:szCs w:val="12"/>
              </w:rPr>
            </w:pPr>
          </w:p>
          <w:p w:rsidR="005D5A35" w:rsidRDefault="005D5A35" w:rsidP="00284F79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Ke snížení dluhu došlo i přesto, že deficit sektoru </w:t>
            </w:r>
            <w:r w:rsidR="005D5B8F">
              <w:rPr>
                <w:color w:val="000000"/>
                <w:spacing w:val="-2"/>
              </w:rPr>
              <w:t xml:space="preserve">vládních institucí </w:t>
            </w:r>
            <w:r>
              <w:rPr>
                <w:color w:val="000000"/>
                <w:spacing w:val="-2"/>
              </w:rPr>
              <w:t>stou</w:t>
            </w:r>
            <w:r w:rsidR="00214ED2">
              <w:rPr>
                <w:color w:val="000000"/>
                <w:spacing w:val="-2"/>
              </w:rPr>
              <w:t>pl. I když je tato skutečnost zdánlivě</w:t>
            </w:r>
            <w:r>
              <w:rPr>
                <w:color w:val="000000"/>
                <w:spacing w:val="-2"/>
              </w:rPr>
              <w:t xml:space="preserve"> nelogická, lze ji vysvětlit např. využitím úspor či prodejem majetku - v roce 2014 šlo o čerpání zůstatků na účtech vládních institucí</w:t>
            </w:r>
            <w:r>
              <w:rPr>
                <w:rStyle w:val="Znakapoznpodarou"/>
                <w:color w:val="000000"/>
                <w:spacing w:val="-2"/>
              </w:rPr>
              <w:footnoteReference w:id="2"/>
            </w:r>
            <w:r>
              <w:rPr>
                <w:color w:val="000000"/>
                <w:spacing w:val="-2"/>
              </w:rPr>
              <w:t xml:space="preserve">   </w:t>
            </w:r>
          </w:p>
          <w:p w:rsidR="005D5A35" w:rsidRPr="00602D1D" w:rsidRDefault="005D5A35" w:rsidP="00284F79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</w:t>
            </w:r>
          </w:p>
        </w:tc>
      </w:tr>
    </w:tbl>
    <w:p w:rsidR="005D5A35" w:rsidRPr="00350B0A" w:rsidRDefault="005D5A35" w:rsidP="00350B0A">
      <w:pPr>
        <w:spacing w:after="120"/>
        <w:rPr>
          <w:szCs w:val="20"/>
        </w:rPr>
      </w:pPr>
      <w:r w:rsidRPr="00535A51">
        <w:rPr>
          <w:szCs w:val="20"/>
        </w:rPr>
        <w:t>Graf 10:</w:t>
      </w:r>
      <w:r>
        <w:rPr>
          <w:b/>
          <w:szCs w:val="20"/>
        </w:rPr>
        <w:t xml:space="preserve"> Hrubý konso</w:t>
      </w:r>
      <w:r w:rsidRPr="00350B0A">
        <w:rPr>
          <w:b/>
          <w:szCs w:val="20"/>
        </w:rPr>
        <w:t>lidovaný dluh sektoru vládní</w:t>
      </w:r>
      <w:r>
        <w:rPr>
          <w:b/>
          <w:szCs w:val="20"/>
        </w:rPr>
        <w:t>c</w:t>
      </w:r>
      <w:r w:rsidRPr="00350B0A">
        <w:rPr>
          <w:b/>
          <w:szCs w:val="20"/>
        </w:rPr>
        <w:t>h</w:t>
      </w:r>
      <w:r>
        <w:rPr>
          <w:b/>
          <w:szCs w:val="20"/>
        </w:rPr>
        <w:t xml:space="preserve"> institucí </w:t>
      </w:r>
      <w:r w:rsidRPr="00350B0A">
        <w:rPr>
          <w:b/>
          <w:szCs w:val="20"/>
        </w:rPr>
        <w:t>ČR</w:t>
      </w:r>
      <w:r>
        <w:rPr>
          <w:b/>
          <w:szCs w:val="20"/>
        </w:rPr>
        <w:t xml:space="preserve"> </w:t>
      </w:r>
      <w:r>
        <w:rPr>
          <w:szCs w:val="20"/>
        </w:rPr>
        <w:t>(v mil. korun l. osa, y/y v % p. osa)</w:t>
      </w:r>
    </w:p>
    <w:p w:rsidR="005D5A35" w:rsidRDefault="00DE56AE" w:rsidP="00350B0A">
      <w:pPr>
        <w:spacing w:after="120"/>
        <w:jc w:val="center"/>
        <w:rPr>
          <w:b/>
          <w:color w:val="A6A6A6"/>
          <w:sz w:val="24"/>
        </w:rPr>
      </w:pPr>
      <w:r w:rsidRPr="00FE2BC2">
        <w:rPr>
          <w:b/>
          <w:noProof/>
          <w:color w:val="A6A6A6"/>
          <w:sz w:val="24"/>
        </w:rPr>
        <w:pict>
          <v:shape id="_x0000_i1515" type="#_x0000_t75" style="width:414.75pt;height:17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">
            <v:imagedata r:id="rId21" o:title=""/>
            <o:lock v:ext="edit" aspectratio="f"/>
          </v:shape>
        </w:pict>
      </w:r>
    </w:p>
    <w:p w:rsidR="00C9531C" w:rsidRPr="00871002" w:rsidRDefault="00871002" w:rsidP="007657B9">
      <w:pPr>
        <w:spacing w:after="120"/>
        <w:jc w:val="right"/>
        <w:rPr>
          <w:sz w:val="18"/>
          <w:szCs w:val="18"/>
        </w:rPr>
      </w:pPr>
      <w:r w:rsidRPr="00871002">
        <w:rPr>
          <w:sz w:val="18"/>
          <w:szCs w:val="18"/>
        </w:rPr>
        <w:t>Zdroj</w:t>
      </w:r>
      <w:r w:rsidR="005D5A35" w:rsidRPr="00871002">
        <w:rPr>
          <w:sz w:val="18"/>
          <w:szCs w:val="18"/>
        </w:rPr>
        <w:t>: ČSÚ</w:t>
      </w:r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2037"/>
        <w:gridCol w:w="272"/>
        <w:gridCol w:w="7468"/>
      </w:tblGrid>
      <w:tr w:rsidR="005D5A35" w:rsidRPr="00602D1D" w:rsidTr="00D26579">
        <w:tc>
          <w:tcPr>
            <w:tcW w:w="1042" w:type="pct"/>
          </w:tcPr>
          <w:p w:rsidR="005D5A35" w:rsidRPr="00602D1D" w:rsidRDefault="005D5A35" w:rsidP="00C408C3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Jiný způsob řízení zadluženost vedl k nižší potřebě využívání emisí dluhopisů, půjčky činily jen 11 % výše emitovaných cenných papírů vládních institucí</w:t>
            </w:r>
          </w:p>
        </w:tc>
        <w:tc>
          <w:tcPr>
            <w:tcW w:w="139" w:type="pct"/>
          </w:tcPr>
          <w:p w:rsidR="005D5A35" w:rsidRDefault="005D5A35" w:rsidP="00D26579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0047B7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Nižší potřeba emitovat dluhové cenné papíry se projevila v jejich meziročně nižším objemu (-1 %). V poměru k půjčkám jsou však emise cenných papírů vládního sektoru ČR stále vyšší - jestliže v roce 1995 činil poměr půjček k dluhopisům 61 %, v roce 2004 už jen 33 % a v roce 2014 činily půjčky vládního sektoru co do objemu jen 11 % výše emitovaných dluhových cenných papírů (graf 11). V absolutních hodnotách šlo o 181,6 mld. korun proti 1 624,6 mld. korun emitovaných dluhových cenných papírů. </w:t>
            </w:r>
          </w:p>
          <w:p w:rsidR="005D5A35" w:rsidRPr="00602D1D" w:rsidRDefault="005D5A35" w:rsidP="00D45046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</w:tc>
      </w:tr>
      <w:tr w:rsidR="005D5A35" w:rsidRPr="00602D1D" w:rsidTr="007655B1">
        <w:tc>
          <w:tcPr>
            <w:tcW w:w="1042" w:type="pct"/>
          </w:tcPr>
          <w:p w:rsidR="005D5A35" w:rsidRPr="00602D1D" w:rsidRDefault="005D5A35" w:rsidP="00FA5557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 poklesu emisí cenných papírů vládních institucí došlo poprvé od roku 1995</w:t>
            </w:r>
          </w:p>
        </w:tc>
        <w:tc>
          <w:tcPr>
            <w:tcW w:w="139" w:type="pct"/>
          </w:tcPr>
          <w:p w:rsidR="005D5A35" w:rsidRDefault="005D5A35" w:rsidP="00D26579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Pr="00602D1D" w:rsidRDefault="005D5A35" w:rsidP="00E603A8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Zatímco v případě půjček bylo patrné během posledních dvou dekád meziroční kolísání dynamiky, k poklesu objemu emitovaných cenných papírů došlo poprvé od roku 1995 (graf 13). Je však třeba mít na paměti, že snižování zadluženosti tímto způsobem má „technický“ c</w:t>
            </w:r>
            <w:r w:rsidR="007E1E50">
              <w:rPr>
                <w:color w:val="000000"/>
                <w:spacing w:val="-2"/>
              </w:rPr>
              <w:t>harakter (o faktické snížení jít</w:t>
            </w:r>
            <w:r>
              <w:rPr>
                <w:color w:val="000000"/>
                <w:spacing w:val="-2"/>
              </w:rPr>
              <w:t xml:space="preserve"> nemusí, neboť se „odložení“ dluhu přesouvá do dalšího období).   </w:t>
            </w:r>
          </w:p>
        </w:tc>
      </w:tr>
    </w:tbl>
    <w:p w:rsidR="005D5A35" w:rsidRDefault="005D5A35" w:rsidP="00686D87"/>
    <w:tbl>
      <w:tblPr>
        <w:tblW w:w="5000" w:type="pct"/>
        <w:tblLook w:val="00A0"/>
      </w:tblPr>
      <w:tblGrid>
        <w:gridCol w:w="817"/>
        <w:gridCol w:w="4124"/>
        <w:gridCol w:w="1112"/>
        <w:gridCol w:w="3801"/>
      </w:tblGrid>
      <w:tr w:rsidR="005D5A35" w:rsidRPr="00CD6FC4" w:rsidTr="005D5B8F">
        <w:tc>
          <w:tcPr>
            <w:tcW w:w="415" w:type="pct"/>
          </w:tcPr>
          <w:p w:rsidR="005D5A35" w:rsidRPr="003D34B4" w:rsidRDefault="005D5A35" w:rsidP="005D5B8F">
            <w:pPr>
              <w:pStyle w:val="Textpoznpodarou"/>
              <w:rPr>
                <w:lang w:eastAsia="en-US"/>
              </w:rPr>
            </w:pPr>
            <w:r w:rsidRPr="003D34B4">
              <w:rPr>
                <w:lang w:eastAsia="en-US"/>
              </w:rPr>
              <w:t>Graf č.</w:t>
            </w:r>
            <w:r w:rsidR="005D5B8F">
              <w:rPr>
                <w:lang w:eastAsia="en-US"/>
              </w:rPr>
              <w:t> </w:t>
            </w:r>
            <w:r w:rsidRPr="003D34B4">
              <w:rPr>
                <w:lang w:eastAsia="en-US"/>
              </w:rPr>
              <w:t>11</w:t>
            </w:r>
          </w:p>
        </w:tc>
        <w:tc>
          <w:tcPr>
            <w:tcW w:w="2093" w:type="pct"/>
          </w:tcPr>
          <w:p w:rsidR="005D5A35" w:rsidRPr="005D5B8F" w:rsidRDefault="005D5A35" w:rsidP="00D26579">
            <w:pPr>
              <w:pStyle w:val="Textpoznpodarou"/>
              <w:rPr>
                <w:lang w:eastAsia="en-US"/>
              </w:rPr>
            </w:pPr>
            <w:r w:rsidRPr="005D5B8F">
              <w:rPr>
                <w:b/>
                <w:lang w:eastAsia="en-US"/>
              </w:rPr>
              <w:t xml:space="preserve">Struktura dluhu sektoru vládních institucí podle instrumentů </w:t>
            </w:r>
            <w:r w:rsidRPr="005D5B8F">
              <w:rPr>
                <w:lang w:eastAsia="en-US"/>
              </w:rPr>
              <w:t>(v mil. korun)</w:t>
            </w:r>
          </w:p>
        </w:tc>
        <w:tc>
          <w:tcPr>
            <w:tcW w:w="564" w:type="pct"/>
          </w:tcPr>
          <w:p w:rsidR="005D5A35" w:rsidRPr="003D34B4" w:rsidRDefault="005D5A35" w:rsidP="00F25568">
            <w:pPr>
              <w:pStyle w:val="Textpoznpodarou"/>
              <w:rPr>
                <w:lang w:eastAsia="en-US"/>
              </w:rPr>
            </w:pPr>
            <w:r w:rsidRPr="003D34B4">
              <w:rPr>
                <w:lang w:eastAsia="en-US"/>
              </w:rPr>
              <w:t>Graf č. 12</w:t>
            </w:r>
          </w:p>
        </w:tc>
        <w:tc>
          <w:tcPr>
            <w:tcW w:w="1929" w:type="pct"/>
          </w:tcPr>
          <w:p w:rsidR="005D5A35" w:rsidRPr="003D34B4" w:rsidRDefault="005D5A35" w:rsidP="00D26579">
            <w:pPr>
              <w:pStyle w:val="Textpoznpodarou"/>
              <w:rPr>
                <w:b/>
                <w:spacing w:val="-2"/>
                <w:lang w:eastAsia="en-US"/>
              </w:rPr>
            </w:pPr>
            <w:r w:rsidRPr="003D34B4">
              <w:rPr>
                <w:b/>
                <w:spacing w:val="-2"/>
                <w:lang w:eastAsia="en-US"/>
              </w:rPr>
              <w:t>Vývoj úroků z dluhu sektoru vl</w:t>
            </w:r>
            <w:r w:rsidR="00935835">
              <w:rPr>
                <w:b/>
                <w:spacing w:val="-2"/>
                <w:lang w:eastAsia="en-US"/>
              </w:rPr>
              <w:t>ádních</w:t>
            </w:r>
            <w:r>
              <w:rPr>
                <w:b/>
                <w:spacing w:val="-2"/>
                <w:lang w:eastAsia="en-US"/>
              </w:rPr>
              <w:t xml:space="preserve"> institucí</w:t>
            </w:r>
            <w:r w:rsidRPr="003D34B4">
              <w:rPr>
                <w:b/>
                <w:spacing w:val="-2"/>
                <w:lang w:eastAsia="en-US"/>
              </w:rPr>
              <w:t xml:space="preserve"> </w:t>
            </w:r>
            <w:r w:rsidRPr="003D34B4">
              <w:rPr>
                <w:spacing w:val="-2"/>
                <w:lang w:eastAsia="en-US"/>
              </w:rPr>
              <w:t>(v mil. korun, dynamika y/y v %)</w:t>
            </w:r>
          </w:p>
        </w:tc>
      </w:tr>
      <w:tr w:rsidR="005D5A35" w:rsidRPr="007D44C3" w:rsidTr="005D5B8F">
        <w:tc>
          <w:tcPr>
            <w:tcW w:w="2507" w:type="pct"/>
            <w:gridSpan w:val="2"/>
          </w:tcPr>
          <w:p w:rsidR="005D5A35" w:rsidRPr="003D34B4" w:rsidRDefault="00DE56AE" w:rsidP="003D34B4">
            <w:pPr>
              <w:pStyle w:val="Textpoznpodarou"/>
              <w:jc w:val="both"/>
              <w:rPr>
                <w:sz w:val="22"/>
                <w:lang w:eastAsia="en-US"/>
              </w:rPr>
            </w:pPr>
            <w:r w:rsidRPr="00FE2BC2">
              <w:rPr>
                <w:noProof/>
                <w:sz w:val="22"/>
              </w:rPr>
              <w:pict>
                <v:shape id="_x0000_i1516" type="#_x0000_t75" style="width:234pt;height:187.5pt;visibility:visible">
                  <v:imagedata r:id="rId22" o:title=""/>
                </v:shape>
              </w:pict>
            </w:r>
          </w:p>
        </w:tc>
        <w:tc>
          <w:tcPr>
            <w:tcW w:w="2493" w:type="pct"/>
            <w:gridSpan w:val="2"/>
          </w:tcPr>
          <w:p w:rsidR="005D5A35" w:rsidRPr="003D34B4" w:rsidRDefault="00DE56AE" w:rsidP="003D34B4">
            <w:pPr>
              <w:pStyle w:val="Textpoznpodarou"/>
              <w:jc w:val="both"/>
              <w:rPr>
                <w:sz w:val="22"/>
                <w:lang w:eastAsia="en-US"/>
              </w:rPr>
            </w:pPr>
            <w:r w:rsidRPr="00FE2BC2">
              <w:rPr>
                <w:noProof/>
                <w:sz w:val="22"/>
              </w:rPr>
              <w:pict>
                <v:shape id="_x0000_i1517" type="#_x0000_t75" style="width:234.75pt;height:187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">
                  <v:imagedata r:id="rId23" o:title=""/>
                  <o:lock v:ext="edit" aspectratio="f"/>
                </v:shape>
              </w:pict>
            </w:r>
          </w:p>
        </w:tc>
      </w:tr>
      <w:tr w:rsidR="005D5A35" w:rsidRPr="007D44C3" w:rsidTr="003D34B4">
        <w:tc>
          <w:tcPr>
            <w:tcW w:w="5000" w:type="pct"/>
            <w:gridSpan w:val="4"/>
          </w:tcPr>
          <w:p w:rsidR="005D5A35" w:rsidRPr="003D34B4" w:rsidRDefault="005D5A35" w:rsidP="003D34B4">
            <w:pPr>
              <w:pStyle w:val="Textpoznpodarou"/>
              <w:jc w:val="right"/>
              <w:rPr>
                <w:sz w:val="18"/>
                <w:szCs w:val="18"/>
                <w:lang w:eastAsia="en-US"/>
              </w:rPr>
            </w:pPr>
            <w:r w:rsidRPr="003D34B4">
              <w:rPr>
                <w:sz w:val="18"/>
                <w:szCs w:val="18"/>
                <w:lang w:eastAsia="en-US"/>
              </w:rPr>
              <w:t xml:space="preserve">Zdroj: ČSÚ, </w:t>
            </w:r>
            <w:proofErr w:type="spellStart"/>
            <w:r w:rsidRPr="003D34B4">
              <w:rPr>
                <w:sz w:val="18"/>
                <w:szCs w:val="18"/>
                <w:lang w:eastAsia="en-US"/>
              </w:rPr>
              <w:t>Eurostat</w:t>
            </w:r>
            <w:proofErr w:type="spellEnd"/>
          </w:p>
        </w:tc>
      </w:tr>
    </w:tbl>
    <w:p w:rsidR="005D5A35" w:rsidRDefault="005D5A35" w:rsidP="00686D87"/>
    <w:p w:rsidR="005D5A35" w:rsidRPr="006E15CB" w:rsidRDefault="005D5A35" w:rsidP="008B0C8B">
      <w:pPr>
        <w:pStyle w:val="Nadpis3"/>
        <w:numPr>
          <w:ilvl w:val="2"/>
          <w:numId w:val="6"/>
        </w:numPr>
      </w:pPr>
      <w:bookmarkStart w:id="5" w:name="_Toc426017670"/>
      <w:r w:rsidRPr="006E15CB">
        <w:t>Soukromá zadluženost</w:t>
      </w:r>
      <w:bookmarkEnd w:id="5"/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2037"/>
        <w:gridCol w:w="272"/>
        <w:gridCol w:w="7468"/>
      </w:tblGrid>
      <w:tr w:rsidR="005D5A35" w:rsidRPr="00602D1D" w:rsidTr="00DA5CAB">
        <w:tc>
          <w:tcPr>
            <w:tcW w:w="1042" w:type="pct"/>
          </w:tcPr>
          <w:p w:rsidR="005D5A35" w:rsidRPr="00602D1D" w:rsidRDefault="005D5A35" w:rsidP="00157990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Nutnost používání vnějších zdrojů ze strany nefinančních podniků a</w:t>
            </w:r>
            <w:r w:rsidR="00157990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domácností</w:t>
            </w:r>
          </w:p>
        </w:tc>
        <w:tc>
          <w:tcPr>
            <w:tcW w:w="139" w:type="pct"/>
          </w:tcPr>
          <w:p w:rsidR="005D5A35" w:rsidRDefault="005D5A35" w:rsidP="00DA5CAB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Pr="00D2620E" w:rsidRDefault="005D5A35" w:rsidP="00FA5557">
            <w:pPr>
              <w:pStyle w:val="Textpoznpodarou"/>
              <w:jc w:val="both"/>
              <w:rPr>
                <w:color w:val="000000"/>
              </w:rPr>
            </w:pPr>
            <w:r w:rsidRPr="00D2620E">
              <w:rPr>
                <w:color w:val="000000"/>
              </w:rPr>
              <w:t>Kromě dluhu vládních institucí jsou vnějšími zdroji uspokojovány i finanční potřeby soukromého sektoru. Především nefinanční podniky z podstaty používají úvěr jak na provozní financování, tak i na investice. Rozšiřování dluhové zátěže domácností pak v českých podmínkách souviselo především s úvěry na bydlení, kterých si lidé brali nejvíce - a s nejvyšší meziroční dynamikou - zejména v období 2004-2008. Souviselo to s mimořádně příznivými po</w:t>
            </w:r>
            <w:r w:rsidR="009F408C" w:rsidRPr="00D2620E">
              <w:rPr>
                <w:color w:val="000000"/>
              </w:rPr>
              <w:t xml:space="preserve">dmínkami pro růst jejich příjmů </w:t>
            </w:r>
            <w:r w:rsidRPr="00D2620E">
              <w:rPr>
                <w:color w:val="000000"/>
              </w:rPr>
              <w:t xml:space="preserve">a příznivým vnímáním budoucnosti.  </w:t>
            </w:r>
          </w:p>
          <w:p w:rsidR="005D5A35" w:rsidRPr="00602D1D" w:rsidRDefault="005D5A35" w:rsidP="00FA5557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</w:tc>
      </w:tr>
      <w:tr w:rsidR="005D5A35" w:rsidRPr="00602D1D" w:rsidTr="00DA5CAB">
        <w:tc>
          <w:tcPr>
            <w:tcW w:w="1042" w:type="pct"/>
          </w:tcPr>
          <w:p w:rsidR="005D5A35" w:rsidRPr="00602D1D" w:rsidRDefault="005D5A35" w:rsidP="00DA5CAB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Součet dluhů domácností vč. institucí sloužících domácnostem </w:t>
            </w:r>
            <w:r w:rsidR="00157990">
              <w:rPr>
                <w:color w:val="000000"/>
                <w:sz w:val="16"/>
                <w:szCs w:val="16"/>
              </w:rPr>
              <w:t>a půjček nefinančním podnikům v</w:t>
            </w:r>
            <w:r>
              <w:rPr>
                <w:color w:val="000000"/>
                <w:sz w:val="16"/>
                <w:szCs w:val="16"/>
              </w:rPr>
              <w:t>č. emitovaných cenných</w:t>
            </w:r>
            <w:r w:rsidR="00157990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papírů b</w:t>
            </w:r>
            <w:r w:rsidR="001D234F">
              <w:rPr>
                <w:color w:val="000000"/>
                <w:sz w:val="16"/>
                <w:szCs w:val="16"/>
              </w:rPr>
              <w:t>yl v relaci k HDP v ČR třetí</w:t>
            </w:r>
            <w:r>
              <w:rPr>
                <w:color w:val="000000"/>
                <w:sz w:val="16"/>
                <w:szCs w:val="16"/>
              </w:rPr>
              <w:t xml:space="preserve"> nejnižší v žebříčku zemí EU - v roce 2013 činil 73</w:t>
            </w:r>
            <w:r w:rsidR="001D234F">
              <w:rPr>
                <w:color w:val="000000"/>
                <w:sz w:val="16"/>
                <w:szCs w:val="16"/>
              </w:rPr>
              <w:t>,7</w:t>
            </w:r>
            <w:r>
              <w:rPr>
                <w:color w:val="000000"/>
                <w:sz w:val="16"/>
                <w:szCs w:val="16"/>
              </w:rPr>
              <w:t xml:space="preserve"> % nominálního HDP,</w:t>
            </w:r>
            <w:r w:rsidRPr="00602D1D">
              <w:rPr>
                <w:color w:val="000000"/>
                <w:sz w:val="16"/>
                <w:szCs w:val="16"/>
              </w:rPr>
              <w:t xml:space="preserve"> </w:t>
            </w:r>
            <w:r w:rsidR="00157990">
              <w:rPr>
                <w:color w:val="000000"/>
                <w:sz w:val="16"/>
                <w:szCs w:val="16"/>
              </w:rPr>
              <w:t>…</w:t>
            </w:r>
          </w:p>
          <w:p w:rsidR="005D5A35" w:rsidRPr="00602D1D" w:rsidRDefault="005D5A35" w:rsidP="00DA5CAB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9" w:type="pct"/>
          </w:tcPr>
          <w:p w:rsidR="005D5A35" w:rsidRDefault="005D5A35" w:rsidP="00DA5CAB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Pr="00D2620E" w:rsidRDefault="005D5A35" w:rsidP="005A6E4A">
            <w:pPr>
              <w:pStyle w:val="Textpoznpodarou"/>
              <w:jc w:val="both"/>
              <w:rPr>
                <w:color w:val="000000"/>
              </w:rPr>
            </w:pPr>
            <w:r w:rsidRPr="00D2620E">
              <w:rPr>
                <w:color w:val="000000"/>
              </w:rPr>
              <w:t>V relaci k HDP -  která umožňuje zhodnotit míru „</w:t>
            </w:r>
            <w:proofErr w:type="spellStart"/>
            <w:r w:rsidRPr="00D2620E">
              <w:rPr>
                <w:color w:val="000000"/>
              </w:rPr>
              <w:t>ufinancovatelnosti</w:t>
            </w:r>
            <w:proofErr w:type="spellEnd"/>
            <w:r w:rsidRPr="00D2620E">
              <w:rPr>
                <w:color w:val="000000"/>
              </w:rPr>
              <w:t xml:space="preserve">“ dluhů a také pro potřeby mezinárodního srovnání - se pozice České republiky v rámci zemí EU jeví v relativní výši soukromého dluhu jako velmi příznivá. </w:t>
            </w:r>
          </w:p>
          <w:p w:rsidR="005D5A35" w:rsidRPr="00D2620E" w:rsidRDefault="005D5A35" w:rsidP="005A6E4A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  <w:p w:rsidR="005D5A35" w:rsidRPr="00D2620E" w:rsidRDefault="005D5A35" w:rsidP="005A6E4A">
            <w:pPr>
              <w:pStyle w:val="Textpoznpodarou"/>
              <w:jc w:val="both"/>
              <w:rPr>
                <w:color w:val="000000"/>
              </w:rPr>
            </w:pPr>
            <w:r w:rsidRPr="00D2620E">
              <w:rPr>
                <w:color w:val="000000"/>
              </w:rPr>
              <w:t>Poměr půjček domácnostem vč. dluhu neziskových institucí sloužících domácnostem (NISD) a také úvěrů firmám vč. emito</w:t>
            </w:r>
            <w:r w:rsidR="00B155A3">
              <w:rPr>
                <w:color w:val="000000"/>
              </w:rPr>
              <w:t>vaných cenných papírů dosahoval</w:t>
            </w:r>
            <w:r w:rsidRPr="00D2620E">
              <w:rPr>
                <w:color w:val="000000"/>
              </w:rPr>
              <w:t xml:space="preserve"> v roce 2013 (za který byla v době zpracování této analýzy k dispozici poslední dat</w:t>
            </w:r>
            <w:r w:rsidR="00C41233">
              <w:rPr>
                <w:color w:val="000000"/>
              </w:rPr>
              <w:t>a</w:t>
            </w:r>
            <w:r w:rsidRPr="00D2620E">
              <w:rPr>
                <w:color w:val="000000"/>
              </w:rPr>
              <w:t xml:space="preserve">) celkem 73,7 % nominálního HDP. Z toho přitom samotná zadluženost domácností vč. NISD představovala 31,6 % HDP a půjčky nefinančním podnikům 34,5 % HDP a jimi emitované cenné papíry 8 % HDP. </w:t>
            </w:r>
          </w:p>
          <w:p w:rsidR="005D5A35" w:rsidRPr="00D2620E" w:rsidRDefault="005D5A35" w:rsidP="005A6E4A">
            <w:pPr>
              <w:pStyle w:val="Textpoznpodarou"/>
              <w:jc w:val="both"/>
              <w:rPr>
                <w:color w:val="000000"/>
                <w:spacing w:val="-2"/>
                <w:sz w:val="16"/>
                <w:szCs w:val="16"/>
              </w:rPr>
            </w:pPr>
          </w:p>
          <w:p w:rsidR="005D5A35" w:rsidRDefault="005D5A35" w:rsidP="00186915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Data jsou na konsolidované bázi, to znamená, že neberou v úvahu transakce uvnitř daného sektoru.</w:t>
            </w:r>
          </w:p>
          <w:p w:rsidR="005D5A35" w:rsidRPr="00602D1D" w:rsidRDefault="005D5A35" w:rsidP="00186915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</w:t>
            </w:r>
          </w:p>
        </w:tc>
      </w:tr>
      <w:tr w:rsidR="005D5A35" w:rsidRPr="00602D1D" w:rsidTr="005A6E4A">
        <w:tc>
          <w:tcPr>
            <w:tcW w:w="1042" w:type="pct"/>
          </w:tcPr>
          <w:p w:rsidR="005D5A35" w:rsidRPr="00602D1D" w:rsidRDefault="005D5A35" w:rsidP="00C662C1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 což bylo pod hranicí relativního soukro</w:t>
            </w:r>
            <w:r w:rsidR="001D234F">
              <w:rPr>
                <w:color w:val="000000"/>
                <w:sz w:val="16"/>
                <w:szCs w:val="16"/>
              </w:rPr>
              <w:t>mého dluhu za EU jako celek</w:t>
            </w: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  <w:p w:rsidR="005D5A35" w:rsidRPr="00602D1D" w:rsidRDefault="005D5A35" w:rsidP="00C662C1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9" w:type="pct"/>
          </w:tcPr>
          <w:p w:rsidR="005D5A35" w:rsidRDefault="005D5A35" w:rsidP="00C662C1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186915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Soukromý konsolidovaný dluh privátního sektoru ČR tak byl ve výši 73,7 % nominálního HDP podstatně nižší než průměr za EU 28. Srovnatelná data nejsou k dispozici, neboť </w:t>
            </w:r>
            <w:proofErr w:type="spellStart"/>
            <w:r>
              <w:rPr>
                <w:color w:val="000000"/>
                <w:spacing w:val="-2"/>
              </w:rPr>
              <w:t>Eurostat</w:t>
            </w:r>
            <w:proofErr w:type="spellEnd"/>
            <w:r>
              <w:rPr>
                <w:color w:val="000000"/>
                <w:spacing w:val="-2"/>
              </w:rPr>
              <w:t xml:space="preserve"> zadlužení domácností ve svých tabulkách neuvádí. Jsou však k dispozici data za sektor nefinančních podniků, který samotný se svou </w:t>
            </w:r>
            <w:r>
              <w:rPr>
                <w:color w:val="000000"/>
                <w:spacing w:val="-2"/>
              </w:rPr>
              <w:lastRenderedPageBreak/>
              <w:t>zadlužeností ve výši 65,6 % HDP v případě firemních úvěrů a 12,4 % HDP v případě firemních dluhopisů ukazuje při sloučení zadluženost nefinančních podniků v EU 28 na úrovni 78 % HDP. V ČR přitom při zahrnutí úvěrů domácnostem, které spolu s úvěry NISD tvoří téměř třetinu nominálního HDP, činí tato celková proporce 73,7 %.</w:t>
            </w:r>
          </w:p>
          <w:p w:rsidR="005D5A35" w:rsidRPr="00D2620E" w:rsidRDefault="005D5A35" w:rsidP="00186915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  <w:p w:rsidR="005D5A35" w:rsidRDefault="005D5A35" w:rsidP="00186915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Znamená to, že soukromý dluh v relaci k HDP je v ČR výrazně pod průměrnou úrovní v EU 28 (graf 13).</w:t>
            </w:r>
          </w:p>
          <w:p w:rsidR="005D5A35" w:rsidRPr="00602D1D" w:rsidRDefault="005D5A35" w:rsidP="00186915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</w:tc>
      </w:tr>
      <w:tr w:rsidR="005D5A35" w:rsidRPr="00602D1D" w:rsidTr="005A6E4A">
        <w:tc>
          <w:tcPr>
            <w:tcW w:w="1042" w:type="pct"/>
          </w:tcPr>
          <w:p w:rsidR="005D5A35" w:rsidRPr="00B13619" w:rsidRDefault="005D5A35" w:rsidP="00B13619">
            <w:pPr>
              <w:spacing w:line="240" w:lineRule="auto"/>
              <w:rPr>
                <w:sz w:val="16"/>
                <w:szCs w:val="16"/>
              </w:rPr>
            </w:pPr>
            <w:r w:rsidRPr="00B13619">
              <w:rPr>
                <w:sz w:val="16"/>
                <w:szCs w:val="16"/>
              </w:rPr>
              <w:lastRenderedPageBreak/>
              <w:t xml:space="preserve">Příznivější proporce soukromého </w:t>
            </w:r>
            <w:r w:rsidR="00B13619" w:rsidRPr="00B13619">
              <w:rPr>
                <w:sz w:val="16"/>
                <w:szCs w:val="16"/>
              </w:rPr>
              <w:t xml:space="preserve">dluhu k HDP než </w:t>
            </w:r>
            <w:r w:rsidRPr="00B13619">
              <w:rPr>
                <w:sz w:val="16"/>
                <w:szCs w:val="16"/>
              </w:rPr>
              <w:t>ČR měla v roce 2013 jen Litva a Rumunsko - v roce 2012 byla ČR na</w:t>
            </w:r>
            <w:r w:rsidR="009A3909" w:rsidRPr="00B13619">
              <w:rPr>
                <w:sz w:val="16"/>
                <w:szCs w:val="16"/>
              </w:rPr>
              <w:t> </w:t>
            </w:r>
            <w:r w:rsidRPr="00B13619">
              <w:rPr>
                <w:sz w:val="16"/>
                <w:szCs w:val="16"/>
              </w:rPr>
              <w:t>2.</w:t>
            </w:r>
            <w:r w:rsidR="009A3909" w:rsidRPr="00B13619">
              <w:rPr>
                <w:sz w:val="16"/>
                <w:szCs w:val="16"/>
              </w:rPr>
              <w:t> </w:t>
            </w:r>
            <w:r w:rsidRPr="00B13619">
              <w:rPr>
                <w:sz w:val="16"/>
                <w:szCs w:val="16"/>
              </w:rPr>
              <w:t>místě</w:t>
            </w:r>
          </w:p>
        </w:tc>
        <w:tc>
          <w:tcPr>
            <w:tcW w:w="139" w:type="pct"/>
          </w:tcPr>
          <w:p w:rsidR="005D5A35" w:rsidRDefault="005D5A35" w:rsidP="00C662C1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Pr="00D2620E" w:rsidRDefault="005D5A35" w:rsidP="00187C76">
            <w:pPr>
              <w:pStyle w:val="Textpoznpodarou"/>
              <w:jc w:val="both"/>
              <w:rPr>
                <w:color w:val="000000"/>
              </w:rPr>
            </w:pPr>
            <w:r w:rsidRPr="00B13619">
              <w:t>Jen dvě země EU, tj. Litva (56,3 %) a Rumunsko (66,5 %), měly v roce 2013 nižší soukromý dluh v relaci k HDP než Česká republika (73,7 %). Ve srovnání</w:t>
            </w:r>
            <w:r w:rsidRPr="00D2620E">
              <w:rPr>
                <w:color w:val="000000"/>
              </w:rPr>
              <w:t xml:space="preserve"> s nimi však byla v ČR vyšší relace úvěrů domácnostem, a to významně (již zmíněných 31,6 % HDP proti 22,3 %, resp. 19,1 % v těchto zemích). Lze to zřejmě přičíst rozvinutějšímu bankovnímu systému s nabídkou půjček, ale právě i silné dynamice úvěrů na bydlení v konjunkturním období (pořizování a vybavování nových, ale i</w:t>
            </w:r>
            <w:r w:rsidR="00594EAA">
              <w:rPr>
                <w:color w:val="000000"/>
              </w:rPr>
              <w:t> </w:t>
            </w:r>
            <w:r w:rsidRPr="00D2620E">
              <w:rPr>
                <w:color w:val="000000"/>
              </w:rPr>
              <w:t xml:space="preserve">starších bytů a jejich postupné privatizaci). V neposlední řadě pak i vyšší kupní síle českých domácností, která je důležitá právě u půjček na bydlení spojených zpravidla s nutnou participací vlastních naspořených prostředků (alespoň zčásti). </w:t>
            </w:r>
          </w:p>
          <w:p w:rsidR="005D5A35" w:rsidRPr="00602D1D" w:rsidRDefault="005D5A35" w:rsidP="00187C76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</w:tc>
      </w:tr>
      <w:tr w:rsidR="005D5A35" w:rsidRPr="00602D1D" w:rsidTr="0031223A">
        <w:tc>
          <w:tcPr>
            <w:tcW w:w="1042" w:type="pct"/>
          </w:tcPr>
          <w:p w:rsidR="005D5A35" w:rsidRPr="00602D1D" w:rsidRDefault="005D5A35" w:rsidP="00C662C1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602D1D">
              <w:rPr>
                <w:color w:val="000000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ízkou relaci dluhu firem k</w:t>
            </w:r>
            <w:r w:rsidR="00594EAA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HDP ovlivnila recese let 2012 a 2013, historicky pak i čištění bankovních portfolií od špatných půjček v předchozí dekádě</w:t>
            </w: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  <w:p w:rsidR="005D5A35" w:rsidRPr="00602D1D" w:rsidRDefault="005D5A35" w:rsidP="00C662C1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9" w:type="pct"/>
          </w:tcPr>
          <w:p w:rsidR="005D5A35" w:rsidRDefault="005D5A35" w:rsidP="00C662C1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887AEB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Naopak </w:t>
            </w:r>
            <w:r w:rsidR="00B155A3">
              <w:rPr>
                <w:color w:val="000000"/>
                <w:spacing w:val="-2"/>
              </w:rPr>
              <w:t>poměrně</w:t>
            </w:r>
            <w:r>
              <w:rPr>
                <w:color w:val="000000"/>
                <w:spacing w:val="-2"/>
              </w:rPr>
              <w:t xml:space="preserve"> nízkou relativní zadluženost samotných firem pokud jde o</w:t>
            </w:r>
            <w:r w:rsidR="00F631EA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>poskytnuté úvěry lz</w:t>
            </w:r>
            <w:r w:rsidR="00F52B67">
              <w:rPr>
                <w:color w:val="000000"/>
                <w:spacing w:val="-2"/>
              </w:rPr>
              <w:t>e v roce 2013 přičíst podmínkám</w:t>
            </w:r>
            <w:r>
              <w:rPr>
                <w:color w:val="000000"/>
                <w:spacing w:val="-2"/>
              </w:rPr>
              <w:t xml:space="preserve"> roku recese s nižší potřebou financování při slabé poptávce, což však platilo i pro rok 2012. Roli jistě hrálo i</w:t>
            </w:r>
            <w:r w:rsidR="00F631EA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>z</w:t>
            </w:r>
            <w:r w:rsidR="00F631EA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>„historického“ hlediska vyčištění bankovních portfolií zejména velkých bank od</w:t>
            </w:r>
            <w:r w:rsidR="00F631EA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 xml:space="preserve">špatných půjček před jejich privatizací už v předchozí dekádě a převedení významné části úvěrů do speciálních entit (Konsolidační banka, ale i jiné). </w:t>
            </w:r>
          </w:p>
          <w:p w:rsidR="005D5A35" w:rsidRPr="00602D1D" w:rsidRDefault="005D5A35" w:rsidP="00C662C1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</w:tc>
      </w:tr>
      <w:tr w:rsidR="005D5A35" w:rsidRPr="00602D1D" w:rsidTr="0031223A">
        <w:tc>
          <w:tcPr>
            <w:tcW w:w="1042" w:type="pct"/>
          </w:tcPr>
          <w:p w:rsidR="005D5A35" w:rsidRPr="00602D1D" w:rsidRDefault="005D5A35" w:rsidP="00C662C1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Dlouhodobá averze k dluhům: vůbec nejnižší relativní soukromý dluh ze</w:t>
            </w:r>
            <w:r w:rsidR="00470CC7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zemí EU měla ČR v letech 2008 a 2009, v roce 2012 pak druhý nejnižší</w:t>
            </w:r>
          </w:p>
          <w:p w:rsidR="005D5A35" w:rsidRPr="00602D1D" w:rsidRDefault="005D5A35" w:rsidP="00C662C1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9" w:type="pct"/>
          </w:tcPr>
          <w:p w:rsidR="005D5A35" w:rsidRDefault="005D5A35" w:rsidP="00C662C1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Pr="00D2620E" w:rsidRDefault="005D5A35" w:rsidP="00F52B67">
            <w:pPr>
              <w:pStyle w:val="Textpoznpodarou"/>
              <w:jc w:val="both"/>
              <w:rPr>
                <w:color w:val="000000"/>
              </w:rPr>
            </w:pPr>
            <w:r w:rsidRPr="00D2620E">
              <w:rPr>
                <w:color w:val="000000"/>
              </w:rPr>
              <w:t>„Dluhová averze“ je přitom charakteristická pro české ekonomické subjekty dlouhodobě. Mimořádné nízká relativní soukromá zadluženost se projevovala i</w:t>
            </w:r>
            <w:r w:rsidR="00F631EA">
              <w:rPr>
                <w:color w:val="000000"/>
              </w:rPr>
              <w:t> </w:t>
            </w:r>
            <w:r w:rsidRPr="00D2620E">
              <w:rPr>
                <w:color w:val="000000"/>
              </w:rPr>
              <w:t>v letech 2008 a 2009, kdy byla relace soukromého dluhu k nominál</w:t>
            </w:r>
            <w:r w:rsidR="00F52B67">
              <w:rPr>
                <w:color w:val="000000"/>
              </w:rPr>
              <w:t>nímu HDP v České republice</w:t>
            </w:r>
            <w:r w:rsidRPr="00D2620E">
              <w:rPr>
                <w:color w:val="000000"/>
              </w:rPr>
              <w:t xml:space="preserve"> nejmenší v EU (66,8 %, resp. 68,8 % HDP). V roce 2012 pak byla po Litvě druhá nejnižší (72,4 %). Její zvyšování je relativně pomalé (graf 14) -  mezi lety 2011 až 2013 šlo dokonce o snížení o 4,9 </w:t>
            </w:r>
            <w:proofErr w:type="spellStart"/>
            <w:r w:rsidRPr="00D2620E">
              <w:rPr>
                <w:color w:val="000000"/>
              </w:rPr>
              <w:t>pb</w:t>
            </w:r>
            <w:proofErr w:type="spellEnd"/>
            <w:r w:rsidRPr="00D2620E">
              <w:rPr>
                <w:color w:val="000000"/>
              </w:rPr>
              <w:t>. (což však bylo typické i</w:t>
            </w:r>
            <w:r w:rsidR="00F52B67">
              <w:rPr>
                <w:color w:val="000000"/>
              </w:rPr>
              <w:t> </w:t>
            </w:r>
            <w:r w:rsidRPr="00D2620E">
              <w:rPr>
                <w:color w:val="000000"/>
              </w:rPr>
              <w:t>pro</w:t>
            </w:r>
            <w:r w:rsidR="00F52B67">
              <w:rPr>
                <w:color w:val="000000"/>
              </w:rPr>
              <w:t> </w:t>
            </w:r>
            <w:r w:rsidRPr="00D2620E">
              <w:rPr>
                <w:color w:val="000000"/>
              </w:rPr>
              <w:t xml:space="preserve">další země EU, jak je patrné z grafu 15). V ČR ovlivnila slabší tempo úvěrování v této době ekonomická recese, v mnoha dalších zemích EU pak zřejmě dopad, který měly i na soukromý sektor problémy hospodaření vládních sektorů.   </w:t>
            </w:r>
          </w:p>
        </w:tc>
      </w:tr>
    </w:tbl>
    <w:p w:rsidR="005D5A35" w:rsidRDefault="005D5A35" w:rsidP="00686D87"/>
    <w:p w:rsidR="005D5A35" w:rsidRDefault="005D5A35" w:rsidP="0031223A">
      <w:pPr>
        <w:jc w:val="both"/>
      </w:pPr>
      <w:r w:rsidRPr="00F631EA">
        <w:t>Graf č. 13:</w:t>
      </w:r>
      <w:r w:rsidRPr="001E48E5">
        <w:rPr>
          <w:b/>
        </w:rPr>
        <w:t xml:space="preserve"> Pozice ČR v relativní zadluženosti soukromého sektoru* ve srovnání se zeměmi EU 28</w:t>
      </w:r>
      <w:r w:rsidR="0031223A">
        <w:rPr>
          <w:b/>
        </w:rPr>
        <w:t xml:space="preserve"> </w:t>
      </w:r>
      <w:r w:rsidRPr="001E48E5">
        <w:rPr>
          <w:b/>
        </w:rPr>
        <w:t>v roce 2013</w:t>
      </w:r>
      <w:r>
        <w:t xml:space="preserve"> (hrubý konsolidovaný </w:t>
      </w:r>
      <w:proofErr w:type="gramStart"/>
      <w:r>
        <w:t>dluh v % nominálního</w:t>
      </w:r>
      <w:proofErr w:type="gramEnd"/>
      <w:r>
        <w:t xml:space="preserve"> HDP) </w:t>
      </w:r>
    </w:p>
    <w:p w:rsidR="005D5A35" w:rsidRDefault="00DE56AE" w:rsidP="001E48E5">
      <w:pPr>
        <w:jc w:val="center"/>
      </w:pPr>
      <w:r>
        <w:rPr>
          <w:noProof/>
        </w:rPr>
        <w:pict>
          <v:shape id="_x0000_i1518" type="#_x0000_t75" style="width:388.5pt;height:16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">
            <v:imagedata r:id="rId24" o:title=""/>
            <o:lock v:ext="edit" aspectratio="f"/>
          </v:shape>
        </w:pict>
      </w:r>
    </w:p>
    <w:p w:rsidR="0031223A" w:rsidRDefault="0031223A" w:rsidP="00BF36F6">
      <w:pPr>
        <w:pStyle w:val="Odstavecseseznamem"/>
        <w:spacing w:line="240" w:lineRule="auto"/>
        <w:ind w:left="505"/>
      </w:pPr>
    </w:p>
    <w:p w:rsidR="005D5A35" w:rsidRPr="0031223A" w:rsidRDefault="005D5A35" w:rsidP="0031223A">
      <w:pPr>
        <w:pStyle w:val="Odstavecseseznamem"/>
        <w:spacing w:line="240" w:lineRule="auto"/>
        <w:ind w:left="0"/>
        <w:jc w:val="both"/>
        <w:rPr>
          <w:sz w:val="18"/>
          <w:szCs w:val="18"/>
        </w:rPr>
      </w:pPr>
      <w:r w:rsidRPr="0031223A">
        <w:rPr>
          <w:sz w:val="18"/>
          <w:szCs w:val="18"/>
        </w:rPr>
        <w:t>*Pozn.: soukromý dluh dom</w:t>
      </w:r>
      <w:r w:rsidR="0031223A">
        <w:rPr>
          <w:sz w:val="18"/>
          <w:szCs w:val="18"/>
        </w:rPr>
        <w:t xml:space="preserve">ácností vč. NISD a soukromý dluh </w:t>
      </w:r>
      <w:r w:rsidR="0031223A" w:rsidRPr="0031223A">
        <w:rPr>
          <w:sz w:val="18"/>
          <w:szCs w:val="18"/>
        </w:rPr>
        <w:t>nefinančních podniků vč. cenných papírů vyjádřený jako %</w:t>
      </w:r>
      <w:r w:rsidR="0031223A">
        <w:rPr>
          <w:sz w:val="18"/>
          <w:szCs w:val="18"/>
        </w:rPr>
        <w:t> </w:t>
      </w:r>
      <w:r w:rsidR="0031223A" w:rsidRPr="0031223A">
        <w:rPr>
          <w:sz w:val="18"/>
          <w:szCs w:val="18"/>
        </w:rPr>
        <w:t>nominálního HDP</w:t>
      </w:r>
    </w:p>
    <w:p w:rsidR="005D5A35" w:rsidRDefault="007A155D" w:rsidP="0031223A">
      <w:pPr>
        <w:jc w:val="right"/>
      </w:pPr>
      <w:r>
        <w:rPr>
          <w:sz w:val="18"/>
          <w:szCs w:val="18"/>
        </w:rPr>
        <w:t>Zdroj</w:t>
      </w:r>
      <w:r w:rsidR="005550E9">
        <w:rPr>
          <w:sz w:val="18"/>
          <w:szCs w:val="18"/>
        </w:rPr>
        <w:t xml:space="preserve">: </w:t>
      </w:r>
      <w:proofErr w:type="spellStart"/>
      <w:r w:rsidR="005550E9">
        <w:rPr>
          <w:sz w:val="18"/>
          <w:szCs w:val="18"/>
        </w:rPr>
        <w:t>Eurostat</w:t>
      </w:r>
      <w:proofErr w:type="spellEnd"/>
      <w:r w:rsidR="005550E9">
        <w:rPr>
          <w:sz w:val="18"/>
          <w:szCs w:val="18"/>
        </w:rPr>
        <w:t>, vlastní vý</w:t>
      </w:r>
      <w:r w:rsidR="0031223A" w:rsidRPr="0031223A">
        <w:rPr>
          <w:sz w:val="18"/>
          <w:szCs w:val="18"/>
        </w:rPr>
        <w:t>počty</w:t>
      </w:r>
    </w:p>
    <w:p w:rsidR="00D2620E" w:rsidRDefault="00D2620E" w:rsidP="0031223A">
      <w:pPr>
        <w:jc w:val="center"/>
      </w:pPr>
    </w:p>
    <w:p w:rsidR="00997EEB" w:rsidRDefault="00997EEB" w:rsidP="0031223A">
      <w:pPr>
        <w:jc w:val="center"/>
      </w:pPr>
    </w:p>
    <w:p w:rsidR="00D2620E" w:rsidRDefault="00D2620E" w:rsidP="001E48E5">
      <w:pPr>
        <w:jc w:val="center"/>
      </w:pPr>
    </w:p>
    <w:p w:rsidR="00D2620E" w:rsidRDefault="00D2620E" w:rsidP="001E48E5">
      <w:pPr>
        <w:jc w:val="center"/>
      </w:pPr>
    </w:p>
    <w:p w:rsidR="00D2620E" w:rsidRDefault="00D2620E" w:rsidP="001E48E5">
      <w:pPr>
        <w:jc w:val="center"/>
      </w:pPr>
    </w:p>
    <w:tbl>
      <w:tblPr>
        <w:tblW w:w="5000" w:type="pct"/>
        <w:tblLook w:val="00A0"/>
      </w:tblPr>
      <w:tblGrid>
        <w:gridCol w:w="971"/>
        <w:gridCol w:w="3835"/>
        <w:gridCol w:w="692"/>
        <w:gridCol w:w="4356"/>
      </w:tblGrid>
      <w:tr w:rsidR="005D5A35" w:rsidRPr="00C53F31" w:rsidTr="003D34B4">
        <w:tc>
          <w:tcPr>
            <w:tcW w:w="492" w:type="pct"/>
          </w:tcPr>
          <w:p w:rsidR="005D5A35" w:rsidRPr="003D34B4" w:rsidRDefault="005D5A35" w:rsidP="000666E0">
            <w:pPr>
              <w:pStyle w:val="Textpoznpodarou"/>
              <w:rPr>
                <w:lang w:eastAsia="en-US"/>
              </w:rPr>
            </w:pPr>
            <w:r w:rsidRPr="003D34B4">
              <w:rPr>
                <w:lang w:eastAsia="en-US"/>
              </w:rPr>
              <w:lastRenderedPageBreak/>
              <w:t>Graf č.</w:t>
            </w:r>
            <w:r w:rsidR="000666E0">
              <w:rPr>
                <w:lang w:eastAsia="en-US"/>
              </w:rPr>
              <w:t> </w:t>
            </w:r>
            <w:r w:rsidRPr="003D34B4">
              <w:rPr>
                <w:lang w:eastAsia="en-US"/>
              </w:rPr>
              <w:t>14</w:t>
            </w:r>
          </w:p>
        </w:tc>
        <w:tc>
          <w:tcPr>
            <w:tcW w:w="1948" w:type="pct"/>
          </w:tcPr>
          <w:p w:rsidR="00834996" w:rsidRDefault="005D5A35" w:rsidP="001306B1">
            <w:pPr>
              <w:pStyle w:val="Textpoznpodarou"/>
              <w:rPr>
                <w:b/>
                <w:lang w:eastAsia="en-US"/>
              </w:rPr>
            </w:pPr>
            <w:r w:rsidRPr="003D34B4">
              <w:rPr>
                <w:b/>
                <w:lang w:eastAsia="en-US"/>
              </w:rPr>
              <w:t>Vývoj soukromého dluhu v ČR podle sektorů*</w:t>
            </w:r>
          </w:p>
          <w:p w:rsidR="005D5A35" w:rsidRPr="003D34B4" w:rsidRDefault="005D5A35" w:rsidP="001306B1">
            <w:pPr>
              <w:pStyle w:val="Textpoznpodarou"/>
              <w:rPr>
                <w:lang w:eastAsia="en-US"/>
              </w:rPr>
            </w:pPr>
            <w:r>
              <w:rPr>
                <w:lang w:eastAsia="en-US"/>
              </w:rPr>
              <w:t>(</w:t>
            </w:r>
            <w:r w:rsidR="00834996">
              <w:rPr>
                <w:lang w:eastAsia="en-US"/>
              </w:rPr>
              <w:t xml:space="preserve">v </w:t>
            </w:r>
            <w:r>
              <w:rPr>
                <w:lang w:eastAsia="en-US"/>
              </w:rPr>
              <w:t xml:space="preserve">% </w:t>
            </w:r>
            <w:proofErr w:type="spellStart"/>
            <w:r>
              <w:rPr>
                <w:lang w:eastAsia="en-US"/>
              </w:rPr>
              <w:t>nom</w:t>
            </w:r>
            <w:proofErr w:type="spellEnd"/>
            <w:r>
              <w:rPr>
                <w:lang w:eastAsia="en-US"/>
              </w:rPr>
              <w:t xml:space="preserve">. HDP, </w:t>
            </w:r>
            <w:r w:rsidRPr="003D34B4">
              <w:rPr>
                <w:lang w:eastAsia="en-US"/>
              </w:rPr>
              <w:t>konsolidováno)</w:t>
            </w:r>
            <w:r w:rsidRPr="003D34B4">
              <w:rPr>
                <w:b/>
                <w:lang w:eastAsia="en-US"/>
              </w:rPr>
              <w:t xml:space="preserve"> </w:t>
            </w:r>
          </w:p>
        </w:tc>
        <w:tc>
          <w:tcPr>
            <w:tcW w:w="350" w:type="pct"/>
          </w:tcPr>
          <w:p w:rsidR="005D5A35" w:rsidRPr="003D34B4" w:rsidRDefault="005D5A35" w:rsidP="001E48E5">
            <w:pPr>
              <w:pStyle w:val="Textpoznpodarou"/>
              <w:rPr>
                <w:lang w:eastAsia="en-US"/>
              </w:rPr>
            </w:pPr>
            <w:r w:rsidRPr="003D34B4">
              <w:rPr>
                <w:lang w:eastAsia="en-US"/>
              </w:rPr>
              <w:t>Graf č. 15</w:t>
            </w:r>
          </w:p>
          <w:p w:rsidR="005D5A35" w:rsidRPr="003D34B4" w:rsidRDefault="005D5A35" w:rsidP="001E48E5">
            <w:pPr>
              <w:pStyle w:val="Textpoznpodarou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10" w:type="pct"/>
          </w:tcPr>
          <w:p w:rsidR="005D5A35" w:rsidRPr="003D34B4" w:rsidRDefault="005D5A35" w:rsidP="001306B1">
            <w:pPr>
              <w:pStyle w:val="Textpoznpodarou"/>
              <w:rPr>
                <w:b/>
                <w:spacing w:val="-2"/>
                <w:lang w:eastAsia="en-US"/>
              </w:rPr>
            </w:pPr>
            <w:r w:rsidRPr="003D34B4">
              <w:rPr>
                <w:b/>
                <w:spacing w:val="-2"/>
                <w:lang w:eastAsia="en-US"/>
              </w:rPr>
              <w:t xml:space="preserve">Změna relativního soukromého dluhu zemí EU </w:t>
            </w:r>
            <w:r w:rsidRPr="003D34B4">
              <w:rPr>
                <w:spacing w:val="-2"/>
                <w:sz w:val="19"/>
                <w:szCs w:val="19"/>
                <w:lang w:eastAsia="en-US"/>
              </w:rPr>
              <w:t>(rozdíl let 2013 a 2011 v</w:t>
            </w:r>
            <w:r w:rsidR="000666E0">
              <w:rPr>
                <w:spacing w:val="-2"/>
                <w:sz w:val="19"/>
                <w:szCs w:val="19"/>
                <w:lang w:eastAsia="en-US"/>
              </w:rPr>
              <w:t> </w:t>
            </w:r>
            <w:proofErr w:type="spellStart"/>
            <w:r w:rsidRPr="003D34B4">
              <w:rPr>
                <w:spacing w:val="-2"/>
                <w:sz w:val="19"/>
                <w:szCs w:val="19"/>
                <w:lang w:eastAsia="en-US"/>
              </w:rPr>
              <w:t>pb</w:t>
            </w:r>
            <w:proofErr w:type="spellEnd"/>
            <w:r w:rsidR="000666E0">
              <w:rPr>
                <w:spacing w:val="-2"/>
                <w:sz w:val="19"/>
                <w:szCs w:val="19"/>
                <w:lang w:eastAsia="en-US"/>
              </w:rPr>
              <w:t>.</w:t>
            </w:r>
            <w:r w:rsidRPr="003D34B4">
              <w:rPr>
                <w:spacing w:val="-2"/>
                <w:sz w:val="19"/>
                <w:szCs w:val="19"/>
                <w:lang w:eastAsia="en-US"/>
              </w:rPr>
              <w:t xml:space="preserve">; + =zvětšení dluhu, - =zmenšení dluhu; </w:t>
            </w:r>
            <w:r w:rsidRPr="003D34B4">
              <w:rPr>
                <w:spacing w:val="-2"/>
                <w:sz w:val="18"/>
                <w:szCs w:val="18"/>
                <w:lang w:eastAsia="en-US"/>
              </w:rPr>
              <w:t>z dat dluhu jako %</w:t>
            </w:r>
            <w:r w:rsidRPr="003D34B4">
              <w:rPr>
                <w:spacing w:val="-2"/>
                <w:sz w:val="19"/>
                <w:szCs w:val="19"/>
                <w:lang w:eastAsia="en-US"/>
              </w:rPr>
              <w:t xml:space="preserve"> </w:t>
            </w:r>
            <w:r w:rsidRPr="003D34B4">
              <w:rPr>
                <w:spacing w:val="-2"/>
                <w:sz w:val="18"/>
                <w:szCs w:val="18"/>
                <w:lang w:eastAsia="en-US"/>
              </w:rPr>
              <w:t>HDP)</w:t>
            </w:r>
            <w:r w:rsidRPr="003D34B4">
              <w:rPr>
                <w:b/>
                <w:spacing w:val="-2"/>
                <w:lang w:eastAsia="en-US"/>
              </w:rPr>
              <w:t xml:space="preserve"> </w:t>
            </w:r>
          </w:p>
        </w:tc>
      </w:tr>
      <w:tr w:rsidR="005D5A35" w:rsidRPr="007D44C3" w:rsidTr="003D34B4">
        <w:tc>
          <w:tcPr>
            <w:tcW w:w="2440" w:type="pct"/>
            <w:gridSpan w:val="2"/>
          </w:tcPr>
          <w:p w:rsidR="005D5A35" w:rsidRPr="003D34B4" w:rsidRDefault="00DE56AE" w:rsidP="003D34B4">
            <w:pPr>
              <w:pStyle w:val="Textpoznpodarou"/>
              <w:jc w:val="both"/>
              <w:rPr>
                <w:sz w:val="22"/>
                <w:lang w:eastAsia="en-US"/>
              </w:rPr>
            </w:pPr>
            <w:r w:rsidRPr="00FE2BC2">
              <w:rPr>
                <w:noProof/>
                <w:sz w:val="22"/>
              </w:rPr>
              <w:pict>
                <v:shape id="_x0000_i1519" type="#_x0000_t75" style="width:232.5pt;height:194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">
                  <v:imagedata r:id="rId25" o:title=""/>
                  <o:lock v:ext="edit" aspectratio="f"/>
                </v:shape>
              </w:pict>
            </w:r>
          </w:p>
        </w:tc>
        <w:tc>
          <w:tcPr>
            <w:tcW w:w="2560" w:type="pct"/>
            <w:gridSpan w:val="2"/>
          </w:tcPr>
          <w:p w:rsidR="005D5A35" w:rsidRPr="003D34B4" w:rsidRDefault="00DE56AE" w:rsidP="003D34B4">
            <w:pPr>
              <w:pStyle w:val="Textpoznpodarou"/>
              <w:jc w:val="both"/>
              <w:rPr>
                <w:sz w:val="22"/>
                <w:lang w:eastAsia="en-US"/>
              </w:rPr>
            </w:pPr>
            <w:r w:rsidRPr="00FE2BC2">
              <w:rPr>
                <w:noProof/>
                <w:sz w:val="22"/>
              </w:rPr>
              <w:pict>
                <v:shape id="_x0000_i1520" type="#_x0000_t75" style="width:244.5pt;height:194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">
                  <v:imagedata r:id="rId26" o:title=""/>
                  <o:lock v:ext="edit" aspectratio="f"/>
                </v:shape>
              </w:pict>
            </w:r>
          </w:p>
        </w:tc>
      </w:tr>
    </w:tbl>
    <w:p w:rsidR="005D5A35" w:rsidRPr="00CC4DDF" w:rsidRDefault="005D5A35" w:rsidP="00CC4DDF">
      <w:pPr>
        <w:rPr>
          <w:sz w:val="4"/>
          <w:szCs w:val="4"/>
        </w:rPr>
      </w:pPr>
    </w:p>
    <w:p w:rsidR="005D5A35" w:rsidRDefault="005D5A35" w:rsidP="00CC4DDF">
      <w:pPr>
        <w:rPr>
          <w:sz w:val="18"/>
          <w:szCs w:val="18"/>
        </w:rPr>
      </w:pPr>
      <w:r>
        <w:rPr>
          <w:sz w:val="18"/>
          <w:szCs w:val="18"/>
        </w:rPr>
        <w:t>*Pozn.: NISD jsou neziskové instituce sloužící domácnostem.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</w:t>
      </w:r>
      <w:r w:rsidR="007A155D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</w:t>
      </w:r>
      <w:r w:rsidR="00786303">
        <w:rPr>
          <w:sz w:val="18"/>
          <w:szCs w:val="18"/>
        </w:rPr>
        <w:t xml:space="preserve">  </w:t>
      </w:r>
      <w:r w:rsidR="007A155D">
        <w:rPr>
          <w:sz w:val="18"/>
          <w:szCs w:val="18"/>
        </w:rPr>
        <w:t>Zdroj:</w:t>
      </w:r>
      <w:r w:rsidR="00786303">
        <w:rPr>
          <w:sz w:val="18"/>
          <w:szCs w:val="18"/>
        </w:rPr>
        <w:t xml:space="preserve"> </w:t>
      </w:r>
      <w:proofErr w:type="spellStart"/>
      <w:r w:rsidR="00786303">
        <w:rPr>
          <w:sz w:val="18"/>
          <w:szCs w:val="18"/>
        </w:rPr>
        <w:t>Eurostat</w:t>
      </w:r>
      <w:proofErr w:type="spellEnd"/>
      <w:r w:rsidR="00786303">
        <w:rPr>
          <w:sz w:val="18"/>
          <w:szCs w:val="18"/>
        </w:rPr>
        <w:t>, vlastní vý</w:t>
      </w:r>
      <w:r w:rsidRPr="007563E7">
        <w:rPr>
          <w:sz w:val="18"/>
          <w:szCs w:val="18"/>
        </w:rPr>
        <w:t>počty</w:t>
      </w:r>
    </w:p>
    <w:p w:rsidR="005D5A35" w:rsidRPr="0098358E" w:rsidRDefault="005D5A35" w:rsidP="001306B1">
      <w:pPr>
        <w:jc w:val="right"/>
        <w:rPr>
          <w:sz w:val="16"/>
          <w:szCs w:val="16"/>
        </w:rPr>
      </w:pPr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2037"/>
        <w:gridCol w:w="272"/>
        <w:gridCol w:w="7468"/>
      </w:tblGrid>
      <w:tr w:rsidR="005D5A35" w:rsidRPr="00602D1D" w:rsidTr="009F19BA">
        <w:tc>
          <w:tcPr>
            <w:tcW w:w="1042" w:type="pct"/>
          </w:tcPr>
          <w:p w:rsidR="005D5A35" w:rsidRPr="00602D1D" w:rsidRDefault="005D5A35" w:rsidP="00004BDD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 Evropě začala klesat nejen zadluženost sektoru vládních in</w:t>
            </w:r>
            <w:r w:rsidR="00004BDD">
              <w:rPr>
                <w:color w:val="000000"/>
                <w:sz w:val="16"/>
                <w:szCs w:val="16"/>
              </w:rPr>
              <w:t>stitucí, ale v některých zemích</w:t>
            </w:r>
            <w:r>
              <w:rPr>
                <w:color w:val="000000"/>
                <w:sz w:val="16"/>
                <w:szCs w:val="16"/>
              </w:rPr>
              <w:t xml:space="preserve"> i</w:t>
            </w:r>
            <w:r w:rsidR="00004BDD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soukromá zadluženost</w:t>
            </w:r>
            <w:r w:rsidRPr="00602D1D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– výrazně však stoupla např. na Kypru…,</w:t>
            </w:r>
          </w:p>
        </w:tc>
        <w:tc>
          <w:tcPr>
            <w:tcW w:w="139" w:type="pct"/>
          </w:tcPr>
          <w:p w:rsidR="005D5A35" w:rsidRDefault="005D5A35" w:rsidP="009F19BA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591A22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Snaha mírnit zadluženost svých veřejných sektorů je patrná </w:t>
            </w:r>
            <w:r w:rsidR="00B155A3">
              <w:rPr>
                <w:color w:val="000000"/>
                <w:spacing w:val="-2"/>
              </w:rPr>
              <w:t>u</w:t>
            </w:r>
            <w:r>
              <w:rPr>
                <w:color w:val="000000"/>
                <w:spacing w:val="-2"/>
              </w:rPr>
              <w:t xml:space="preserve"> většin</w:t>
            </w:r>
            <w:r w:rsidR="00B155A3">
              <w:rPr>
                <w:color w:val="000000"/>
                <w:spacing w:val="-2"/>
              </w:rPr>
              <w:t>y</w:t>
            </w:r>
            <w:r>
              <w:rPr>
                <w:color w:val="000000"/>
                <w:spacing w:val="-2"/>
              </w:rPr>
              <w:t xml:space="preserve"> zemí EU, klesá však i relace soukromého dluhu k HDP jak je vidět z grafu 15. Mezi roky 2011 a</w:t>
            </w:r>
            <w:r w:rsidR="00004BDD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>2013 došlo k jejímu zmenšení nejv</w:t>
            </w:r>
            <w:r w:rsidR="00B155A3">
              <w:rPr>
                <w:color w:val="000000"/>
                <w:spacing w:val="-2"/>
              </w:rPr>
              <w:t>ýznamnější m</w:t>
            </w:r>
            <w:r>
              <w:rPr>
                <w:color w:val="000000"/>
                <w:spacing w:val="-2"/>
              </w:rPr>
              <w:t>ěrou v Litvě, Polsku a Itál</w:t>
            </w:r>
            <w:r w:rsidR="009F408C">
              <w:rPr>
                <w:color w:val="000000"/>
                <w:spacing w:val="-2"/>
              </w:rPr>
              <w:t>i</w:t>
            </w:r>
            <w:r>
              <w:rPr>
                <w:color w:val="000000"/>
                <w:spacing w:val="-2"/>
              </w:rPr>
              <w:t>i. Naopak na</w:t>
            </w:r>
            <w:r w:rsidR="00004BDD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>Kypru převýšila zadluženost tamějšího soukromého sektoru 200 % nominálního HDP poprvé v roce 2011 a v roce 2013 činila 218 % (zatímco v roce 2011 činil dluh 125 %, v roce 2013 již 349 % kyperského HDP).</w:t>
            </w:r>
          </w:p>
          <w:p w:rsidR="005D5A35" w:rsidRPr="0098358E" w:rsidRDefault="005D5A35" w:rsidP="00591A22">
            <w:pPr>
              <w:pStyle w:val="Textpoznpodarou"/>
              <w:jc w:val="both"/>
              <w:rPr>
                <w:color w:val="000000"/>
                <w:spacing w:val="-2"/>
                <w:sz w:val="16"/>
                <w:szCs w:val="16"/>
              </w:rPr>
            </w:pPr>
          </w:p>
        </w:tc>
      </w:tr>
      <w:tr w:rsidR="005D5A35" w:rsidRPr="00602D1D" w:rsidTr="00591A22">
        <w:tc>
          <w:tcPr>
            <w:tcW w:w="1042" w:type="pct"/>
          </w:tcPr>
          <w:p w:rsidR="005D5A35" w:rsidRPr="00602D1D" w:rsidRDefault="005D5A35" w:rsidP="007351BA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 ale celkově došlo ke</w:t>
            </w:r>
            <w:r w:rsidR="00004BDD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zhoršení v osmi zemích EU 27 podle posledních dat za roku 2013</w:t>
            </w: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  <w:p w:rsidR="005D5A35" w:rsidRPr="00602D1D" w:rsidRDefault="005D5A35" w:rsidP="007351BA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9" w:type="pct"/>
          </w:tcPr>
          <w:p w:rsidR="005D5A35" w:rsidRDefault="005D5A35" w:rsidP="007351BA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Pr="00602D1D" w:rsidRDefault="005D5A35" w:rsidP="00004BDD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Soukromá zadluženost se v posledních dvou letech (do roku 2013 včetně, za nějž jsou v době zpracování této analýzy k dispozici posledn</w:t>
            </w:r>
            <w:r w:rsidR="00B155A3">
              <w:rPr>
                <w:color w:val="000000"/>
                <w:spacing w:val="-2"/>
              </w:rPr>
              <w:t>í data) zhoršila v osmi zemích U</w:t>
            </w:r>
            <w:r>
              <w:rPr>
                <w:color w:val="000000"/>
                <w:spacing w:val="-2"/>
              </w:rPr>
              <w:t>nie z 27 sledovaných. Jistě zajímavý by byl údaj za Spojené království. Není však k</w:t>
            </w:r>
            <w:r w:rsidR="00004BDD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>dispozici, protože chybí údaj o zadluženost britských domácností, která nepochybně není nízká vzhledem k tradici pořizování vlastního bydlení a s tím spojeným hypotečním úvěrováním – tyto půjčky byly navíc v posledních dvou letech podporovány opatření</w:t>
            </w:r>
            <w:r w:rsidR="00B155A3">
              <w:rPr>
                <w:color w:val="000000"/>
                <w:spacing w:val="-2"/>
              </w:rPr>
              <w:t>mi</w:t>
            </w:r>
            <w:r>
              <w:rPr>
                <w:color w:val="000000"/>
                <w:spacing w:val="-2"/>
              </w:rPr>
              <w:t xml:space="preserve"> přijatými ke zmírnění recese, jíž předtím ekonomika Spojeného království procházela. </w:t>
            </w:r>
          </w:p>
        </w:tc>
      </w:tr>
    </w:tbl>
    <w:p w:rsidR="005D5A35" w:rsidRPr="0098358E" w:rsidRDefault="005D5A35" w:rsidP="00686D87">
      <w:pPr>
        <w:rPr>
          <w:b/>
          <w:sz w:val="16"/>
          <w:szCs w:val="16"/>
        </w:rPr>
      </w:pPr>
    </w:p>
    <w:p w:rsidR="005D5A35" w:rsidRPr="006E15CB" w:rsidRDefault="005D5A35" w:rsidP="008B0C8B">
      <w:pPr>
        <w:pStyle w:val="Nadpis3"/>
        <w:numPr>
          <w:ilvl w:val="2"/>
          <w:numId w:val="6"/>
        </w:numPr>
      </w:pPr>
      <w:bookmarkStart w:id="6" w:name="_Toc426017671"/>
      <w:r w:rsidRPr="006E15CB">
        <w:t>„Komplexní dluh“ – zadluženost vládních institucí a soukromého sektoru</w:t>
      </w:r>
      <w:bookmarkEnd w:id="6"/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2037"/>
        <w:gridCol w:w="272"/>
        <w:gridCol w:w="7468"/>
      </w:tblGrid>
      <w:tr w:rsidR="005D5A35" w:rsidRPr="00602D1D" w:rsidTr="00DA5CAB">
        <w:tc>
          <w:tcPr>
            <w:tcW w:w="1042" w:type="pct"/>
          </w:tcPr>
          <w:p w:rsidR="005D5A35" w:rsidRPr="00602D1D" w:rsidRDefault="005D5A35" w:rsidP="00DA5CAB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ČR má dlouhodobě velmi nízké „komplex</w:t>
            </w:r>
            <w:r w:rsidR="009F408C">
              <w:rPr>
                <w:color w:val="000000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í“ zadlužení v relaci k HDP, tj.</w:t>
            </w:r>
            <w:r w:rsidR="00004BDD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sloučené dluhy čtyř institucionálních sektorů</w:t>
            </w: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  <w:p w:rsidR="005D5A35" w:rsidRPr="00602D1D" w:rsidRDefault="005D5A35" w:rsidP="00DA5CAB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9" w:type="pct"/>
          </w:tcPr>
          <w:p w:rsidR="005D5A35" w:rsidRDefault="005D5A35" w:rsidP="00DA5CAB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DC344C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Sloučením zadluženosti čtyř institucionálních sektorů české ekonomiky, tj. kromě finančního</w:t>
            </w:r>
            <w:r>
              <w:rPr>
                <w:rStyle w:val="Znakapoznpodarou"/>
                <w:color w:val="000000"/>
                <w:spacing w:val="-2"/>
              </w:rPr>
              <w:footnoteReference w:id="3"/>
            </w:r>
            <w:r>
              <w:rPr>
                <w:color w:val="000000"/>
                <w:spacing w:val="-2"/>
              </w:rPr>
              <w:t xml:space="preserve"> především sektor nefinančních podniků, vládních institucí, domácností a</w:t>
            </w:r>
            <w:r w:rsidR="00004BDD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 xml:space="preserve">neziskových institucí sloužících domácnostem, se lze dobrat ke „komplexní“ zadluženosti těchto sektorů. Ta je v případě České republiky v evropském srovnání opět velmi nízká, a to dlouhodobě. </w:t>
            </w:r>
          </w:p>
          <w:p w:rsidR="005D5A35" w:rsidRPr="00997EEB" w:rsidRDefault="005D5A35" w:rsidP="00F636E3">
            <w:pPr>
              <w:pStyle w:val="Textpoznpodarou"/>
              <w:jc w:val="both"/>
              <w:rPr>
                <w:color w:val="000000"/>
                <w:spacing w:val="-2"/>
                <w:sz w:val="16"/>
                <w:szCs w:val="16"/>
              </w:rPr>
            </w:pPr>
          </w:p>
        </w:tc>
      </w:tr>
      <w:tr w:rsidR="005D5A35" w:rsidRPr="00602D1D" w:rsidTr="00DA5CAB">
        <w:tc>
          <w:tcPr>
            <w:tcW w:w="1042" w:type="pct"/>
          </w:tcPr>
          <w:p w:rsidR="005D5A35" w:rsidRPr="00602D1D" w:rsidRDefault="005D5A35" w:rsidP="00DA5CAB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„Komplexní“ zadlužení ČR je tak nízké, že ve většině zemí EU dosahuje vyšší relace jen samotná soukromá zadluženost a</w:t>
            </w:r>
            <w:r w:rsidR="00004BDD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ve</w:t>
            </w:r>
            <w:r w:rsidR="00004BDD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čtyřech zemích dokonce i zadluženost vlád</w:t>
            </w: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  <w:p w:rsidR="005D5A35" w:rsidRPr="00602D1D" w:rsidRDefault="005D5A35" w:rsidP="00DA5CAB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9" w:type="pct"/>
          </w:tcPr>
          <w:p w:rsidR="005D5A35" w:rsidRDefault="005D5A35" w:rsidP="00DA5CAB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736EB6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Takto definovaná sektorová zadluženost byla v ČR rovněž velmi nízká ve srovnání se zadluženost</w:t>
            </w:r>
            <w:r w:rsidR="00DB7969">
              <w:rPr>
                <w:color w:val="000000"/>
                <w:spacing w:val="-2"/>
              </w:rPr>
              <w:t>í</w:t>
            </w:r>
            <w:r>
              <w:rPr>
                <w:color w:val="000000"/>
                <w:spacing w:val="-2"/>
              </w:rPr>
              <w:t xml:space="preserve"> většiny zemí EU, přičemž velmi pozitivní je, </w:t>
            </w:r>
            <w:r w:rsidR="00BE572B">
              <w:rPr>
                <w:color w:val="000000"/>
                <w:spacing w:val="-2"/>
              </w:rPr>
              <w:t xml:space="preserve">že </w:t>
            </w:r>
            <w:r>
              <w:rPr>
                <w:color w:val="000000"/>
                <w:spacing w:val="-2"/>
              </w:rPr>
              <w:t>jde o dlouhodobou záležitost. V samotném v roce 2013 činila takto vyjádřen</w:t>
            </w:r>
            <w:r w:rsidR="00B155A3">
              <w:rPr>
                <w:color w:val="000000"/>
                <w:spacing w:val="-2"/>
              </w:rPr>
              <w:t>á</w:t>
            </w:r>
            <w:r>
              <w:rPr>
                <w:color w:val="000000"/>
                <w:spacing w:val="-2"/>
              </w:rPr>
              <w:t xml:space="preserve"> sektorová zadluženost 118,7 % nominálního HDP. Bylo to </w:t>
            </w:r>
            <w:r w:rsidR="00B155A3">
              <w:rPr>
                <w:color w:val="000000"/>
                <w:spacing w:val="-2"/>
              </w:rPr>
              <w:t>natolik</w:t>
            </w:r>
            <w:r>
              <w:rPr>
                <w:color w:val="000000"/>
                <w:spacing w:val="-2"/>
              </w:rPr>
              <w:t xml:space="preserve"> nízké zadlužení, že v nadpoloviční většině</w:t>
            </w:r>
            <w:r w:rsidR="009F408C">
              <w:rPr>
                <w:color w:val="000000"/>
                <w:spacing w:val="-2"/>
              </w:rPr>
              <w:t xml:space="preserve"> zemí EU (celkem v 15 státech) </w:t>
            </w:r>
            <w:r>
              <w:rPr>
                <w:color w:val="000000"/>
                <w:spacing w:val="-2"/>
              </w:rPr>
              <w:t>byla vyšší než tento výsledek dokonce jen samotná sou</w:t>
            </w:r>
            <w:r w:rsidR="00B155A3">
              <w:rPr>
                <w:color w:val="000000"/>
                <w:spacing w:val="-2"/>
              </w:rPr>
              <w:t>kromá zadluženost a čtyři země U</w:t>
            </w:r>
            <w:r>
              <w:rPr>
                <w:color w:val="000000"/>
                <w:spacing w:val="-2"/>
              </w:rPr>
              <w:t>nie měly - oproti komplexní zadluženosti ČR - vyšší i zadluženost svých vládních sektorů.</w:t>
            </w:r>
          </w:p>
          <w:p w:rsidR="005D5A35" w:rsidRPr="003E193E" w:rsidRDefault="005D5A35" w:rsidP="00736EB6">
            <w:pPr>
              <w:pStyle w:val="Textpoznpodarou"/>
              <w:jc w:val="both"/>
              <w:rPr>
                <w:color w:val="000000"/>
                <w:spacing w:val="-2"/>
                <w:sz w:val="16"/>
                <w:szCs w:val="16"/>
              </w:rPr>
            </w:pPr>
            <w:r>
              <w:rPr>
                <w:color w:val="000000"/>
                <w:spacing w:val="-2"/>
              </w:rPr>
              <w:t xml:space="preserve"> </w:t>
            </w:r>
          </w:p>
        </w:tc>
      </w:tr>
      <w:tr w:rsidR="005D5A35" w:rsidRPr="00602D1D" w:rsidTr="00DA5CAB">
        <w:tc>
          <w:tcPr>
            <w:tcW w:w="1042" w:type="pct"/>
          </w:tcPr>
          <w:p w:rsidR="005D5A35" w:rsidRPr="00602D1D" w:rsidRDefault="00004BDD" w:rsidP="009F408C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Lepší než</w:t>
            </w:r>
            <w:r w:rsidR="009F408C">
              <w:rPr>
                <w:color w:val="000000"/>
                <w:sz w:val="16"/>
                <w:szCs w:val="16"/>
              </w:rPr>
              <w:t xml:space="preserve"> ČR byla, </w:t>
            </w:r>
            <w:r w:rsidR="005D5A35">
              <w:rPr>
                <w:color w:val="000000"/>
                <w:sz w:val="16"/>
                <w:szCs w:val="16"/>
              </w:rPr>
              <w:t>pokud jde o“komplexní“ zadluženost k</w:t>
            </w:r>
            <w:r w:rsidR="009F408C">
              <w:rPr>
                <w:color w:val="000000"/>
                <w:sz w:val="16"/>
                <w:szCs w:val="16"/>
              </w:rPr>
              <w:t> </w:t>
            </w:r>
            <w:r w:rsidR="005D5A35">
              <w:rPr>
                <w:color w:val="000000"/>
                <w:sz w:val="16"/>
                <w:szCs w:val="16"/>
              </w:rPr>
              <w:t>HDP</w:t>
            </w:r>
            <w:r w:rsidR="009F408C">
              <w:rPr>
                <w:color w:val="000000"/>
                <w:sz w:val="16"/>
                <w:szCs w:val="16"/>
              </w:rPr>
              <w:t>,</w:t>
            </w:r>
            <w:r w:rsidR="005D5A35">
              <w:rPr>
                <w:color w:val="000000"/>
                <w:sz w:val="16"/>
                <w:szCs w:val="16"/>
              </w:rPr>
              <w:t xml:space="preserve"> jen Litva a Rumunsko </w:t>
            </w:r>
          </w:p>
        </w:tc>
        <w:tc>
          <w:tcPr>
            <w:tcW w:w="139" w:type="pct"/>
          </w:tcPr>
          <w:p w:rsidR="005D5A35" w:rsidRDefault="005D5A35" w:rsidP="00DA5CAB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Pr="00997EEB" w:rsidRDefault="005D5A35" w:rsidP="0098358E">
            <w:pPr>
              <w:pStyle w:val="Textpoznpodarou"/>
              <w:jc w:val="both"/>
              <w:rPr>
                <w:color w:val="000000"/>
                <w:spacing w:val="-6"/>
              </w:rPr>
            </w:pPr>
            <w:r w:rsidRPr="00997EEB">
              <w:rPr>
                <w:color w:val="000000"/>
                <w:spacing w:val="-6"/>
              </w:rPr>
              <w:t xml:space="preserve">Příznivější výsledek v „komplexní“ zadluženosti než měla v roce 2013 </w:t>
            </w:r>
            <w:r w:rsidR="00997EEB">
              <w:rPr>
                <w:color w:val="000000"/>
                <w:spacing w:val="-6"/>
              </w:rPr>
              <w:t>ČR</w:t>
            </w:r>
            <w:r w:rsidRPr="00997EEB">
              <w:rPr>
                <w:color w:val="000000"/>
                <w:spacing w:val="-6"/>
              </w:rPr>
              <w:t xml:space="preserve"> (118,1 %), dosáhl</w:t>
            </w:r>
            <w:r w:rsidR="00B155A3">
              <w:rPr>
                <w:color w:val="000000"/>
                <w:spacing w:val="-6"/>
              </w:rPr>
              <w:t>y</w:t>
            </w:r>
            <w:r w:rsidRPr="00997EEB">
              <w:rPr>
                <w:color w:val="000000"/>
                <w:spacing w:val="-6"/>
              </w:rPr>
              <w:t xml:space="preserve"> ze zemí EU jen Litva (95,1 % HDP) a Rumunsko (104,5 %). Jde</w:t>
            </w:r>
            <w:r w:rsidR="005172F4">
              <w:rPr>
                <w:color w:val="000000"/>
                <w:spacing w:val="-6"/>
              </w:rPr>
              <w:t xml:space="preserve"> o</w:t>
            </w:r>
            <w:r w:rsidRPr="00997EEB">
              <w:rPr>
                <w:color w:val="000000"/>
                <w:spacing w:val="-6"/>
              </w:rPr>
              <w:t xml:space="preserve"> země méně ekonomicky vyspělé, porovnáme-li je podle HDP na</w:t>
            </w:r>
            <w:r w:rsidR="0098358E" w:rsidRPr="00997EEB">
              <w:rPr>
                <w:color w:val="000000"/>
                <w:spacing w:val="-6"/>
              </w:rPr>
              <w:t xml:space="preserve"> obyvatele v paritě kupní síly.</w:t>
            </w:r>
            <w:r w:rsidRPr="00997EEB">
              <w:rPr>
                <w:color w:val="000000"/>
                <w:spacing w:val="-6"/>
              </w:rPr>
              <w:t xml:space="preserve"> </w:t>
            </w:r>
          </w:p>
          <w:p w:rsidR="00997EEB" w:rsidRPr="00997EEB" w:rsidRDefault="00997EEB" w:rsidP="0098358E">
            <w:pPr>
              <w:pStyle w:val="Textpoznpodarou"/>
              <w:jc w:val="both"/>
              <w:rPr>
                <w:color w:val="000000"/>
                <w:spacing w:val="-2"/>
                <w:sz w:val="16"/>
                <w:szCs w:val="16"/>
              </w:rPr>
            </w:pPr>
          </w:p>
        </w:tc>
      </w:tr>
      <w:tr w:rsidR="005D5A35" w:rsidRPr="00602D1D" w:rsidTr="00DA5CAB">
        <w:tc>
          <w:tcPr>
            <w:tcW w:w="1042" w:type="pct"/>
          </w:tcPr>
          <w:p w:rsidR="005D5A35" w:rsidRDefault="005D5A35" w:rsidP="00004BDD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Ambivalentní vliv dluhů na</w:t>
            </w:r>
            <w:r w:rsidR="00004BDD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 xml:space="preserve">ekonomický růst  </w:t>
            </w:r>
          </w:p>
        </w:tc>
        <w:tc>
          <w:tcPr>
            <w:tcW w:w="139" w:type="pct"/>
          </w:tcPr>
          <w:p w:rsidR="005D5A35" w:rsidRDefault="005D5A35" w:rsidP="00DA5CAB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004BDD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Ovšem jak se ukázalo, z obecného hlediska právě dluhová angažovanost - kdy za</w:t>
            </w:r>
            <w:r w:rsidR="00004BDD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 xml:space="preserve">pomoci dluhů byl po velmi dlouhou dobu fakticky financován ekonomický růst vyspělého světa  -  stála za finanční krizí v roce 2008 a následnou hospodářskou </w:t>
            </w:r>
            <w:r>
              <w:rPr>
                <w:color w:val="000000"/>
                <w:spacing w:val="-2"/>
              </w:rPr>
              <w:lastRenderedPageBreak/>
              <w:t>recesí, jíž prošla většina vyspělých ekonomik. Lze tedy s opatrností soudit, že méně vyspělé ekonomiky tak byly svou malou relativní zadlužeností jistým způsobem před</w:t>
            </w:r>
            <w:r w:rsidR="00004BDD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>výkyvem „chráněny“. Jejich dluhy se nestačily během relativně krátké doby fungování tržního modelu ekonomiky nakumulovat.</w:t>
            </w:r>
            <w:r w:rsidRPr="00553225">
              <w:rPr>
                <w:i/>
                <w:color w:val="000000"/>
                <w:spacing w:val="-2"/>
              </w:rPr>
              <w:t xml:space="preserve"> </w:t>
            </w:r>
          </w:p>
        </w:tc>
      </w:tr>
    </w:tbl>
    <w:p w:rsidR="005D5A35" w:rsidRPr="00997EEB" w:rsidRDefault="005D5A35" w:rsidP="00686D87">
      <w:pPr>
        <w:rPr>
          <w:sz w:val="12"/>
          <w:szCs w:val="12"/>
        </w:rPr>
      </w:pPr>
    </w:p>
    <w:p w:rsidR="005D5A35" w:rsidRDefault="005D5A35" w:rsidP="00686D87">
      <w:r w:rsidRPr="000458C6">
        <w:t>Graf 16:</w:t>
      </w:r>
      <w:r w:rsidRPr="00D06438">
        <w:rPr>
          <w:b/>
        </w:rPr>
        <w:t xml:space="preserve"> Úhrn soukromé zadluženosti a hrubého konsolidovaného dluhu sektoru vládní</w:t>
      </w:r>
      <w:r>
        <w:rPr>
          <w:b/>
        </w:rPr>
        <w:t>c</w:t>
      </w:r>
      <w:r w:rsidRPr="00D06438">
        <w:rPr>
          <w:b/>
        </w:rPr>
        <w:t xml:space="preserve">h </w:t>
      </w:r>
      <w:r w:rsidRPr="00E767BA">
        <w:rPr>
          <w:b/>
        </w:rPr>
        <w:t xml:space="preserve">institucí </w:t>
      </w:r>
      <w:r w:rsidRPr="00D06438">
        <w:rPr>
          <w:b/>
        </w:rPr>
        <w:t>v EU</w:t>
      </w:r>
      <w:r w:rsidR="00C9531C">
        <w:t xml:space="preserve"> (</w:t>
      </w:r>
      <w:proofErr w:type="gramStart"/>
      <w:r w:rsidR="00C9531C">
        <w:t>2013,</w:t>
      </w:r>
      <w:r w:rsidR="005D5B8F">
        <w:t xml:space="preserve"> </w:t>
      </w:r>
      <w:r>
        <w:t>v % nominálního</w:t>
      </w:r>
      <w:proofErr w:type="gramEnd"/>
      <w:r>
        <w:t xml:space="preserve"> HDP)</w:t>
      </w:r>
    </w:p>
    <w:p w:rsidR="005D5A35" w:rsidRPr="005339BC" w:rsidRDefault="005D5A35" w:rsidP="00686D87">
      <w:pPr>
        <w:rPr>
          <w:sz w:val="6"/>
          <w:szCs w:val="6"/>
        </w:rPr>
      </w:pPr>
    </w:p>
    <w:p w:rsidR="005D5A35" w:rsidRDefault="00DE56AE" w:rsidP="00E82428">
      <w:pPr>
        <w:jc w:val="center"/>
      </w:pPr>
      <w:r>
        <w:rPr>
          <w:noProof/>
        </w:rPr>
        <w:pict>
          <v:shape id="_x0000_i1521" type="#_x0000_t75" style="width:438.75pt;height:16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">
            <v:imagedata r:id="rId27" o:title="" cropbottom="-36f"/>
            <o:lock v:ext="edit" aspectratio="f"/>
          </v:shape>
        </w:pict>
      </w:r>
    </w:p>
    <w:p w:rsidR="005D5A35" w:rsidRPr="00F90D12" w:rsidRDefault="00451A03" w:rsidP="00F90D12">
      <w:pPr>
        <w:jc w:val="right"/>
        <w:rPr>
          <w:sz w:val="18"/>
          <w:szCs w:val="18"/>
        </w:rPr>
      </w:pPr>
      <w:r>
        <w:rPr>
          <w:sz w:val="18"/>
          <w:szCs w:val="18"/>
        </w:rPr>
        <w:t>Zdroj:</w:t>
      </w:r>
      <w:r w:rsidR="00871782">
        <w:rPr>
          <w:sz w:val="18"/>
          <w:szCs w:val="18"/>
        </w:rPr>
        <w:t xml:space="preserve"> </w:t>
      </w:r>
      <w:proofErr w:type="spellStart"/>
      <w:r w:rsidR="00871782">
        <w:rPr>
          <w:sz w:val="18"/>
          <w:szCs w:val="18"/>
        </w:rPr>
        <w:t>Eurostat</w:t>
      </w:r>
      <w:proofErr w:type="spellEnd"/>
      <w:r w:rsidR="00871782">
        <w:rPr>
          <w:sz w:val="18"/>
          <w:szCs w:val="18"/>
        </w:rPr>
        <w:t>, vlastní vý</w:t>
      </w:r>
      <w:r w:rsidR="005D5A35" w:rsidRPr="007563E7">
        <w:rPr>
          <w:sz w:val="18"/>
          <w:szCs w:val="18"/>
        </w:rPr>
        <w:t>počty</w:t>
      </w:r>
    </w:p>
    <w:p w:rsidR="005D5A35" w:rsidRPr="00997EEB" w:rsidRDefault="005D5A35" w:rsidP="00686D87">
      <w:pPr>
        <w:rPr>
          <w:sz w:val="12"/>
          <w:szCs w:val="12"/>
        </w:rPr>
      </w:pPr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2037"/>
        <w:gridCol w:w="272"/>
        <w:gridCol w:w="7468"/>
      </w:tblGrid>
      <w:tr w:rsidR="005D5A35" w:rsidRPr="00602D1D" w:rsidTr="007351BA">
        <w:tc>
          <w:tcPr>
            <w:tcW w:w="1042" w:type="pct"/>
          </w:tcPr>
          <w:p w:rsidR="005D5A35" w:rsidRPr="00602D1D" w:rsidRDefault="005D5A35" w:rsidP="00E767BA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Z obvykle srovnávaných zemí středoevropského regionu je relativní zadluženost vládních institucí nejnižší, a to významně; u soukromého dluhu není odstup tak značný</w:t>
            </w:r>
            <w:r w:rsidRPr="00602D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9" w:type="pct"/>
          </w:tcPr>
          <w:p w:rsidR="005D5A35" w:rsidRDefault="005D5A35" w:rsidP="007351BA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237819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Ze zemí zpravidla nejčastěji srovnávaných je Česká republika opět zemí s velmi příznivým výsledkem (graf 18). Oproti Slovensku, Polsku, Maďarsku, Slovinsku a</w:t>
            </w:r>
            <w:r w:rsidR="003E193E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>zejména Německu je hrubý konsolidovaný dluh vládního sektoru nejnižší. Pokud se jedná o dluhy soukromého sektoru, není odstup ostatních zemí od této zadluženosti v</w:t>
            </w:r>
            <w:r w:rsidR="003E193E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>ČR tak významný – ve srovnání s dluhy soukr</w:t>
            </w:r>
            <w:r w:rsidR="00B06EE6">
              <w:rPr>
                <w:color w:val="000000"/>
                <w:spacing w:val="-2"/>
              </w:rPr>
              <w:t>omých sektorů v Polsku (74,8 %</w:t>
            </w:r>
            <w:r w:rsidR="009773AE">
              <w:rPr>
                <w:color w:val="000000"/>
                <w:spacing w:val="-2"/>
              </w:rPr>
              <w:t>)</w:t>
            </w:r>
            <w:r w:rsidR="00B06EE6"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  <w:spacing w:val="-2"/>
              </w:rPr>
              <w:t>a</w:t>
            </w:r>
            <w:r w:rsidR="003E193E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>na Slovensku (74 % nominálního HDP) je výsledek za ČR (73,7 %) téměř totožný. Německé nakumulované dluhy naproti tomu</w:t>
            </w:r>
            <w:r w:rsidR="009773AE">
              <w:rPr>
                <w:color w:val="000000"/>
                <w:spacing w:val="-2"/>
              </w:rPr>
              <w:t xml:space="preserve"> dosahují</w:t>
            </w:r>
            <w:r>
              <w:rPr>
                <w:color w:val="000000"/>
                <w:spacing w:val="-2"/>
              </w:rPr>
              <w:t xml:space="preserve"> 77,1 % HDP v případě dluhu vládních institucí a 180 % u dluhu soukromého. </w:t>
            </w:r>
          </w:p>
          <w:p w:rsidR="005D5A35" w:rsidRPr="00997EEB" w:rsidRDefault="005D5A35" w:rsidP="00237819">
            <w:pPr>
              <w:pStyle w:val="Textpoznpodarou"/>
              <w:jc w:val="both"/>
              <w:rPr>
                <w:color w:val="000000"/>
                <w:spacing w:val="-2"/>
                <w:sz w:val="12"/>
                <w:szCs w:val="12"/>
              </w:rPr>
            </w:pPr>
            <w:r>
              <w:rPr>
                <w:color w:val="000000"/>
                <w:spacing w:val="-2"/>
              </w:rPr>
              <w:t xml:space="preserve"> </w:t>
            </w:r>
          </w:p>
        </w:tc>
      </w:tr>
      <w:tr w:rsidR="005D5A35" w:rsidRPr="00602D1D" w:rsidTr="007351BA">
        <w:tc>
          <w:tcPr>
            <w:tcW w:w="1042" w:type="pct"/>
          </w:tcPr>
          <w:p w:rsidR="005D5A35" w:rsidRPr="00602D1D" w:rsidRDefault="005D5A35" w:rsidP="003E193E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Slabý růst ekonomiky a</w:t>
            </w:r>
            <w:r w:rsidR="003E193E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vědomí obtížné udržitelnosti dluhů vedl v EU v letech 2011-2013 k významnému poklesu relace „komplexní“ zadluženosti k HDP</w:t>
            </w:r>
          </w:p>
        </w:tc>
        <w:tc>
          <w:tcPr>
            <w:tcW w:w="139" w:type="pct"/>
          </w:tcPr>
          <w:p w:rsidR="005D5A35" w:rsidRDefault="005D5A35" w:rsidP="007351BA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A651DB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Obtížná udržitelnost dluhů (zřejmě však i v kombinaci se slabým ekonomickým růstem, který zejména u soukromého dluh nevyvolává potřebu výraznějšího úvěrování jak investičního tak i provozního charakteru) vedla během let 2011-2013 k významnému poklesu „komplexní“ zadluženosti v relaci k nominálnímu HDP. Tento relativní dluh se zvýšil za uvedené dva roky pouze na Kypru, v Lucembursku, v Řecku, na Slovensku a v Nizozemí (graf 17). ČR je pokud jde o změnu v procentních bodech na šestém místě za touto skupinou, kdy její dluh fakticky stagnoval (-0,7 </w:t>
            </w:r>
            <w:proofErr w:type="spellStart"/>
            <w:r>
              <w:rPr>
                <w:color w:val="000000"/>
                <w:spacing w:val="-2"/>
              </w:rPr>
              <w:t>pb</w:t>
            </w:r>
            <w:proofErr w:type="spellEnd"/>
            <w:r>
              <w:rPr>
                <w:color w:val="000000"/>
                <w:spacing w:val="-2"/>
              </w:rPr>
              <w:t xml:space="preserve">.) a zůstává, jak již bylo řečeno, třetí nejnižší v EU.  </w:t>
            </w:r>
          </w:p>
        </w:tc>
      </w:tr>
    </w:tbl>
    <w:p w:rsidR="005D5A35" w:rsidRPr="00997EEB" w:rsidRDefault="005D5A35" w:rsidP="00686D87">
      <w:pPr>
        <w:rPr>
          <w:sz w:val="16"/>
          <w:szCs w:val="16"/>
        </w:rPr>
      </w:pPr>
    </w:p>
    <w:tbl>
      <w:tblPr>
        <w:tblW w:w="5021" w:type="pct"/>
        <w:tblLayout w:type="fixed"/>
        <w:tblCellMar>
          <w:left w:w="28" w:type="dxa"/>
          <w:right w:w="28" w:type="dxa"/>
        </w:tblCellMar>
        <w:tblLook w:val="00A0"/>
      </w:tblPr>
      <w:tblGrid>
        <w:gridCol w:w="732"/>
        <w:gridCol w:w="4079"/>
        <w:gridCol w:w="705"/>
        <w:gridCol w:w="4219"/>
      </w:tblGrid>
      <w:tr w:rsidR="005D5A35" w:rsidRPr="00817C98" w:rsidTr="00D26579">
        <w:tc>
          <w:tcPr>
            <w:tcW w:w="373" w:type="pct"/>
          </w:tcPr>
          <w:p w:rsidR="005D5A35" w:rsidRDefault="005D5A35" w:rsidP="000458C6">
            <w:pPr>
              <w:spacing w:line="240" w:lineRule="auto"/>
            </w:pPr>
            <w:r>
              <w:t>Graf č.</w:t>
            </w:r>
            <w:r w:rsidR="000458C6">
              <w:t> </w:t>
            </w:r>
            <w:r>
              <w:t>17</w:t>
            </w:r>
          </w:p>
        </w:tc>
        <w:tc>
          <w:tcPr>
            <w:tcW w:w="2077" w:type="pct"/>
          </w:tcPr>
          <w:p w:rsidR="005D5B8F" w:rsidRDefault="005D5A35" w:rsidP="005D5B8F">
            <w:pPr>
              <w:pStyle w:val="Textpoznpodarou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 xml:space="preserve">Změny v „komplexní“ zadluženosti zemí EU v relaci k HDP, 2011-2013 </w:t>
            </w:r>
            <w:r>
              <w:rPr>
                <w:rFonts w:cs="Arial"/>
                <w:bCs/>
              </w:rPr>
              <w:t>(</w:t>
            </w:r>
            <w:r w:rsidR="005D5B8F">
              <w:rPr>
                <w:rFonts w:cs="Arial"/>
                <w:bCs/>
              </w:rPr>
              <w:t xml:space="preserve">v </w:t>
            </w:r>
            <w:proofErr w:type="spellStart"/>
            <w:r w:rsidR="005D5B8F">
              <w:rPr>
                <w:rFonts w:cs="Arial"/>
                <w:bCs/>
              </w:rPr>
              <w:t>pb</w:t>
            </w:r>
            <w:proofErr w:type="spellEnd"/>
            <w:r w:rsidR="005D5B8F">
              <w:rPr>
                <w:rFonts w:cs="Arial"/>
                <w:bCs/>
              </w:rPr>
              <w:t>.</w:t>
            </w:r>
          </w:p>
          <w:p w:rsidR="005D5A35" w:rsidRPr="005339BC" w:rsidRDefault="005D5B8F" w:rsidP="005D5B8F">
            <w:pPr>
              <w:pStyle w:val="Textpoznpodarou"/>
              <w:rPr>
                <w:rFonts w:cs="Arial"/>
                <w:szCs w:val="24"/>
              </w:rPr>
            </w:pPr>
            <w:r>
              <w:rPr>
                <w:rFonts w:cs="Arial"/>
                <w:bCs/>
              </w:rPr>
              <w:t xml:space="preserve"> </w:t>
            </w:r>
            <w:r w:rsidR="005D5A35">
              <w:rPr>
                <w:rFonts w:cs="Arial"/>
                <w:bCs/>
              </w:rPr>
              <w:t xml:space="preserve">- =zlepšení, + = zhoršení) </w:t>
            </w:r>
          </w:p>
        </w:tc>
        <w:tc>
          <w:tcPr>
            <w:tcW w:w="359" w:type="pct"/>
          </w:tcPr>
          <w:p w:rsidR="005D5A35" w:rsidRDefault="005D5A35" w:rsidP="000458C6">
            <w:pPr>
              <w:spacing w:line="240" w:lineRule="auto"/>
            </w:pPr>
            <w:r>
              <w:t>Graf č.</w:t>
            </w:r>
            <w:r w:rsidR="000458C6">
              <w:t> </w:t>
            </w:r>
            <w:r>
              <w:t>18</w:t>
            </w:r>
          </w:p>
        </w:tc>
        <w:tc>
          <w:tcPr>
            <w:tcW w:w="2148" w:type="pct"/>
          </w:tcPr>
          <w:p w:rsidR="005D5A35" w:rsidRPr="00817C98" w:rsidRDefault="005D5A35" w:rsidP="003E193E">
            <w:pPr>
              <w:spacing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Srovnání dluhu vládních institucí a</w:t>
            </w:r>
            <w:r w:rsidR="000458C6">
              <w:rPr>
                <w:rFonts w:cs="Arial"/>
                <w:b/>
                <w:bCs/>
              </w:rPr>
              <w:t> </w:t>
            </w:r>
            <w:r>
              <w:rPr>
                <w:rFonts w:cs="Arial"/>
                <w:b/>
                <w:bCs/>
              </w:rPr>
              <w:t xml:space="preserve">soukromého dluhu u vybraných zemí </w:t>
            </w:r>
            <w:r w:rsidRPr="00DB06E9">
              <w:rPr>
                <w:rFonts w:cs="Arial"/>
                <w:bCs/>
              </w:rPr>
              <w:t>(v</w:t>
            </w:r>
            <w:r w:rsidR="000458C6">
              <w:rPr>
                <w:rFonts w:cs="Arial"/>
                <w:bCs/>
              </w:rPr>
              <w:t> </w:t>
            </w:r>
            <w:r>
              <w:rPr>
                <w:rFonts w:cs="Arial"/>
                <w:bCs/>
              </w:rPr>
              <w:t>%</w:t>
            </w:r>
            <w:r w:rsidR="000458C6">
              <w:rPr>
                <w:rFonts w:cs="Arial"/>
                <w:bCs/>
              </w:rPr>
              <w:t> </w:t>
            </w:r>
            <w:proofErr w:type="spellStart"/>
            <w:r>
              <w:rPr>
                <w:rFonts w:cs="Arial"/>
                <w:bCs/>
              </w:rPr>
              <w:t>nom</w:t>
            </w:r>
            <w:proofErr w:type="spellEnd"/>
            <w:r>
              <w:rPr>
                <w:rFonts w:cs="Arial"/>
                <w:bCs/>
              </w:rPr>
              <w:t>. HDP)</w:t>
            </w:r>
          </w:p>
        </w:tc>
      </w:tr>
      <w:tr w:rsidR="005D5A35" w:rsidTr="00D26579">
        <w:tc>
          <w:tcPr>
            <w:tcW w:w="2450" w:type="pct"/>
            <w:gridSpan w:val="2"/>
          </w:tcPr>
          <w:p w:rsidR="005D5A35" w:rsidRDefault="00DE56AE" w:rsidP="00D26579">
            <w:pPr>
              <w:pStyle w:val="Textpoznpodarou"/>
              <w:jc w:val="both"/>
            </w:pPr>
            <w:r>
              <w:rPr>
                <w:noProof/>
              </w:rPr>
              <w:pict>
                <v:shape id="_x0000_i1522" type="#_x0000_t75" style="width:234.75pt;height:19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">
                  <v:imagedata r:id="rId28" o:title="" cropbottom="-68f"/>
                  <o:lock v:ext="edit" aspectratio="f"/>
                </v:shape>
              </w:pict>
            </w:r>
          </w:p>
        </w:tc>
        <w:tc>
          <w:tcPr>
            <w:tcW w:w="2507" w:type="pct"/>
            <w:gridSpan w:val="2"/>
          </w:tcPr>
          <w:p w:rsidR="005D5A35" w:rsidRDefault="00DE56AE" w:rsidP="00D26579">
            <w:pPr>
              <w:pStyle w:val="Textpoznpodarou"/>
              <w:jc w:val="both"/>
            </w:pPr>
            <w:r>
              <w:rPr>
                <w:noProof/>
              </w:rPr>
              <w:pict>
                <v:shape id="_x0000_i1523" type="#_x0000_t75" style="width:236.25pt;height:19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">
                  <v:imagedata r:id="rId29" o:title=""/>
                  <o:lock v:ext="edit" aspectratio="f"/>
                </v:shape>
              </w:pict>
            </w:r>
          </w:p>
        </w:tc>
      </w:tr>
    </w:tbl>
    <w:p w:rsidR="005D5A35" w:rsidRPr="007563E7" w:rsidRDefault="004168FC" w:rsidP="007563E7">
      <w:pPr>
        <w:jc w:val="right"/>
        <w:rPr>
          <w:sz w:val="18"/>
          <w:szCs w:val="18"/>
        </w:rPr>
      </w:pPr>
      <w:r>
        <w:rPr>
          <w:sz w:val="18"/>
          <w:szCs w:val="18"/>
        </w:rPr>
        <w:t>Zdroj:</w:t>
      </w:r>
      <w:r w:rsidR="005D5A35" w:rsidRPr="007563E7">
        <w:rPr>
          <w:sz w:val="18"/>
          <w:szCs w:val="18"/>
        </w:rPr>
        <w:t xml:space="preserve"> </w:t>
      </w:r>
      <w:proofErr w:type="spellStart"/>
      <w:r w:rsidR="005D5A35" w:rsidRPr="007563E7">
        <w:rPr>
          <w:sz w:val="18"/>
          <w:szCs w:val="18"/>
        </w:rPr>
        <w:t>Eurostat</w:t>
      </w:r>
      <w:proofErr w:type="spellEnd"/>
      <w:r w:rsidR="005D5A35" w:rsidRPr="007563E7">
        <w:rPr>
          <w:sz w:val="18"/>
          <w:szCs w:val="18"/>
        </w:rPr>
        <w:t xml:space="preserve">, </w:t>
      </w:r>
      <w:r w:rsidR="00871782">
        <w:rPr>
          <w:sz w:val="18"/>
          <w:szCs w:val="18"/>
        </w:rPr>
        <w:t>vlastní vý</w:t>
      </w:r>
      <w:r w:rsidR="005D5A35" w:rsidRPr="007563E7">
        <w:rPr>
          <w:sz w:val="18"/>
          <w:szCs w:val="18"/>
        </w:rPr>
        <w:t>počty</w:t>
      </w:r>
    </w:p>
    <w:p w:rsidR="005D5A35" w:rsidRPr="006E15CB" w:rsidRDefault="005D5A35" w:rsidP="008B0C8B">
      <w:pPr>
        <w:pStyle w:val="Nadpis2"/>
        <w:numPr>
          <w:ilvl w:val="1"/>
          <w:numId w:val="6"/>
        </w:numPr>
      </w:pPr>
      <w:bookmarkStart w:id="7" w:name="_Toc426017672"/>
      <w:r w:rsidRPr="006E15CB">
        <w:lastRenderedPageBreak/>
        <w:t>Vnější nerovnováha</w:t>
      </w:r>
      <w:bookmarkEnd w:id="7"/>
    </w:p>
    <w:p w:rsidR="005D5A35" w:rsidRPr="00D54BC4" w:rsidRDefault="005D5A35" w:rsidP="007C6BAA">
      <w:pPr>
        <w:spacing w:line="240" w:lineRule="auto"/>
        <w:jc w:val="both"/>
        <w:rPr>
          <w:szCs w:val="20"/>
        </w:rPr>
      </w:pPr>
      <w:r w:rsidRPr="00D54BC4">
        <w:rPr>
          <w:szCs w:val="20"/>
        </w:rPr>
        <w:t xml:space="preserve">V roce 2014 se vnější </w:t>
      </w:r>
      <w:r>
        <w:rPr>
          <w:szCs w:val="20"/>
        </w:rPr>
        <w:t>nerovnováha České republiky významně zlepšila. Saldo běžného účtu platební bilance</w:t>
      </w:r>
      <w:r>
        <w:rPr>
          <w:rStyle w:val="Znakapoznpodarou"/>
          <w:color w:val="000000"/>
          <w:spacing w:val="-2"/>
        </w:rPr>
        <w:footnoteReference w:id="4"/>
      </w:r>
      <w:r>
        <w:rPr>
          <w:color w:val="000000"/>
          <w:spacing w:val="-2"/>
        </w:rPr>
        <w:t xml:space="preserve"> </w:t>
      </w:r>
      <w:r w:rsidR="00B155A3">
        <w:rPr>
          <w:szCs w:val="20"/>
        </w:rPr>
        <w:t xml:space="preserve"> vykazovalo </w:t>
      </w:r>
      <w:r>
        <w:rPr>
          <w:szCs w:val="20"/>
        </w:rPr>
        <w:t xml:space="preserve">pozitivní meziroční zněnu již počtvrté v řadě. Navíc rok 2014 zaznamenal několik rekordních výsledků, které se týkaly jak výše dosaženého přebytku běžného účtu, tak především zahraničních investic.  </w:t>
      </w:r>
    </w:p>
    <w:p w:rsidR="005D5A35" w:rsidRDefault="005D5A35" w:rsidP="00686D87">
      <w:pPr>
        <w:rPr>
          <w:b/>
          <w:sz w:val="24"/>
        </w:rPr>
      </w:pPr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2037"/>
        <w:gridCol w:w="272"/>
        <w:gridCol w:w="7468"/>
      </w:tblGrid>
      <w:tr w:rsidR="005D5A35" w:rsidTr="007351BA">
        <w:tc>
          <w:tcPr>
            <w:tcW w:w="1042" w:type="pct"/>
          </w:tcPr>
          <w:p w:rsidR="005D5A35" w:rsidRDefault="005D5A35" w:rsidP="00A651DB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Přebytek běžného účtu platební bilance v roce 2014 byl teprve druhý od</w:t>
            </w:r>
            <w:r w:rsidR="00CD5242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 xml:space="preserve">roku 1993 a nominálně byl vůbec nejvyšší; </w:t>
            </w:r>
          </w:p>
          <w:p w:rsidR="005D5A35" w:rsidRPr="00602D1D" w:rsidRDefault="005D5A35" w:rsidP="00A651DB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dosáhl 0,6 % nominálního HDP</w:t>
            </w:r>
          </w:p>
        </w:tc>
        <w:tc>
          <w:tcPr>
            <w:tcW w:w="139" w:type="pct"/>
          </w:tcPr>
          <w:p w:rsidR="005D5A35" w:rsidRDefault="005D5A35" w:rsidP="007351BA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F90D12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Saldo běžného účtu platební bilance ČR bylo v roce 2014 kladné – přebytek dosáhl 26,1 mld. korun. Šlo o teprve druhý přebytek v historii České republiky, v roce 1993 byly toky peněz se zahraničním v plusu ve výši 13,3 mld. korun. </w:t>
            </w:r>
          </w:p>
          <w:p w:rsidR="005D5A35" w:rsidRPr="009C42CD" w:rsidRDefault="005D5A35" w:rsidP="00F90D12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  <w:p w:rsidR="005D5A35" w:rsidRPr="009C42CD" w:rsidRDefault="005D5A35" w:rsidP="00F90D12">
            <w:pPr>
              <w:pStyle w:val="Textpoznpodarou"/>
              <w:jc w:val="both"/>
              <w:rPr>
                <w:color w:val="000000"/>
              </w:rPr>
            </w:pPr>
            <w:r w:rsidRPr="009C42CD">
              <w:rPr>
                <w:color w:val="000000"/>
              </w:rPr>
              <w:t>V poměru k HDP činil v roce 2014 přebytek běžného účtu 0,6 %. Po většinu období 1993-2014 vykazoval běžný účet platební bilance deficit - nejhlubší v období měnové krize v první polovině 90. let, ale i v prvních letech předchozí dekády vlivem silných investičních dovozů po vstupu přímých zahraničních investorů do</w:t>
            </w:r>
            <w:r w:rsidR="00CD5242">
              <w:rPr>
                <w:color w:val="000000"/>
              </w:rPr>
              <w:t> </w:t>
            </w:r>
            <w:r w:rsidRPr="009C42CD">
              <w:rPr>
                <w:color w:val="000000"/>
              </w:rPr>
              <w:t xml:space="preserve">ČR. V průměru za toto období byl běžný účet v poměru k nominálnímu HDP v deficitu 2,8 %. </w:t>
            </w:r>
          </w:p>
          <w:p w:rsidR="005D5A35" w:rsidRDefault="005D5A35" w:rsidP="00F90D12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</w:tc>
      </w:tr>
      <w:tr w:rsidR="005D5A35" w:rsidTr="00F90D12">
        <w:tc>
          <w:tcPr>
            <w:tcW w:w="1042" w:type="pct"/>
          </w:tcPr>
          <w:p w:rsidR="005D5A35" w:rsidRPr="00602D1D" w:rsidRDefault="005D5A35" w:rsidP="007351BA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 další „rekordy“ ve vnějších ekonomických vztazích České republiky… </w:t>
            </w:r>
          </w:p>
        </w:tc>
        <w:tc>
          <w:tcPr>
            <w:tcW w:w="139" w:type="pct"/>
          </w:tcPr>
          <w:p w:rsidR="005D5A35" w:rsidRDefault="005D5A35" w:rsidP="007351BA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Pr="009F408C" w:rsidRDefault="005D5A35" w:rsidP="007351BA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Z pohledu vnější</w:t>
            </w:r>
            <w:r w:rsidR="009C42CD">
              <w:rPr>
                <w:color w:val="000000"/>
                <w:spacing w:val="-2"/>
              </w:rPr>
              <w:t>ch</w:t>
            </w:r>
            <w:r>
              <w:rPr>
                <w:color w:val="000000"/>
                <w:spacing w:val="-2"/>
              </w:rPr>
              <w:t xml:space="preserve"> ekonomických vztahů velmi příznivý výsledek roku 2014 byl doprovázen i dalšími „rekordními“ charakteristikami vycházejícími ze složek platební bilance. Předně jím byl vůbec nejvyšší přebytek výkonové bilance – kladného salda v obchodech se zbožím a službami ve výši 294,8 mld. korun bylo dosaženo největším meziročním přírůstkem od roku 2009 (+57,4 mld. korun). </w:t>
            </w:r>
          </w:p>
          <w:p w:rsidR="005D5A35" w:rsidRDefault="005D5A35" w:rsidP="007351BA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</w:t>
            </w:r>
          </w:p>
        </w:tc>
      </w:tr>
      <w:tr w:rsidR="005D5A35" w:rsidTr="00F90D12">
        <w:tc>
          <w:tcPr>
            <w:tcW w:w="1042" w:type="pct"/>
          </w:tcPr>
          <w:p w:rsidR="005D5A35" w:rsidRDefault="005D5A35" w:rsidP="00CD5242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 především nejvyšší přebytek v obchodu se zbožím a službami díky bilanci s automobily a</w:t>
            </w:r>
            <w:r w:rsidR="00CD5242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cenově zvýhodněnou redukcí deficitu v obchodech s ropou a</w:t>
            </w:r>
            <w:r w:rsidR="00CD5242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zemním plynem…</w:t>
            </w:r>
          </w:p>
        </w:tc>
        <w:tc>
          <w:tcPr>
            <w:tcW w:w="139" w:type="pct"/>
          </w:tcPr>
          <w:p w:rsidR="005D5A35" w:rsidRDefault="005D5A35" w:rsidP="007351BA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Pr="009C42CD" w:rsidRDefault="005D5A35" w:rsidP="00AC5926">
            <w:pPr>
              <w:pStyle w:val="Textpoznpodarou"/>
              <w:jc w:val="both"/>
              <w:rPr>
                <w:color w:val="000000"/>
              </w:rPr>
            </w:pPr>
            <w:r w:rsidRPr="009C42CD">
              <w:rPr>
                <w:color w:val="000000"/>
              </w:rPr>
              <w:t xml:space="preserve">Přebytek výkonové bilance sestával z přebytku zbožových obchodů </w:t>
            </w:r>
            <w:r w:rsidRPr="009C42CD">
              <w:rPr>
                <w:color w:val="000000"/>
              </w:rPr>
              <w:br/>
              <w:t>238,9 mld. korun) v kombinaci s přebytkem v obchodech se službami (55,9 mld. korun).  Zatímco přebytek bilance služeb se dále ztenčil v trendu posledních tří let, přebytek obchodní bilance se výrazně dynamizoval (graf 2). Největší zásluhou na</w:t>
            </w:r>
            <w:r w:rsidR="00CD5242">
              <w:rPr>
                <w:color w:val="000000"/>
              </w:rPr>
              <w:t> </w:t>
            </w:r>
            <w:r w:rsidRPr="009C42CD">
              <w:rPr>
                <w:color w:val="000000"/>
              </w:rPr>
              <w:t>tom měla jednak bilance obchodů s motorovými vozidly</w:t>
            </w:r>
            <w:r w:rsidRPr="009C42CD">
              <w:rPr>
                <w:color w:val="000000"/>
                <w:vertAlign w:val="superscript"/>
              </w:rPr>
              <w:footnoteReference w:id="5"/>
            </w:r>
            <w:r w:rsidRPr="009C42CD">
              <w:rPr>
                <w:color w:val="000000"/>
              </w:rPr>
              <w:t xml:space="preserve"> - ta se z už tak velmi silného přebytku 289,4 mld. korun v roce 2013 dále zlepšila na 354,2 mld. korun v roce 2014 – ale výrazný posun zaznamenalo i snížení deficitu v obchodech s ropou a zemním plynem. Zde zapůsobil cenový faktor, když ve druhé polovině roku 2014 začaly prudce klesat světové ceny těchto komodit.  </w:t>
            </w:r>
          </w:p>
          <w:p w:rsidR="005D5A35" w:rsidRDefault="005D5A35" w:rsidP="00AC5926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 </w:t>
            </w:r>
          </w:p>
        </w:tc>
      </w:tr>
      <w:tr w:rsidR="005D5A35" w:rsidTr="00F90D12">
        <w:tc>
          <w:tcPr>
            <w:tcW w:w="1042" w:type="pct"/>
          </w:tcPr>
          <w:p w:rsidR="005D5A35" w:rsidRPr="00602D1D" w:rsidRDefault="005D5A35" w:rsidP="00CD5242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 ale i rekordně pozitivní „mzdové salda“ spolu s</w:t>
            </w:r>
            <w:r w:rsidR="00CD5242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 xml:space="preserve">rekordně negativním odlivem peněz ve formě dividend </w:t>
            </w:r>
          </w:p>
        </w:tc>
        <w:tc>
          <w:tcPr>
            <w:tcW w:w="139" w:type="pct"/>
          </w:tcPr>
          <w:p w:rsidR="005D5A35" w:rsidRDefault="005D5A35" w:rsidP="007351BA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7351BA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Trend odlivu výnosů pokračoval, deficit prvotních důchodů se dále prohloubil – odliv dividend do zahraniční dosáhl </w:t>
            </w:r>
            <w:r w:rsidR="00B155A3">
              <w:rPr>
                <w:color w:val="000000"/>
                <w:spacing w:val="-2"/>
              </w:rPr>
              <w:t xml:space="preserve">podle údajů z platební bilance </w:t>
            </w:r>
            <w:r>
              <w:rPr>
                <w:color w:val="000000"/>
                <w:spacing w:val="-2"/>
              </w:rPr>
              <w:t xml:space="preserve">svého maxima (219,3 mld. korun), v čistém vyjádření po zohlednění přílivu dividend do ČR (5,3 mld. korun) pak </w:t>
            </w:r>
            <w:r w:rsidR="00B155A3">
              <w:rPr>
                <w:color w:val="000000"/>
                <w:spacing w:val="-2"/>
              </w:rPr>
              <w:t xml:space="preserve">činil </w:t>
            </w:r>
            <w:r>
              <w:rPr>
                <w:color w:val="000000"/>
                <w:spacing w:val="-2"/>
              </w:rPr>
              <w:t>důchodový efekt z přímých zahraničních investic negativních 214 mld. korun. I toto byl výsledek dosud rekordní.</w:t>
            </w:r>
          </w:p>
          <w:p w:rsidR="005D5A35" w:rsidRPr="009C42CD" w:rsidRDefault="005D5A35" w:rsidP="007351BA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  <w:p w:rsidR="005D5A35" w:rsidRDefault="005D5A35" w:rsidP="007351BA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Druhý nejvyšší však byl i objem zisků ponechaných přímými zahraničními investory v ČR k reinvesticím (více v kap. 3.4.2).  </w:t>
            </w:r>
          </w:p>
          <w:p w:rsidR="005D5A35" w:rsidRDefault="005D5A35" w:rsidP="007351BA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 </w:t>
            </w:r>
          </w:p>
        </w:tc>
      </w:tr>
      <w:tr w:rsidR="005D5A35" w:rsidTr="00F90D12">
        <w:tc>
          <w:tcPr>
            <w:tcW w:w="1042" w:type="pct"/>
          </w:tcPr>
          <w:p w:rsidR="005D5A35" w:rsidRPr="00602D1D" w:rsidRDefault="005D5A35" w:rsidP="00AC5926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Na mzdách odešlo z ČR 17 mld., ale práce rezidentů v zahraničí přinesla 39,3 mld. korun</w:t>
            </w:r>
          </w:p>
        </w:tc>
        <w:tc>
          <w:tcPr>
            <w:tcW w:w="139" w:type="pct"/>
          </w:tcPr>
          <w:p w:rsidR="005D5A35" w:rsidRDefault="005D5A35" w:rsidP="007351BA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Pr="00AC5926" w:rsidRDefault="005D5A35" w:rsidP="007351BA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„Mzdové saldo“ zapůsobilo na výsledek prvotních důchodů v roce 2014 velmi pozitivně s převahou přílivu peněz za práci rezidentů v zahra</w:t>
            </w:r>
            <w:r w:rsidR="00290910">
              <w:rPr>
                <w:color w:val="000000"/>
                <w:spacing w:val="-2"/>
              </w:rPr>
              <w:t>ničí oproti odlivu peněz z práce</w:t>
            </w:r>
            <w:r>
              <w:rPr>
                <w:color w:val="000000"/>
                <w:spacing w:val="-2"/>
              </w:rPr>
              <w:t xml:space="preserve"> cizinců v ČR ve výši 22,2 mld. korun (do ČR takto přišlo v podobě náhrad zaměstnancům 39,3 mld. a odešlo 17 mld. korun). </w:t>
            </w:r>
          </w:p>
          <w:p w:rsidR="005D5A35" w:rsidRDefault="005D5A35" w:rsidP="007351BA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  </w:t>
            </w:r>
          </w:p>
        </w:tc>
      </w:tr>
      <w:tr w:rsidR="005D5A35" w:rsidTr="00F90D12">
        <w:tc>
          <w:tcPr>
            <w:tcW w:w="1042" w:type="pct"/>
          </w:tcPr>
          <w:p w:rsidR="005D5A35" w:rsidRDefault="00CD5242" w:rsidP="008866C2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„Mzdové saldo“ je v </w:t>
            </w:r>
            <w:r w:rsidR="005D5A35">
              <w:rPr>
                <w:color w:val="000000"/>
                <w:sz w:val="16"/>
                <w:szCs w:val="16"/>
              </w:rPr>
              <w:t>ČR výrazně podmíněno ekonomickým cyklem a</w:t>
            </w:r>
            <w:r w:rsidR="008866C2">
              <w:rPr>
                <w:color w:val="000000"/>
                <w:sz w:val="16"/>
                <w:szCs w:val="16"/>
              </w:rPr>
              <w:t> </w:t>
            </w:r>
            <w:r w:rsidR="005D5A35">
              <w:rPr>
                <w:color w:val="000000"/>
                <w:sz w:val="16"/>
                <w:szCs w:val="16"/>
              </w:rPr>
              <w:t>z něj plynoucí pracovní imigrací do ČR</w:t>
            </w:r>
          </w:p>
        </w:tc>
        <w:tc>
          <w:tcPr>
            <w:tcW w:w="139" w:type="pct"/>
          </w:tcPr>
          <w:p w:rsidR="005D5A35" w:rsidRDefault="005D5A35" w:rsidP="007351BA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Pr="009C42CD" w:rsidRDefault="005D5A35" w:rsidP="002B342C">
            <w:pPr>
              <w:pStyle w:val="Textpoznpodarou"/>
              <w:jc w:val="both"/>
              <w:rPr>
                <w:color w:val="000000"/>
              </w:rPr>
            </w:pPr>
            <w:r w:rsidRPr="009C42CD">
              <w:rPr>
                <w:color w:val="000000"/>
              </w:rPr>
              <w:t>Takto vysoké kladné saldo také nebylo dosud v časové řadě od roku 1993 pozorováno. Navíc čistý příliv peněz do země touto formou je patrný ve větším měřítku až v letech 2012-2014, což v letech recese mohlo souviset s odcho</w:t>
            </w:r>
            <w:r w:rsidR="002B342C">
              <w:rPr>
                <w:color w:val="000000"/>
              </w:rPr>
              <w:t>dem zahraničních pracovníků z České republiky</w:t>
            </w:r>
            <w:r w:rsidRPr="009C42CD">
              <w:rPr>
                <w:color w:val="000000"/>
              </w:rPr>
              <w:t xml:space="preserve"> v důsledku nedostatku příležitostí pracovat. Větší</w:t>
            </w:r>
            <w:r w:rsidR="002B342C">
              <w:rPr>
                <w:color w:val="000000"/>
              </w:rPr>
              <w:t> </w:t>
            </w:r>
            <w:r w:rsidRPr="009C42CD">
              <w:rPr>
                <w:color w:val="000000"/>
              </w:rPr>
              <w:t>příliv než odliv v podobě mezd do ČR byl patrný v první polovině 90. let po otevření možností pro rezidenty pracovat v zahraničí. Pak už jen v letech 2005 a 2006 vlivem ekonomické konjunktury, která bývá předpokladem silnější „pracovní imigrace“.</w:t>
            </w:r>
          </w:p>
        </w:tc>
      </w:tr>
    </w:tbl>
    <w:p w:rsidR="005D5A35" w:rsidRDefault="005D5A35" w:rsidP="00686D87"/>
    <w:p w:rsidR="002B342C" w:rsidRDefault="002B342C" w:rsidP="00686D87"/>
    <w:tbl>
      <w:tblPr>
        <w:tblW w:w="5021" w:type="pct"/>
        <w:tblLayout w:type="fixed"/>
        <w:tblCellMar>
          <w:left w:w="28" w:type="dxa"/>
          <w:right w:w="28" w:type="dxa"/>
        </w:tblCellMar>
        <w:tblLook w:val="00A0"/>
      </w:tblPr>
      <w:tblGrid>
        <w:gridCol w:w="732"/>
        <w:gridCol w:w="4079"/>
        <w:gridCol w:w="705"/>
        <w:gridCol w:w="4219"/>
      </w:tblGrid>
      <w:tr w:rsidR="005D5A35" w:rsidRPr="00817C98" w:rsidTr="003B6C43">
        <w:tc>
          <w:tcPr>
            <w:tcW w:w="376" w:type="pct"/>
          </w:tcPr>
          <w:p w:rsidR="005D5A35" w:rsidRDefault="005D5A35" w:rsidP="000458C6">
            <w:pPr>
              <w:spacing w:line="240" w:lineRule="auto"/>
            </w:pPr>
            <w:r>
              <w:lastRenderedPageBreak/>
              <w:t>Graf č.</w:t>
            </w:r>
            <w:r w:rsidR="000458C6">
              <w:t> </w:t>
            </w:r>
            <w:r>
              <w:t>1</w:t>
            </w:r>
            <w:r w:rsidR="00F55CC2">
              <w:t>9</w:t>
            </w:r>
          </w:p>
        </w:tc>
        <w:tc>
          <w:tcPr>
            <w:tcW w:w="2095" w:type="pct"/>
          </w:tcPr>
          <w:p w:rsidR="005D5A35" w:rsidRDefault="005D5A35" w:rsidP="00AC5926">
            <w:pPr>
              <w:pStyle w:val="Textpoznpodarou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Saldo běžného účtu platební bilance ČR </w:t>
            </w:r>
          </w:p>
          <w:p w:rsidR="005D5A35" w:rsidRDefault="005D5A35" w:rsidP="00AC5926">
            <w:pPr>
              <w:pStyle w:val="Textpoznpodarou"/>
              <w:rPr>
                <w:rFonts w:cs="Arial"/>
                <w:szCs w:val="24"/>
              </w:rPr>
            </w:pPr>
            <w:proofErr w:type="gramStart"/>
            <w:r w:rsidRPr="00AC5926">
              <w:rPr>
                <w:rFonts w:cs="Arial"/>
                <w:bCs/>
              </w:rPr>
              <w:t>(v %</w:t>
            </w:r>
            <w:r>
              <w:rPr>
                <w:rFonts w:cs="Arial"/>
                <w:bCs/>
              </w:rPr>
              <w:t xml:space="preserve"> nominálního</w:t>
            </w:r>
            <w:proofErr w:type="gramEnd"/>
            <w:r>
              <w:rPr>
                <w:rFonts w:cs="Arial"/>
                <w:bCs/>
              </w:rPr>
              <w:t xml:space="preserve"> HDP</w:t>
            </w:r>
            <w:r w:rsidRPr="00DB06E9">
              <w:rPr>
                <w:rFonts w:cs="Arial"/>
                <w:bCs/>
              </w:rPr>
              <w:t>)</w:t>
            </w:r>
          </w:p>
        </w:tc>
        <w:tc>
          <w:tcPr>
            <w:tcW w:w="362" w:type="pct"/>
          </w:tcPr>
          <w:p w:rsidR="005D5A35" w:rsidRDefault="005D5A35" w:rsidP="000458C6">
            <w:pPr>
              <w:spacing w:line="240" w:lineRule="auto"/>
            </w:pPr>
            <w:r>
              <w:t>Graf č.</w:t>
            </w:r>
            <w:r w:rsidR="000458C6">
              <w:t> </w:t>
            </w:r>
            <w:r>
              <w:t>2</w:t>
            </w:r>
            <w:r w:rsidR="00F55CC2">
              <w:t>0</w:t>
            </w:r>
          </w:p>
        </w:tc>
        <w:tc>
          <w:tcPr>
            <w:tcW w:w="2167" w:type="pct"/>
          </w:tcPr>
          <w:p w:rsidR="005D5A35" w:rsidRPr="00AC5926" w:rsidRDefault="005D5A35" w:rsidP="008866C2">
            <w:pPr>
              <w:spacing w:line="240" w:lineRule="auto"/>
              <w:rPr>
                <w:rFonts w:cs="Arial"/>
                <w:b/>
                <w:bCs/>
                <w:szCs w:val="20"/>
              </w:rPr>
            </w:pPr>
            <w:r w:rsidRPr="00AC5926">
              <w:rPr>
                <w:rFonts w:cs="Arial"/>
                <w:b/>
                <w:bCs/>
                <w:szCs w:val="20"/>
              </w:rPr>
              <w:t xml:space="preserve">Vývoj složek běžného účtu platební bilance </w:t>
            </w:r>
            <w:r w:rsidRPr="00AC5926">
              <w:rPr>
                <w:rFonts w:cs="Arial"/>
                <w:bCs/>
                <w:szCs w:val="20"/>
              </w:rPr>
              <w:t>(salda v mld. korun)</w:t>
            </w:r>
          </w:p>
        </w:tc>
      </w:tr>
      <w:tr w:rsidR="005D5A35" w:rsidTr="003B6C43">
        <w:tc>
          <w:tcPr>
            <w:tcW w:w="2471" w:type="pct"/>
            <w:gridSpan w:val="2"/>
          </w:tcPr>
          <w:p w:rsidR="005D5A35" w:rsidRDefault="00DE56AE" w:rsidP="007351BA">
            <w:pPr>
              <w:pStyle w:val="Textpoznpodarou"/>
              <w:jc w:val="both"/>
            </w:pPr>
            <w:r>
              <w:rPr>
                <w:noProof/>
              </w:rPr>
              <w:pict>
                <v:shape id="_x0000_i1524" type="#_x0000_t75" style="width:229.5pt;height:18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">
                  <v:imagedata r:id="rId30" o:title=""/>
                  <o:lock v:ext="edit" aspectratio="f"/>
                </v:shape>
              </w:pict>
            </w:r>
          </w:p>
        </w:tc>
        <w:tc>
          <w:tcPr>
            <w:tcW w:w="2529" w:type="pct"/>
            <w:gridSpan w:val="2"/>
          </w:tcPr>
          <w:p w:rsidR="005D5A35" w:rsidRPr="00C86F05" w:rsidRDefault="00DE56AE" w:rsidP="000458C6">
            <w:pPr>
              <w:pStyle w:val="Textpoznpodarou"/>
              <w:jc w:val="right"/>
            </w:pPr>
            <w:r>
              <w:pict>
                <v:shape id="_x0000_i1525" type="#_x0000_t75" style="width:246pt;height:189.75pt">
                  <v:imagedata r:id="rId31" o:title=""/>
                </v:shape>
              </w:pict>
            </w:r>
          </w:p>
        </w:tc>
      </w:tr>
    </w:tbl>
    <w:p w:rsidR="005D5A35" w:rsidRPr="003B6C43" w:rsidRDefault="004168FC" w:rsidP="003B6C43">
      <w:pPr>
        <w:jc w:val="right"/>
        <w:rPr>
          <w:sz w:val="18"/>
          <w:szCs w:val="18"/>
        </w:rPr>
      </w:pPr>
      <w:r>
        <w:rPr>
          <w:sz w:val="18"/>
          <w:szCs w:val="18"/>
        </w:rPr>
        <w:t>Zdroj</w:t>
      </w:r>
      <w:r w:rsidR="005D5A35" w:rsidRPr="003B6C43">
        <w:rPr>
          <w:sz w:val="18"/>
          <w:szCs w:val="18"/>
        </w:rPr>
        <w:t>: ČNB</w:t>
      </w:r>
      <w:r w:rsidR="00871782">
        <w:rPr>
          <w:sz w:val="18"/>
          <w:szCs w:val="18"/>
        </w:rPr>
        <w:t>, vlastní vý</w:t>
      </w:r>
      <w:r w:rsidR="005D5A35">
        <w:rPr>
          <w:sz w:val="18"/>
          <w:szCs w:val="18"/>
        </w:rPr>
        <w:t>počty</w:t>
      </w:r>
    </w:p>
    <w:p w:rsidR="005D5A35" w:rsidRPr="00EA7135" w:rsidRDefault="005D5A35" w:rsidP="003B6C43">
      <w:pPr>
        <w:jc w:val="both"/>
        <w:rPr>
          <w:sz w:val="6"/>
          <w:szCs w:val="6"/>
        </w:rPr>
      </w:pPr>
    </w:p>
    <w:tbl>
      <w:tblPr>
        <w:tblW w:w="5084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39"/>
        <w:gridCol w:w="739"/>
        <w:gridCol w:w="1260"/>
        <w:gridCol w:w="272"/>
        <w:gridCol w:w="2583"/>
        <w:gridCol w:w="712"/>
        <w:gridCol w:w="4175"/>
        <w:gridCol w:w="77"/>
      </w:tblGrid>
      <w:tr w:rsidR="005D5A35" w:rsidTr="00347DF6">
        <w:trPr>
          <w:gridAfter w:val="1"/>
          <w:wAfter w:w="39" w:type="pct"/>
        </w:trPr>
        <w:tc>
          <w:tcPr>
            <w:tcW w:w="1034" w:type="pct"/>
            <w:gridSpan w:val="3"/>
          </w:tcPr>
          <w:p w:rsidR="005D5A35" w:rsidRPr="00602D1D" w:rsidRDefault="005D5A35" w:rsidP="008866C2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Příliv přímých investic do</w:t>
            </w:r>
            <w:r w:rsidR="008866C2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ČR v roce 2014 nedosahoval tříletého ani</w:t>
            </w:r>
            <w:r w:rsidR="008866C2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desetiletého průměru</w:t>
            </w:r>
          </w:p>
        </w:tc>
        <w:tc>
          <w:tcPr>
            <w:tcW w:w="138" w:type="pct"/>
          </w:tcPr>
          <w:p w:rsidR="005D5A35" w:rsidRDefault="005D5A35" w:rsidP="007351BA">
            <w:pPr>
              <w:pStyle w:val="Textpoznpodarou"/>
              <w:jc w:val="both"/>
            </w:pPr>
          </w:p>
        </w:tc>
        <w:tc>
          <w:tcPr>
            <w:tcW w:w="3789" w:type="pct"/>
            <w:gridSpan w:val="3"/>
          </w:tcPr>
          <w:p w:rsidR="005D5A35" w:rsidRDefault="005D5A35" w:rsidP="007351BA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Ačkoli došlo k významnému zlepšení výsledku na běžném účtu platební bilance, zejména díky výše uvedeným zbožovým obchodům a ve sféře prvotních důchodů i „mzdového salda“, na finančním účtu byl zaznamen</w:t>
            </w:r>
            <w:r w:rsidR="00B155A3">
              <w:rPr>
                <w:color w:val="000000"/>
                <w:spacing w:val="-2"/>
              </w:rPr>
              <w:t>án</w:t>
            </w:r>
            <w:r>
              <w:rPr>
                <w:color w:val="000000"/>
                <w:spacing w:val="-2"/>
              </w:rPr>
              <w:t xml:space="preserve"> příliv přímých investic do ČR v roce 2014 (101,4 mld. korun), který nedosahoval tříletého ani pětiletého průměru. Přitažlivost jiných zemí pro přímé investory se zřejmě zvětšila. V čistém vyjádření se ale přímé investice podílely na saldu finančního účtu více, neboť tuzemské subjekty své peníze </w:t>
            </w:r>
            <w:r w:rsidR="00B155A3">
              <w:rPr>
                <w:color w:val="000000"/>
                <w:spacing w:val="-2"/>
              </w:rPr>
              <w:t xml:space="preserve">ze zahraničí </w:t>
            </w:r>
            <w:r>
              <w:rPr>
                <w:color w:val="000000"/>
                <w:spacing w:val="-2"/>
              </w:rPr>
              <w:t>stahovaly (peníze ze země neodcházely, ale přicházely</w:t>
            </w:r>
            <w:r w:rsidR="00B155A3">
              <w:rPr>
                <w:color w:val="000000"/>
                <w:spacing w:val="-2"/>
              </w:rPr>
              <w:t>.</w:t>
            </w:r>
            <w:r>
              <w:rPr>
                <w:color w:val="000000"/>
                <w:spacing w:val="-2"/>
              </w:rPr>
              <w:t xml:space="preserve"> </w:t>
            </w:r>
          </w:p>
          <w:p w:rsidR="00361918" w:rsidRPr="00361918" w:rsidRDefault="00361918" w:rsidP="007351BA">
            <w:pPr>
              <w:pStyle w:val="Textpoznpodarou"/>
              <w:jc w:val="both"/>
              <w:rPr>
                <w:color w:val="000000"/>
                <w:spacing w:val="-2"/>
                <w:sz w:val="16"/>
                <w:szCs w:val="16"/>
              </w:rPr>
            </w:pPr>
          </w:p>
        </w:tc>
      </w:tr>
      <w:tr w:rsidR="005D5A35" w:rsidTr="00347DF6">
        <w:trPr>
          <w:gridAfter w:val="1"/>
          <w:wAfter w:w="39" w:type="pct"/>
        </w:trPr>
        <w:tc>
          <w:tcPr>
            <w:tcW w:w="1034" w:type="pct"/>
            <w:gridSpan w:val="3"/>
          </w:tcPr>
          <w:p w:rsidR="005D5A35" w:rsidRPr="00602D1D" w:rsidRDefault="005D5A35" w:rsidP="008241C2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Na finanč</w:t>
            </w:r>
            <w:r w:rsidR="008866C2">
              <w:rPr>
                <w:color w:val="000000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ím účtu odliv peněz ze země</w:t>
            </w:r>
          </w:p>
        </w:tc>
        <w:tc>
          <w:tcPr>
            <w:tcW w:w="138" w:type="pct"/>
          </w:tcPr>
          <w:p w:rsidR="005D5A35" w:rsidRDefault="005D5A35" w:rsidP="007351BA">
            <w:pPr>
              <w:pStyle w:val="Textpoznpodarou"/>
              <w:jc w:val="both"/>
            </w:pPr>
          </w:p>
        </w:tc>
        <w:tc>
          <w:tcPr>
            <w:tcW w:w="3789" w:type="pct"/>
            <w:gridSpan w:val="3"/>
          </w:tcPr>
          <w:p w:rsidR="005D5A35" w:rsidRDefault="005D5A35" w:rsidP="00347DF6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V úhrnu všech položek zaznamenal finanční účet již třetí rok v řadě odliv peněz ze</w:t>
            </w:r>
            <w:r w:rsidR="00347DF6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>země. V roce 2014 činil 48,3 mld. koru</w:t>
            </w:r>
            <w:r w:rsidR="00361918">
              <w:rPr>
                <w:color w:val="000000"/>
                <w:spacing w:val="-2"/>
              </w:rPr>
              <w:t>n, rok předtím 68,3 mld. korun.</w:t>
            </w:r>
          </w:p>
          <w:p w:rsidR="00347DF6" w:rsidRPr="00347DF6" w:rsidRDefault="00347DF6" w:rsidP="00347DF6">
            <w:pPr>
              <w:pStyle w:val="Textpoznpodarou"/>
              <w:jc w:val="both"/>
              <w:rPr>
                <w:color w:val="000000"/>
                <w:spacing w:val="-2"/>
                <w:sz w:val="16"/>
                <w:szCs w:val="16"/>
              </w:rPr>
            </w:pPr>
          </w:p>
        </w:tc>
      </w:tr>
      <w:tr w:rsidR="005D5A35" w:rsidRPr="00817C98" w:rsidTr="00347DF6">
        <w:trPr>
          <w:gridBefore w:val="1"/>
          <w:wBefore w:w="20" w:type="pct"/>
        </w:trPr>
        <w:tc>
          <w:tcPr>
            <w:tcW w:w="375" w:type="pct"/>
          </w:tcPr>
          <w:p w:rsidR="005D5A35" w:rsidRDefault="005D5A35" w:rsidP="008866C2">
            <w:pPr>
              <w:spacing w:line="240" w:lineRule="auto"/>
            </w:pPr>
            <w:r>
              <w:t>Graf č.</w:t>
            </w:r>
            <w:r w:rsidR="008866C2">
              <w:t> </w:t>
            </w:r>
            <w:r w:rsidR="00F55CC2">
              <w:t>21</w:t>
            </w:r>
            <w:r>
              <w:t xml:space="preserve"> </w:t>
            </w:r>
          </w:p>
        </w:tc>
        <w:tc>
          <w:tcPr>
            <w:tcW w:w="2087" w:type="pct"/>
            <w:gridSpan w:val="3"/>
          </w:tcPr>
          <w:p w:rsidR="000458C6" w:rsidRDefault="005D5A35" w:rsidP="00CA3CB2">
            <w:pPr>
              <w:pStyle w:val="Textpoznpodarou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Portfoliové investice, saldo</w:t>
            </w:r>
          </w:p>
          <w:p w:rsidR="005D5A35" w:rsidRDefault="005D5A35" w:rsidP="00CA3CB2">
            <w:pPr>
              <w:pStyle w:val="Textpoznpodarou"/>
              <w:rPr>
                <w:rFonts w:cs="Arial"/>
                <w:szCs w:val="24"/>
              </w:rPr>
            </w:pPr>
            <w:r w:rsidRPr="00DB06E9">
              <w:rPr>
                <w:rFonts w:cs="Arial"/>
                <w:bCs/>
              </w:rPr>
              <w:t>(v m</w:t>
            </w:r>
            <w:r>
              <w:rPr>
                <w:rFonts w:cs="Arial"/>
                <w:bCs/>
              </w:rPr>
              <w:t xml:space="preserve">il. </w:t>
            </w:r>
            <w:r w:rsidRPr="00DB06E9">
              <w:rPr>
                <w:rFonts w:cs="Arial"/>
                <w:bCs/>
              </w:rPr>
              <w:t>korun)</w:t>
            </w:r>
          </w:p>
        </w:tc>
        <w:tc>
          <w:tcPr>
            <w:tcW w:w="361" w:type="pct"/>
          </w:tcPr>
          <w:p w:rsidR="005D5A35" w:rsidRDefault="005D5A35" w:rsidP="007115E4">
            <w:pPr>
              <w:spacing w:line="240" w:lineRule="auto"/>
            </w:pPr>
            <w:r>
              <w:t>Graf č.</w:t>
            </w:r>
            <w:r w:rsidR="007115E4">
              <w:t> </w:t>
            </w:r>
            <w:r w:rsidR="00F55CC2">
              <w:t>22</w:t>
            </w:r>
          </w:p>
        </w:tc>
        <w:tc>
          <w:tcPr>
            <w:tcW w:w="2157" w:type="pct"/>
            <w:gridSpan w:val="2"/>
          </w:tcPr>
          <w:p w:rsidR="005D5A35" w:rsidRPr="00817C98" w:rsidRDefault="005D5A35" w:rsidP="00C243B5">
            <w:pPr>
              <w:spacing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Přímé investice </w:t>
            </w:r>
            <w:r>
              <w:rPr>
                <w:rFonts w:cs="Arial"/>
                <w:bCs/>
              </w:rPr>
              <w:t>– vývoj hlavních položek v čistém vyjádření (v</w:t>
            </w:r>
            <w:r w:rsidRPr="00DB06E9">
              <w:rPr>
                <w:rFonts w:cs="Arial"/>
                <w:bCs/>
              </w:rPr>
              <w:t xml:space="preserve"> m</w:t>
            </w:r>
            <w:r>
              <w:rPr>
                <w:rFonts w:cs="Arial"/>
                <w:bCs/>
              </w:rPr>
              <w:t>i</w:t>
            </w:r>
            <w:r w:rsidRPr="00DB06E9">
              <w:rPr>
                <w:rFonts w:cs="Arial"/>
                <w:bCs/>
              </w:rPr>
              <w:t>l. korun)</w:t>
            </w:r>
          </w:p>
        </w:tc>
      </w:tr>
      <w:tr w:rsidR="005D5A35" w:rsidTr="00347DF6">
        <w:trPr>
          <w:gridBefore w:val="1"/>
          <w:wBefore w:w="20" w:type="pct"/>
        </w:trPr>
        <w:tc>
          <w:tcPr>
            <w:tcW w:w="2462" w:type="pct"/>
            <w:gridSpan w:val="4"/>
          </w:tcPr>
          <w:p w:rsidR="005D5A35" w:rsidRPr="00667C83" w:rsidRDefault="00DE56AE" w:rsidP="00CA3CB2">
            <w:pPr>
              <w:pStyle w:val="Textpoznpodarou"/>
              <w:jc w:val="both"/>
            </w:pPr>
            <w:r>
              <w:pict>
                <v:shape id="_x0000_i1526" type="#_x0000_t75" style="width:238.5pt;height:186.75pt">
                  <v:imagedata r:id="rId32" o:title=""/>
                </v:shape>
              </w:pict>
            </w:r>
          </w:p>
        </w:tc>
        <w:tc>
          <w:tcPr>
            <w:tcW w:w="2518" w:type="pct"/>
            <w:gridSpan w:val="3"/>
          </w:tcPr>
          <w:p w:rsidR="005D5A35" w:rsidRPr="00C243B5" w:rsidRDefault="00DE56AE" w:rsidP="000458C6">
            <w:pPr>
              <w:pStyle w:val="Textpoznpodarou"/>
              <w:jc w:val="right"/>
            </w:pPr>
            <w:r>
              <w:pict>
                <v:shape id="_x0000_i1527" type="#_x0000_t75" style="width:243pt;height:187.5pt">
                  <v:imagedata r:id="rId33" o:title=""/>
                </v:shape>
              </w:pict>
            </w:r>
          </w:p>
        </w:tc>
      </w:tr>
    </w:tbl>
    <w:p w:rsidR="005D5A35" w:rsidRPr="003B6C43" w:rsidRDefault="00374B10" w:rsidP="003B6C43">
      <w:pPr>
        <w:jc w:val="right"/>
        <w:rPr>
          <w:sz w:val="18"/>
          <w:szCs w:val="18"/>
        </w:rPr>
      </w:pPr>
      <w:r>
        <w:rPr>
          <w:sz w:val="18"/>
          <w:szCs w:val="18"/>
        </w:rPr>
        <w:t>Zdroj</w:t>
      </w:r>
      <w:r w:rsidR="005D5A35" w:rsidRPr="003B6C43">
        <w:rPr>
          <w:sz w:val="18"/>
          <w:szCs w:val="18"/>
        </w:rPr>
        <w:t>: ČNB</w:t>
      </w:r>
    </w:p>
    <w:p w:rsidR="005D5A35" w:rsidRPr="00361918" w:rsidRDefault="005D5A35" w:rsidP="00686D87">
      <w:pPr>
        <w:rPr>
          <w:b/>
          <w:sz w:val="8"/>
          <w:szCs w:val="8"/>
        </w:rPr>
      </w:pPr>
    </w:p>
    <w:p w:rsidR="005D5A35" w:rsidRPr="006E15CB" w:rsidRDefault="005D5A35" w:rsidP="008B0C8B">
      <w:pPr>
        <w:pStyle w:val="Nadpis2"/>
        <w:numPr>
          <w:ilvl w:val="1"/>
          <w:numId w:val="6"/>
        </w:numPr>
      </w:pPr>
      <w:bookmarkStart w:id="8" w:name="_Toc426017673"/>
      <w:r w:rsidRPr="006E15CB">
        <w:t>Úspory a investice</w:t>
      </w:r>
      <w:bookmarkEnd w:id="8"/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2037"/>
        <w:gridCol w:w="272"/>
        <w:gridCol w:w="7468"/>
      </w:tblGrid>
      <w:tr w:rsidR="005D5A35" w:rsidTr="00FA57FD">
        <w:tc>
          <w:tcPr>
            <w:tcW w:w="1042" w:type="pct"/>
          </w:tcPr>
          <w:p w:rsidR="005D5A35" w:rsidRPr="00602D1D" w:rsidRDefault="005D5A35" w:rsidP="00FA57FD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Potřeba financování z vnějších zdrojů zůstává za celou českou ekonomiku oproti předchozím obdobím relativně slabá…</w:t>
            </w:r>
          </w:p>
        </w:tc>
        <w:tc>
          <w:tcPr>
            <w:tcW w:w="139" w:type="pct"/>
          </w:tcPr>
          <w:p w:rsidR="005D5A35" w:rsidRDefault="005D5A35" w:rsidP="00FA57FD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0458C6">
            <w:pPr>
              <w:pStyle w:val="Textpoznpodarou"/>
              <w:jc w:val="both"/>
              <w:rPr>
                <w:color w:val="000000"/>
                <w:spacing w:val="-4"/>
              </w:rPr>
            </w:pPr>
            <w:r w:rsidRPr="000458C6">
              <w:rPr>
                <w:color w:val="000000"/>
                <w:spacing w:val="-4"/>
              </w:rPr>
              <w:t xml:space="preserve">Ekonomika ČR použila v roce 2014 pro financování investic do fixních aktiv a do zásob, tedy pro tvorbu hrubého kapitálu </w:t>
            </w:r>
            <w:r w:rsidR="00B06EE6" w:rsidRPr="000458C6">
              <w:rPr>
                <w:color w:val="000000"/>
                <w:spacing w:val="-4"/>
              </w:rPr>
              <w:t>– která dosáhla v nominálním vy</w:t>
            </w:r>
            <w:r w:rsidR="00AB5082">
              <w:rPr>
                <w:color w:val="000000"/>
                <w:spacing w:val="-4"/>
              </w:rPr>
              <w:t>j</w:t>
            </w:r>
            <w:r w:rsidR="00B06EE6" w:rsidRPr="000458C6">
              <w:rPr>
                <w:color w:val="000000"/>
                <w:spacing w:val="-4"/>
              </w:rPr>
              <w:t>ádření</w:t>
            </w:r>
            <w:r w:rsidRPr="000458C6">
              <w:rPr>
                <w:color w:val="000000"/>
                <w:spacing w:val="-4"/>
              </w:rPr>
              <w:t xml:space="preserve"> 1 075,9 mld. korun</w:t>
            </w:r>
            <w:r w:rsidR="00B155A3">
              <w:rPr>
                <w:color w:val="000000"/>
                <w:spacing w:val="-4"/>
              </w:rPr>
              <w:t xml:space="preserve"> -</w:t>
            </w:r>
            <w:r w:rsidRPr="000458C6">
              <w:rPr>
                <w:color w:val="000000"/>
                <w:spacing w:val="-4"/>
              </w:rPr>
              <w:t xml:space="preserve"> jen 84,4 mld. korun zdrojů ze zahraničí. Přetrvává tak situace z předchozích dvou let, kdy potřeba fina</w:t>
            </w:r>
            <w:r w:rsidR="00B06EE6" w:rsidRPr="000458C6">
              <w:rPr>
                <w:color w:val="000000"/>
                <w:spacing w:val="-4"/>
              </w:rPr>
              <w:t xml:space="preserve">ncování z cizích zdrojů činila </w:t>
            </w:r>
            <w:r w:rsidRPr="000458C6">
              <w:rPr>
                <w:color w:val="000000"/>
                <w:spacing w:val="-4"/>
              </w:rPr>
              <w:t>87,9 mld. v </w:t>
            </w:r>
            <w:r w:rsidR="00B06EE6" w:rsidRPr="000458C6">
              <w:rPr>
                <w:color w:val="000000"/>
                <w:spacing w:val="-4"/>
              </w:rPr>
              <w:t xml:space="preserve">roce 2012, resp. 46 mld. korun </w:t>
            </w:r>
            <w:r w:rsidRPr="000458C6">
              <w:rPr>
                <w:color w:val="000000"/>
                <w:spacing w:val="-4"/>
              </w:rPr>
              <w:t>v roce 2013. Pro tvorbu hrubého kapitálu tak z velké míry postačovaly vytvořené hrubé národní úspory v ekonomice ve výši 991,5 mld. korun. Nejen roky recese, a</w:t>
            </w:r>
            <w:r w:rsidR="00B06EE6" w:rsidRPr="000458C6">
              <w:rPr>
                <w:color w:val="000000"/>
                <w:spacing w:val="-4"/>
              </w:rPr>
              <w:t xml:space="preserve">le i start k růstu </w:t>
            </w:r>
            <w:r w:rsidRPr="000458C6">
              <w:rPr>
                <w:color w:val="000000"/>
                <w:spacing w:val="-4"/>
              </w:rPr>
              <w:t>tak potřebu vnější</w:t>
            </w:r>
            <w:r w:rsidR="00B06EE6" w:rsidRPr="000458C6">
              <w:rPr>
                <w:color w:val="000000"/>
                <w:spacing w:val="-4"/>
              </w:rPr>
              <w:t>ch</w:t>
            </w:r>
            <w:r w:rsidRPr="000458C6">
              <w:rPr>
                <w:color w:val="000000"/>
                <w:spacing w:val="-4"/>
              </w:rPr>
              <w:t xml:space="preserve"> zdrojů pro investice nezvýšil.</w:t>
            </w:r>
          </w:p>
          <w:p w:rsidR="000458C6" w:rsidRPr="00361918" w:rsidRDefault="000458C6" w:rsidP="000458C6">
            <w:pPr>
              <w:pStyle w:val="Textpoznpodarou"/>
              <w:jc w:val="both"/>
              <w:rPr>
                <w:color w:val="000000"/>
                <w:spacing w:val="-2"/>
                <w:sz w:val="16"/>
                <w:szCs w:val="16"/>
              </w:rPr>
            </w:pPr>
          </w:p>
        </w:tc>
      </w:tr>
      <w:tr w:rsidR="005D5A35" w:rsidTr="00FA57FD">
        <w:tc>
          <w:tcPr>
            <w:tcW w:w="1042" w:type="pct"/>
          </w:tcPr>
          <w:p w:rsidR="005D5A35" w:rsidRPr="000458C6" w:rsidRDefault="005D5A35" w:rsidP="00FA57FD">
            <w:pPr>
              <w:spacing w:line="240" w:lineRule="auto"/>
              <w:rPr>
                <w:color w:val="000000"/>
                <w:spacing w:val="-6"/>
                <w:sz w:val="16"/>
                <w:szCs w:val="16"/>
              </w:rPr>
            </w:pPr>
            <w:r w:rsidRPr="000458C6">
              <w:rPr>
                <w:color w:val="000000"/>
                <w:spacing w:val="-6"/>
                <w:sz w:val="16"/>
                <w:szCs w:val="16"/>
              </w:rPr>
              <w:t xml:space="preserve">… stejně jako u nefinančních podniků; úspory jsou silné </w:t>
            </w:r>
            <w:r w:rsidRPr="000458C6">
              <w:rPr>
                <w:color w:val="000000"/>
                <w:spacing w:val="-6"/>
                <w:sz w:val="16"/>
                <w:szCs w:val="16"/>
              </w:rPr>
              <w:lastRenderedPageBreak/>
              <w:t>a</w:t>
            </w:r>
            <w:r w:rsidR="00347DF6">
              <w:rPr>
                <w:color w:val="000000"/>
                <w:spacing w:val="-6"/>
                <w:sz w:val="16"/>
                <w:szCs w:val="16"/>
              </w:rPr>
              <w:t> </w:t>
            </w:r>
            <w:r w:rsidRPr="000458C6">
              <w:rPr>
                <w:color w:val="000000"/>
                <w:spacing w:val="-6"/>
                <w:sz w:val="16"/>
                <w:szCs w:val="16"/>
              </w:rPr>
              <w:t>potřeba financování od jiných institucionálních sektorů není tak velká jako mezi roky 2004-2008</w:t>
            </w:r>
          </w:p>
          <w:p w:rsidR="005D5A35" w:rsidRDefault="005D5A35" w:rsidP="00FA57FD">
            <w:pPr>
              <w:spacing w:line="240" w:lineRule="auto"/>
              <w:rPr>
                <w:color w:val="000000"/>
                <w:sz w:val="16"/>
                <w:szCs w:val="16"/>
              </w:rPr>
            </w:pPr>
          </w:p>
          <w:p w:rsidR="005D5A35" w:rsidRPr="00602D1D" w:rsidRDefault="005D5A35" w:rsidP="00AB5082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Český ekonomický růst se</w:t>
            </w:r>
            <w:r w:rsidR="00AB5082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 xml:space="preserve">odehrává bez úvěrové expanze </w:t>
            </w:r>
          </w:p>
        </w:tc>
        <w:tc>
          <w:tcPr>
            <w:tcW w:w="139" w:type="pct"/>
          </w:tcPr>
          <w:p w:rsidR="005D5A35" w:rsidRDefault="005D5A35" w:rsidP="00FA57FD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Default="005D5A35" w:rsidP="00FB67DD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Pokud jde o samotné nefinanční podniky, v tomto instituc</w:t>
            </w:r>
            <w:r w:rsidR="00B06EE6">
              <w:rPr>
                <w:color w:val="000000"/>
                <w:spacing w:val="-2"/>
              </w:rPr>
              <w:t>ionálním sektoru činila v</w:t>
            </w:r>
            <w:r w:rsidR="000458C6">
              <w:rPr>
                <w:color w:val="000000"/>
                <w:spacing w:val="-2"/>
              </w:rPr>
              <w:t> </w:t>
            </w:r>
            <w:r w:rsidR="00B06EE6">
              <w:rPr>
                <w:color w:val="000000"/>
                <w:spacing w:val="-2"/>
              </w:rPr>
              <w:t>roce</w:t>
            </w:r>
            <w:r w:rsidR="000458C6"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  <w:spacing w:val="-2"/>
              </w:rPr>
              <w:t xml:space="preserve">2014 potřeba financování od ostatních institucionálních sektorů 91,9 mld. </w:t>
            </w:r>
            <w:r>
              <w:rPr>
                <w:color w:val="000000"/>
                <w:spacing w:val="-2"/>
              </w:rPr>
              <w:lastRenderedPageBreak/>
              <w:t xml:space="preserve">korun, což bylo mírně nad průměrem posledních tří let (89,2 mld. korun). K investicím nefinančních podniků do fixních aktiv a zásob v nominální výši 681,5 mld. korun tak opět z velké míry postačovaly jimi vytvořené hrubé úspory (589,6 mld. korun). </w:t>
            </w:r>
          </w:p>
          <w:p w:rsidR="005D5A35" w:rsidRPr="000458C6" w:rsidRDefault="005D5A35" w:rsidP="00FB67DD">
            <w:pPr>
              <w:pStyle w:val="Textpoznpodarou"/>
              <w:jc w:val="both"/>
              <w:rPr>
                <w:color w:val="000000"/>
                <w:spacing w:val="-2"/>
                <w:sz w:val="16"/>
                <w:szCs w:val="16"/>
              </w:rPr>
            </w:pPr>
          </w:p>
          <w:p w:rsidR="005D5A35" w:rsidRDefault="005D5A35" w:rsidP="000458C6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Tato skutečnost, tj. silná</w:t>
            </w:r>
            <w:r w:rsidR="00AB5082">
              <w:rPr>
                <w:color w:val="000000"/>
                <w:spacing w:val="-2"/>
              </w:rPr>
              <w:t xml:space="preserve"> tvorba hrubých úspor,</w:t>
            </w:r>
            <w:r>
              <w:rPr>
                <w:color w:val="000000"/>
                <w:spacing w:val="-2"/>
              </w:rPr>
              <w:t xml:space="preserve"> se projevila i v tom, že firmy svého růstu dosahovaly s minimálním přírůstkem potřebných cizích zd</w:t>
            </w:r>
            <w:r w:rsidR="00F55CC2">
              <w:rPr>
                <w:color w:val="000000"/>
                <w:spacing w:val="-2"/>
              </w:rPr>
              <w:t>rojů ve form</w:t>
            </w:r>
            <w:r w:rsidR="00B06EE6">
              <w:rPr>
                <w:color w:val="000000"/>
                <w:spacing w:val="-2"/>
              </w:rPr>
              <w:t>ě</w:t>
            </w:r>
            <w:r w:rsidR="00F55CC2">
              <w:rPr>
                <w:color w:val="000000"/>
                <w:spacing w:val="-2"/>
              </w:rPr>
              <w:t xml:space="preserve"> bankovních úvěrů. </w:t>
            </w:r>
            <w:r w:rsidR="00B06EE6">
              <w:rPr>
                <w:color w:val="000000"/>
                <w:spacing w:val="-2"/>
              </w:rPr>
              <w:t xml:space="preserve">Úvěry </w:t>
            </w:r>
            <w:r>
              <w:rPr>
                <w:color w:val="000000"/>
                <w:spacing w:val="-2"/>
              </w:rPr>
              <w:t>nefinančním podnikům od bank v korunách a cizí měně stouply v roce 2014 proti roku 2013 o pouhýc</w:t>
            </w:r>
            <w:r w:rsidR="00AB5082">
              <w:rPr>
                <w:color w:val="000000"/>
                <w:spacing w:val="-2"/>
              </w:rPr>
              <w:t>h</w:t>
            </w:r>
            <w:r>
              <w:rPr>
                <w:color w:val="000000"/>
                <w:spacing w:val="-2"/>
              </w:rPr>
              <w:t xml:space="preserve"> 0,9 %,</w:t>
            </w:r>
            <w:r w:rsidR="00AB5082">
              <w:rPr>
                <w:color w:val="000000"/>
                <w:spacing w:val="-2"/>
              </w:rPr>
              <w:t xml:space="preserve"> </w:t>
            </w:r>
            <w:r w:rsidR="00B06EE6">
              <w:rPr>
                <w:color w:val="000000"/>
                <w:spacing w:val="-2"/>
              </w:rPr>
              <w:t>ale ty</w:t>
            </w:r>
            <w:r>
              <w:rPr>
                <w:color w:val="000000"/>
                <w:spacing w:val="-2"/>
              </w:rPr>
              <w:t xml:space="preserve"> dlouhodobé, tedy určené spíše k financování fixních investic, </w:t>
            </w:r>
            <w:r w:rsidR="00B06EE6">
              <w:rPr>
                <w:color w:val="000000"/>
                <w:spacing w:val="-2"/>
              </w:rPr>
              <w:t>o</w:t>
            </w:r>
            <w:r>
              <w:rPr>
                <w:color w:val="000000"/>
                <w:spacing w:val="-2"/>
              </w:rPr>
              <w:t xml:space="preserve"> 3,8 %. Samotné korunové úvěry firmám však meziročně jen stagnovaly (+0,1 %), dlouhodobé v korunách byly meziročně vyšší o</w:t>
            </w:r>
            <w:r w:rsidR="000458C6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 xml:space="preserve">3,6 %. Potvrzuje to, že český ekonomický růst se odehrává bez úvěrové expanze.    </w:t>
            </w:r>
          </w:p>
        </w:tc>
      </w:tr>
    </w:tbl>
    <w:p w:rsidR="005D5A35" w:rsidRPr="00347DF6" w:rsidRDefault="005D5A35" w:rsidP="00686D87">
      <w:pPr>
        <w:rPr>
          <w:b/>
          <w:sz w:val="14"/>
          <w:szCs w:val="14"/>
        </w:rPr>
      </w:pPr>
    </w:p>
    <w:tbl>
      <w:tblPr>
        <w:tblW w:w="5021" w:type="pct"/>
        <w:tblLayout w:type="fixed"/>
        <w:tblCellMar>
          <w:left w:w="28" w:type="dxa"/>
          <w:right w:w="28" w:type="dxa"/>
        </w:tblCellMar>
        <w:tblLook w:val="00A0"/>
      </w:tblPr>
      <w:tblGrid>
        <w:gridCol w:w="732"/>
        <w:gridCol w:w="4079"/>
        <w:gridCol w:w="705"/>
        <w:gridCol w:w="4219"/>
      </w:tblGrid>
      <w:tr w:rsidR="005D5A35" w:rsidRPr="00817C98" w:rsidTr="00FA57FD">
        <w:tc>
          <w:tcPr>
            <w:tcW w:w="373" w:type="pct"/>
          </w:tcPr>
          <w:p w:rsidR="005D5A35" w:rsidRDefault="005D5A35" w:rsidP="00347DF6">
            <w:pPr>
              <w:spacing w:line="240" w:lineRule="auto"/>
            </w:pPr>
            <w:r>
              <w:t>Graf č.</w:t>
            </w:r>
            <w:r w:rsidR="00347DF6">
              <w:t> </w:t>
            </w:r>
            <w:r>
              <w:t>2</w:t>
            </w:r>
            <w:r w:rsidR="00F55CC2">
              <w:t>3</w:t>
            </w:r>
          </w:p>
        </w:tc>
        <w:tc>
          <w:tcPr>
            <w:tcW w:w="2077" w:type="pct"/>
          </w:tcPr>
          <w:p w:rsidR="005D5A35" w:rsidRDefault="005D5A35" w:rsidP="00FB67DD">
            <w:pPr>
              <w:pStyle w:val="Textpoznpodarou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Ekonomika ČR celkem – potřeba financování investic z vnějších zdrojů </w:t>
            </w:r>
          </w:p>
          <w:p w:rsidR="005D5A35" w:rsidRDefault="005D5A35" w:rsidP="00FB67DD">
            <w:pPr>
              <w:pStyle w:val="Textpoznpodarou"/>
              <w:rPr>
                <w:rFonts w:cs="Arial"/>
                <w:szCs w:val="24"/>
              </w:rPr>
            </w:pPr>
            <w:r w:rsidRPr="00DB06E9">
              <w:rPr>
                <w:rFonts w:cs="Arial"/>
                <w:bCs/>
              </w:rPr>
              <w:t>(v m</w:t>
            </w:r>
            <w:r>
              <w:rPr>
                <w:rFonts w:cs="Arial"/>
                <w:bCs/>
              </w:rPr>
              <w:t>il.</w:t>
            </w:r>
            <w:r w:rsidRPr="00DB06E9">
              <w:rPr>
                <w:rFonts w:cs="Arial"/>
                <w:bCs/>
              </w:rPr>
              <w:t xml:space="preserve"> korun)</w:t>
            </w:r>
          </w:p>
        </w:tc>
        <w:tc>
          <w:tcPr>
            <w:tcW w:w="359" w:type="pct"/>
          </w:tcPr>
          <w:p w:rsidR="005D5A35" w:rsidRDefault="005D5A35" w:rsidP="00347DF6">
            <w:pPr>
              <w:spacing w:line="240" w:lineRule="auto"/>
            </w:pPr>
            <w:r>
              <w:t>Graf č.</w:t>
            </w:r>
            <w:r w:rsidR="00347DF6">
              <w:t> </w:t>
            </w:r>
            <w:r>
              <w:t>2</w:t>
            </w:r>
            <w:r w:rsidR="00F55CC2">
              <w:t>4</w:t>
            </w:r>
          </w:p>
        </w:tc>
        <w:tc>
          <w:tcPr>
            <w:tcW w:w="2148" w:type="pct"/>
          </w:tcPr>
          <w:p w:rsidR="005D5A35" w:rsidRPr="00817C98" w:rsidRDefault="005D5A35" w:rsidP="00FB67DD">
            <w:pPr>
              <w:spacing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Nefinanční podniky – potřeba financování investic z vnějších zdrojů</w:t>
            </w:r>
            <w:r w:rsidR="00AB5082">
              <w:rPr>
                <w:rFonts w:cs="Arial"/>
                <w:b/>
                <w:bCs/>
              </w:rPr>
              <w:t xml:space="preserve"> </w:t>
            </w:r>
            <w:r w:rsidRPr="00DB06E9">
              <w:rPr>
                <w:rFonts w:cs="Arial"/>
                <w:bCs/>
              </w:rPr>
              <w:t>(v m</w:t>
            </w:r>
            <w:r>
              <w:rPr>
                <w:rFonts w:cs="Arial"/>
                <w:bCs/>
              </w:rPr>
              <w:t>i</w:t>
            </w:r>
            <w:r w:rsidRPr="00DB06E9">
              <w:rPr>
                <w:rFonts w:cs="Arial"/>
                <w:bCs/>
              </w:rPr>
              <w:t>l. korun)</w:t>
            </w:r>
          </w:p>
        </w:tc>
      </w:tr>
      <w:tr w:rsidR="005D5A35" w:rsidTr="00FA57FD">
        <w:tc>
          <w:tcPr>
            <w:tcW w:w="2450" w:type="pct"/>
            <w:gridSpan w:val="2"/>
          </w:tcPr>
          <w:p w:rsidR="005D5A35" w:rsidRPr="00AE6D73" w:rsidRDefault="00DE56AE" w:rsidP="00FA57FD">
            <w:pPr>
              <w:pStyle w:val="Textpoznpodarou"/>
              <w:jc w:val="both"/>
            </w:pPr>
            <w:r>
              <w:pict>
                <v:shape id="_x0000_i1528" type="#_x0000_t75" style="width:235.5pt;height:198.75pt">
                  <v:imagedata r:id="rId34" o:title=""/>
                </v:shape>
              </w:pict>
            </w:r>
          </w:p>
        </w:tc>
        <w:tc>
          <w:tcPr>
            <w:tcW w:w="2507" w:type="pct"/>
            <w:gridSpan w:val="2"/>
          </w:tcPr>
          <w:p w:rsidR="005D5A35" w:rsidRPr="00AE6D73" w:rsidRDefault="00DE56AE" w:rsidP="00347DF6">
            <w:pPr>
              <w:pStyle w:val="Textpoznpodarou"/>
              <w:jc w:val="right"/>
            </w:pPr>
            <w:r>
              <w:pict>
                <v:shape id="_x0000_i1529" type="#_x0000_t75" style="width:240.75pt;height:198pt">
                  <v:imagedata r:id="rId35" o:title=""/>
                </v:shape>
              </w:pict>
            </w:r>
          </w:p>
        </w:tc>
      </w:tr>
    </w:tbl>
    <w:p w:rsidR="005D5A35" w:rsidRPr="00EA7135" w:rsidRDefault="00A85332" w:rsidP="00EA7135">
      <w:pPr>
        <w:jc w:val="right"/>
        <w:rPr>
          <w:sz w:val="18"/>
          <w:szCs w:val="18"/>
        </w:rPr>
      </w:pPr>
      <w:r>
        <w:rPr>
          <w:sz w:val="18"/>
          <w:szCs w:val="18"/>
        </w:rPr>
        <w:t>Zdroj</w:t>
      </w:r>
      <w:r w:rsidR="005D5A35" w:rsidRPr="00EA7135">
        <w:rPr>
          <w:sz w:val="18"/>
          <w:szCs w:val="18"/>
        </w:rPr>
        <w:t>: ČSÚ</w:t>
      </w:r>
    </w:p>
    <w:p w:rsidR="005D5A35" w:rsidRPr="00347DF6" w:rsidRDefault="005D5A35" w:rsidP="00686D87">
      <w:pPr>
        <w:rPr>
          <w:b/>
          <w:sz w:val="16"/>
          <w:szCs w:val="16"/>
        </w:rPr>
      </w:pPr>
    </w:p>
    <w:p w:rsidR="005D5A35" w:rsidRPr="006E15CB" w:rsidRDefault="005D5A35" w:rsidP="008B0C8B">
      <w:pPr>
        <w:pStyle w:val="Nadpis2"/>
        <w:numPr>
          <w:ilvl w:val="1"/>
          <w:numId w:val="6"/>
        </w:numPr>
      </w:pPr>
      <w:bookmarkStart w:id="9" w:name="_Toc426017674"/>
      <w:r w:rsidRPr="006E15CB">
        <w:t>Ostatní nerovnováhy</w:t>
      </w:r>
      <w:bookmarkEnd w:id="9"/>
    </w:p>
    <w:p w:rsidR="005D5A35" w:rsidRDefault="005D5A35" w:rsidP="00A85332">
      <w:pPr>
        <w:spacing w:line="240" w:lineRule="auto"/>
        <w:jc w:val="both"/>
        <w:rPr>
          <w:szCs w:val="20"/>
        </w:rPr>
      </w:pPr>
      <w:r>
        <w:rPr>
          <w:szCs w:val="20"/>
        </w:rPr>
        <w:t>Kromě vybraných makroekonomických nerovnováh, kterými je nejčastěji popisována stabilita v ekonomice, l</w:t>
      </w:r>
      <w:r w:rsidR="00B155A3">
        <w:rPr>
          <w:szCs w:val="20"/>
        </w:rPr>
        <w:t>z</w:t>
      </w:r>
      <w:r>
        <w:rPr>
          <w:szCs w:val="20"/>
        </w:rPr>
        <w:t>e obecně identifikovat i další „nepoměry“. Soustřeďme se v dalším na vybrané indikátory v podobě stavů „příchozích“ a „odchozích“ přímých investic, vztahy dividend a reinvestovaných zisků a také vývoje mezd a</w:t>
      </w:r>
      <w:r w:rsidR="00AB5082">
        <w:rPr>
          <w:szCs w:val="20"/>
        </w:rPr>
        <w:t> </w:t>
      </w:r>
      <w:r>
        <w:rPr>
          <w:szCs w:val="20"/>
        </w:rPr>
        <w:t>zisků nefinančních podniků v důchodovém pojetí HDP.</w:t>
      </w:r>
    </w:p>
    <w:p w:rsidR="005D5A35" w:rsidRPr="008241C2" w:rsidRDefault="005D5A35" w:rsidP="00686D87">
      <w:pPr>
        <w:rPr>
          <w:szCs w:val="20"/>
        </w:rPr>
      </w:pPr>
      <w:r>
        <w:rPr>
          <w:szCs w:val="20"/>
        </w:rPr>
        <w:t xml:space="preserve"> </w:t>
      </w:r>
    </w:p>
    <w:p w:rsidR="005D5A35" w:rsidRPr="006E15CB" w:rsidRDefault="005D5A35" w:rsidP="008B0C8B">
      <w:pPr>
        <w:pStyle w:val="Nadpis3"/>
        <w:numPr>
          <w:ilvl w:val="2"/>
          <w:numId w:val="6"/>
        </w:numPr>
      </w:pPr>
      <w:bookmarkStart w:id="10" w:name="_Toc426017675"/>
      <w:r w:rsidRPr="006E15CB">
        <w:t>Přímé zahraniční investice</w:t>
      </w:r>
      <w:bookmarkEnd w:id="10"/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41"/>
        <w:gridCol w:w="731"/>
        <w:gridCol w:w="1265"/>
        <w:gridCol w:w="272"/>
        <w:gridCol w:w="2542"/>
        <w:gridCol w:w="706"/>
        <w:gridCol w:w="4220"/>
      </w:tblGrid>
      <w:tr w:rsidR="005D5A35" w:rsidTr="00347DF6">
        <w:tc>
          <w:tcPr>
            <w:tcW w:w="1042" w:type="pct"/>
            <w:gridSpan w:val="3"/>
          </w:tcPr>
          <w:p w:rsidR="005D5A35" w:rsidRPr="00602D1D" w:rsidRDefault="005D5A35" w:rsidP="00AB5082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Česká republika přijala do</w:t>
            </w:r>
            <w:r w:rsidR="00AB5082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konce</w:t>
            </w:r>
            <w:r w:rsidR="00AB5082">
              <w:rPr>
                <w:color w:val="000000"/>
                <w:sz w:val="16"/>
                <w:szCs w:val="16"/>
              </w:rPr>
              <w:t xml:space="preserve"> roku 2014 celkem 2,775 bilionu</w:t>
            </w:r>
            <w:r>
              <w:rPr>
                <w:color w:val="000000"/>
                <w:sz w:val="16"/>
                <w:szCs w:val="16"/>
              </w:rPr>
              <w:t xml:space="preserve"> přímých i</w:t>
            </w:r>
            <w:r w:rsidR="00AB5082">
              <w:rPr>
                <w:color w:val="000000"/>
                <w:sz w:val="16"/>
                <w:szCs w:val="16"/>
              </w:rPr>
              <w:t>n</w:t>
            </w:r>
            <w:r>
              <w:rPr>
                <w:color w:val="000000"/>
                <w:sz w:val="16"/>
                <w:szCs w:val="16"/>
              </w:rPr>
              <w:t>vestic ze zahraničí…</w:t>
            </w:r>
          </w:p>
        </w:tc>
        <w:tc>
          <w:tcPr>
            <w:tcW w:w="139" w:type="pct"/>
          </w:tcPr>
          <w:p w:rsidR="005D5A35" w:rsidRDefault="005D5A35" w:rsidP="007351BA">
            <w:pPr>
              <w:pStyle w:val="Textpoznpodarou"/>
              <w:jc w:val="both"/>
            </w:pPr>
          </w:p>
        </w:tc>
        <w:tc>
          <w:tcPr>
            <w:tcW w:w="3819" w:type="pct"/>
            <w:gridSpan w:val="3"/>
          </w:tcPr>
          <w:p w:rsidR="005D5A35" w:rsidRDefault="005D5A35" w:rsidP="007351BA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Koncem roku 2014 bylo</w:t>
            </w:r>
            <w:r w:rsidR="009C2524">
              <w:rPr>
                <w:color w:val="000000"/>
                <w:spacing w:val="-2"/>
              </w:rPr>
              <w:t xml:space="preserve"> do ekonomiky České republiky </w:t>
            </w:r>
            <w:proofErr w:type="spellStart"/>
            <w:r w:rsidR="009C2524">
              <w:rPr>
                <w:color w:val="000000"/>
                <w:spacing w:val="-2"/>
              </w:rPr>
              <w:t>na</w:t>
            </w:r>
            <w:r>
              <w:rPr>
                <w:color w:val="000000"/>
                <w:spacing w:val="-2"/>
              </w:rPr>
              <w:t>investováno</w:t>
            </w:r>
            <w:proofErr w:type="spellEnd"/>
            <w:r>
              <w:rPr>
                <w:color w:val="000000"/>
                <w:spacing w:val="-2"/>
              </w:rPr>
              <w:t xml:space="preserve"> ve formě přímých zahraničních investic celkem 2 775 mld. korun (vč. investic, které se vracely zpět do mateřských společností, jde tedy o stavy investic v čistém vyjádření). Naproti tomu srovnatelné stavy investic českých subjektů v zahraničí dosahovaly závěrem roku 2014 celkem 434,8 mld. korun, což bylo jen 15,7 % výše zmíněné úrovně investic, které přišly do České republiky (graf </w:t>
            </w:r>
            <w:r w:rsidR="00B06EE6">
              <w:rPr>
                <w:color w:val="000000"/>
                <w:spacing w:val="-2"/>
              </w:rPr>
              <w:t>25</w:t>
            </w:r>
            <w:r>
              <w:rPr>
                <w:color w:val="000000"/>
                <w:spacing w:val="-2"/>
              </w:rPr>
              <w:t xml:space="preserve">). </w:t>
            </w:r>
          </w:p>
          <w:p w:rsidR="005D5A35" w:rsidRPr="00347DF6" w:rsidRDefault="005D5A35" w:rsidP="007351BA">
            <w:pPr>
              <w:pStyle w:val="Textpoznpodarou"/>
              <w:jc w:val="both"/>
              <w:rPr>
                <w:color w:val="000000"/>
                <w:spacing w:val="-2"/>
                <w:sz w:val="16"/>
                <w:szCs w:val="16"/>
              </w:rPr>
            </w:pPr>
          </w:p>
        </w:tc>
      </w:tr>
      <w:tr w:rsidR="005D5A35" w:rsidTr="00347DF6">
        <w:tc>
          <w:tcPr>
            <w:tcW w:w="1042" w:type="pct"/>
            <w:gridSpan w:val="3"/>
          </w:tcPr>
          <w:p w:rsidR="005D5A35" w:rsidRDefault="005D5A35" w:rsidP="003046B3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… přičemž české subjekty </w:t>
            </w:r>
            <w:proofErr w:type="spellStart"/>
            <w:r>
              <w:rPr>
                <w:color w:val="000000"/>
                <w:sz w:val="16"/>
                <w:szCs w:val="16"/>
              </w:rPr>
              <w:t>nainvestovaly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do zahraničí 435 mld. korun –</w:t>
            </w:r>
            <w:r w:rsidR="00B06EE6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byla to zhruba šestina stavu</w:t>
            </w:r>
            <w:r w:rsidR="00AB5082">
              <w:rPr>
                <w:color w:val="000000"/>
                <w:sz w:val="16"/>
                <w:szCs w:val="16"/>
              </w:rPr>
              <w:t xml:space="preserve"> přímých zahraničních investic d</w:t>
            </w:r>
            <w:r>
              <w:rPr>
                <w:color w:val="000000"/>
                <w:sz w:val="16"/>
                <w:szCs w:val="16"/>
              </w:rPr>
              <w:t>o ČR, které se však již nacházejí ve třetí fázi sv</w:t>
            </w:r>
            <w:r w:rsidR="00AB5082">
              <w:rPr>
                <w:color w:val="000000"/>
                <w:sz w:val="16"/>
                <w:szCs w:val="16"/>
              </w:rPr>
              <w:t>ého cyklu (převažují repatriace</w:t>
            </w:r>
            <w:r>
              <w:rPr>
                <w:color w:val="000000"/>
                <w:sz w:val="16"/>
                <w:szCs w:val="16"/>
              </w:rPr>
              <w:t xml:space="preserve"> zisků)</w:t>
            </w:r>
          </w:p>
        </w:tc>
        <w:tc>
          <w:tcPr>
            <w:tcW w:w="139" w:type="pct"/>
          </w:tcPr>
          <w:p w:rsidR="005D5A35" w:rsidRDefault="005D5A35" w:rsidP="007351BA">
            <w:pPr>
              <w:pStyle w:val="Textpoznpodarou"/>
              <w:jc w:val="both"/>
            </w:pPr>
          </w:p>
        </w:tc>
        <w:tc>
          <w:tcPr>
            <w:tcW w:w="3819" w:type="pct"/>
            <w:gridSpan w:val="3"/>
          </w:tcPr>
          <w:p w:rsidR="005D5A35" w:rsidRDefault="005D5A35" w:rsidP="007351BA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Jde tedy o výrazný nepoměr umocněný časovým horizontem přílivu a časovým horizontem „odchozích“ investic. Zatímco u přímých investic do České republiky jde o</w:t>
            </w:r>
            <w:r w:rsidR="009D3B5E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>tzv. třetí fázi projevující se převýšením výnosů (dividend), které si zahraniční vlastníci odčerpávají zpět do mateřských společností</w:t>
            </w:r>
            <w:r w:rsidR="004601C1">
              <w:rPr>
                <w:color w:val="000000"/>
                <w:spacing w:val="-2"/>
              </w:rPr>
              <w:t>,</w:t>
            </w:r>
            <w:r>
              <w:rPr>
                <w:color w:val="000000"/>
                <w:spacing w:val="-2"/>
              </w:rPr>
              <w:t xml:space="preserve"> nad reinvest</w:t>
            </w:r>
            <w:r w:rsidR="004E5B4E">
              <w:rPr>
                <w:color w:val="000000"/>
                <w:spacing w:val="-2"/>
              </w:rPr>
              <w:t>ovanými zisky (více v kapitole 5</w:t>
            </w:r>
            <w:r>
              <w:rPr>
                <w:color w:val="000000"/>
                <w:spacing w:val="-2"/>
              </w:rPr>
              <w:t>.4.2.), u přímých investic českých subjektů do zahraničí jde teprve o</w:t>
            </w:r>
            <w:r w:rsidR="004601C1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>první fázi (v roce 2014 získali čeští přímí investoři na dividendách 5,3 mld. korun a</w:t>
            </w:r>
            <w:r w:rsidR="009D3B5E">
              <w:rPr>
                <w:color w:val="000000"/>
                <w:spacing w:val="-2"/>
              </w:rPr>
              <w:t> </w:t>
            </w:r>
            <w:r>
              <w:rPr>
                <w:color w:val="000000"/>
                <w:spacing w:val="-2"/>
              </w:rPr>
              <w:t xml:space="preserve">reinvestovali zisky ve výši 23,7 mld. korun). </w:t>
            </w:r>
          </w:p>
          <w:p w:rsidR="005D5A35" w:rsidRPr="00347DF6" w:rsidRDefault="005D5A35" w:rsidP="007351BA">
            <w:pPr>
              <w:pStyle w:val="Textpoznpodarou"/>
              <w:jc w:val="both"/>
              <w:rPr>
                <w:color w:val="000000"/>
                <w:spacing w:val="-2"/>
                <w:sz w:val="16"/>
                <w:szCs w:val="16"/>
              </w:rPr>
            </w:pPr>
          </w:p>
        </w:tc>
      </w:tr>
      <w:tr w:rsidR="005D5A35" w:rsidTr="00347DF6">
        <w:tc>
          <w:tcPr>
            <w:tcW w:w="1042" w:type="pct"/>
            <w:gridSpan w:val="3"/>
          </w:tcPr>
          <w:p w:rsidR="005D5A35" w:rsidRPr="00602D1D" w:rsidRDefault="005D5A35" w:rsidP="009D3B5E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Ve stavech přímých zahraničních investic do</w:t>
            </w:r>
            <w:r w:rsidR="009D3B5E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ĆR</w:t>
            </w:r>
            <w:r w:rsidR="009D3B5E"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z w:val="16"/>
                <w:szCs w:val="16"/>
              </w:rPr>
              <w:t xml:space="preserve"> co se struktury týká</w:t>
            </w:r>
            <w:r w:rsidR="009D3B5E">
              <w:rPr>
                <w:color w:val="000000"/>
                <w:sz w:val="16"/>
                <w:szCs w:val="16"/>
              </w:rPr>
              <w:t>,</w:t>
            </w:r>
            <w:r w:rsidR="00B06EE6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stále mírně převažují kapitálové vstupy nad</w:t>
            </w:r>
            <w:r w:rsidR="009D3B5E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reinvestovanými zisky</w:t>
            </w:r>
          </w:p>
        </w:tc>
        <w:tc>
          <w:tcPr>
            <w:tcW w:w="139" w:type="pct"/>
          </w:tcPr>
          <w:p w:rsidR="005D5A35" w:rsidRDefault="005D5A35" w:rsidP="00FA57FD">
            <w:pPr>
              <w:pStyle w:val="Textpoznpodarou"/>
              <w:jc w:val="both"/>
            </w:pPr>
          </w:p>
        </w:tc>
        <w:tc>
          <w:tcPr>
            <w:tcW w:w="3819" w:type="pct"/>
            <w:gridSpan w:val="3"/>
          </w:tcPr>
          <w:p w:rsidR="005D5A35" w:rsidRDefault="005D5A35" w:rsidP="002F3C26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Ve struktuře přímých investic do ČR podle jejich charakteru i přes relativně silnou váhu reinvestovaných zisků stále převažují – i když velmi mírně -  kapitálové vstupy (50,2 % celkového stavu přímých zahraničních investic do ČR</w:t>
            </w:r>
            <w:r w:rsidR="002B798E">
              <w:rPr>
                <w:color w:val="000000"/>
                <w:spacing w:val="-2"/>
              </w:rPr>
              <w:t>)</w:t>
            </w:r>
            <w:r>
              <w:rPr>
                <w:color w:val="000000"/>
                <w:spacing w:val="-2"/>
              </w:rPr>
              <w:t>. Na reinvestované zisky připadá 42 % úhrnného stavu, zbytek pak tvoří tzv. Ostatní kapitál představující především půjčky mateřských společností dceřiným společnostem v ČR.</w:t>
            </w:r>
          </w:p>
        </w:tc>
      </w:tr>
      <w:tr w:rsidR="005D5A35" w:rsidRPr="00817C98" w:rsidTr="00347DF6">
        <w:trPr>
          <w:gridBefore w:val="1"/>
          <w:wBefore w:w="21" w:type="pct"/>
        </w:trPr>
        <w:tc>
          <w:tcPr>
            <w:tcW w:w="374" w:type="pct"/>
          </w:tcPr>
          <w:p w:rsidR="005D5A35" w:rsidRDefault="005D5A35" w:rsidP="00347DF6">
            <w:pPr>
              <w:spacing w:line="240" w:lineRule="auto"/>
            </w:pPr>
            <w:r>
              <w:lastRenderedPageBreak/>
              <w:t>Graf č.</w:t>
            </w:r>
            <w:r w:rsidR="00347DF6">
              <w:t> </w:t>
            </w:r>
            <w:r w:rsidR="00F55CC2">
              <w:t>25</w:t>
            </w:r>
          </w:p>
        </w:tc>
        <w:tc>
          <w:tcPr>
            <w:tcW w:w="2086" w:type="pct"/>
            <w:gridSpan w:val="3"/>
          </w:tcPr>
          <w:p w:rsidR="005D5A35" w:rsidRDefault="005D5A35" w:rsidP="00CB43BC">
            <w:pPr>
              <w:pStyle w:val="Textpoznpodarou"/>
              <w:rPr>
                <w:rFonts w:cs="Arial"/>
                <w:szCs w:val="24"/>
              </w:rPr>
            </w:pPr>
            <w:r>
              <w:rPr>
                <w:rFonts w:cs="Arial"/>
                <w:b/>
                <w:bCs/>
              </w:rPr>
              <w:t xml:space="preserve">Stavy přímých zahraničních investic do ČR a přímých investic českých subjektů v zahraničí </w:t>
            </w:r>
            <w:r w:rsidRPr="00DB06E9">
              <w:rPr>
                <w:rFonts w:cs="Arial"/>
                <w:bCs/>
              </w:rPr>
              <w:t>(v mld. korun)</w:t>
            </w:r>
          </w:p>
        </w:tc>
        <w:tc>
          <w:tcPr>
            <w:tcW w:w="361" w:type="pct"/>
          </w:tcPr>
          <w:p w:rsidR="005D5A35" w:rsidRDefault="005D5A35" w:rsidP="00347DF6">
            <w:pPr>
              <w:spacing w:line="240" w:lineRule="auto"/>
            </w:pPr>
            <w:r>
              <w:t>Graf č.</w:t>
            </w:r>
            <w:r w:rsidR="00347DF6">
              <w:t> </w:t>
            </w:r>
            <w:r>
              <w:t>2</w:t>
            </w:r>
            <w:r w:rsidR="00F55CC2">
              <w:t>6</w:t>
            </w:r>
          </w:p>
        </w:tc>
        <w:tc>
          <w:tcPr>
            <w:tcW w:w="2158" w:type="pct"/>
          </w:tcPr>
          <w:p w:rsidR="005D5A35" w:rsidRPr="00817C98" w:rsidRDefault="005D5A35" w:rsidP="00B06EE6">
            <w:pPr>
              <w:spacing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Roční příliv přímých investic do ČR a přímých investic českých subjektů do zahraničí </w:t>
            </w:r>
            <w:r w:rsidRPr="00DB06E9">
              <w:rPr>
                <w:rFonts w:cs="Arial"/>
                <w:bCs/>
              </w:rPr>
              <w:t>(v mld. korun)</w:t>
            </w:r>
          </w:p>
        </w:tc>
      </w:tr>
      <w:tr w:rsidR="005D5A35" w:rsidTr="00347DF6">
        <w:trPr>
          <w:gridBefore w:val="1"/>
          <w:wBefore w:w="21" w:type="pct"/>
        </w:trPr>
        <w:tc>
          <w:tcPr>
            <w:tcW w:w="2460" w:type="pct"/>
            <w:gridSpan w:val="4"/>
          </w:tcPr>
          <w:p w:rsidR="005D5A35" w:rsidRDefault="00DE56AE" w:rsidP="007351BA">
            <w:pPr>
              <w:pStyle w:val="Textpoznpodarou"/>
              <w:jc w:val="both"/>
            </w:pPr>
            <w:r>
              <w:rPr>
                <w:noProof/>
              </w:rPr>
              <w:pict>
                <v:shape id="_x0000_i1530" type="#_x0000_t75" style="width:228pt;height:20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">
                  <v:imagedata r:id="rId36" o:title=""/>
                  <o:lock v:ext="edit" aspectratio="f"/>
                </v:shape>
              </w:pict>
            </w:r>
          </w:p>
        </w:tc>
        <w:tc>
          <w:tcPr>
            <w:tcW w:w="2518" w:type="pct"/>
            <w:gridSpan w:val="2"/>
          </w:tcPr>
          <w:p w:rsidR="005D5A35" w:rsidRDefault="00DE56AE" w:rsidP="007351BA">
            <w:pPr>
              <w:pStyle w:val="Textpoznpodarou"/>
              <w:jc w:val="both"/>
            </w:pPr>
            <w:r>
              <w:rPr>
                <w:noProof/>
              </w:rPr>
              <w:pict>
                <v:shape id="_x0000_i1531" type="#_x0000_t75" style="width:239.25pt;height:20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">
                  <v:imagedata r:id="rId37" o:title=""/>
                  <o:lock v:ext="edit" aspectratio="f"/>
                </v:shape>
              </w:pict>
            </w:r>
          </w:p>
        </w:tc>
      </w:tr>
    </w:tbl>
    <w:p w:rsidR="005D5A35" w:rsidRPr="00C10982" w:rsidRDefault="00BF1B37" w:rsidP="005C59F6">
      <w:pPr>
        <w:jc w:val="right"/>
        <w:rPr>
          <w:sz w:val="18"/>
          <w:szCs w:val="18"/>
        </w:rPr>
      </w:pPr>
      <w:r w:rsidRPr="00C10982">
        <w:rPr>
          <w:sz w:val="18"/>
          <w:szCs w:val="18"/>
        </w:rPr>
        <w:t>Zdroj</w:t>
      </w:r>
      <w:r w:rsidR="005D5A35" w:rsidRPr="00C10982">
        <w:rPr>
          <w:sz w:val="18"/>
          <w:szCs w:val="18"/>
        </w:rPr>
        <w:t>: ČNB</w:t>
      </w:r>
    </w:p>
    <w:p w:rsidR="005D5A35" w:rsidRPr="005C59F6" w:rsidRDefault="005D5A35" w:rsidP="005C59F6">
      <w:pPr>
        <w:jc w:val="both"/>
        <w:rPr>
          <w:sz w:val="12"/>
          <w:szCs w:val="12"/>
        </w:rPr>
      </w:pPr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2037"/>
        <w:gridCol w:w="272"/>
        <w:gridCol w:w="7468"/>
      </w:tblGrid>
      <w:tr w:rsidR="005D5A35" w:rsidTr="007351BA">
        <w:tc>
          <w:tcPr>
            <w:tcW w:w="1042" w:type="pct"/>
          </w:tcPr>
          <w:p w:rsidR="005D5A35" w:rsidRPr="00602D1D" w:rsidRDefault="005D5A35" w:rsidP="00BE09E4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Koncem roku 2013 již převažovaly ve stavech přímých zahraničních investic v ČR investice do</w:t>
            </w:r>
            <w:r w:rsidR="00BE09E4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sektoru služeb (56 %)…</w:t>
            </w:r>
          </w:p>
        </w:tc>
        <w:tc>
          <w:tcPr>
            <w:tcW w:w="139" w:type="pct"/>
          </w:tcPr>
          <w:p w:rsidR="005D5A35" w:rsidRDefault="005D5A35" w:rsidP="007351BA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Pr="00945578" w:rsidRDefault="005D5A35" w:rsidP="00422776">
            <w:pPr>
              <w:pStyle w:val="Textpoznpodarou"/>
              <w:jc w:val="both"/>
              <w:rPr>
                <w:color w:val="000000"/>
              </w:rPr>
            </w:pPr>
            <w:r w:rsidRPr="00945578">
              <w:rPr>
                <w:color w:val="000000"/>
              </w:rPr>
              <w:t xml:space="preserve">V závěru roku 2013 převažovaly, co se struktury přímých investic do ČR týká, investice do služeb (graf </w:t>
            </w:r>
            <w:r w:rsidR="00B06EE6" w:rsidRPr="00945578">
              <w:rPr>
                <w:color w:val="000000"/>
              </w:rPr>
              <w:t>28</w:t>
            </w:r>
            <w:r w:rsidRPr="00945578">
              <w:rPr>
                <w:color w:val="000000"/>
              </w:rPr>
              <w:t>) absorbující 56 % z celkového stavu přímých zahraničních investic</w:t>
            </w:r>
            <w:r w:rsidR="00BE09E4">
              <w:rPr>
                <w:color w:val="000000"/>
              </w:rPr>
              <w:t xml:space="preserve"> </w:t>
            </w:r>
            <w:r w:rsidRPr="00945578">
              <w:rPr>
                <w:color w:val="000000"/>
              </w:rPr>
              <w:t>v ČR. Silná dominance zahraničních vlastníků je patrná zejména v peněžnictví a pojišťovnictví (99 % aktiv bankovního sektoru je pod</w:t>
            </w:r>
            <w:r w:rsidR="00BE09E4">
              <w:rPr>
                <w:color w:val="000000"/>
              </w:rPr>
              <w:t> </w:t>
            </w:r>
            <w:r w:rsidRPr="00945578">
              <w:rPr>
                <w:color w:val="000000"/>
              </w:rPr>
              <w:t>zahraniční kontrolou). Oblast finančních a pojišťovacích služeb tvoří skoro polovinu stavu přímých investic do sektoru služeb v ČR.</w:t>
            </w:r>
          </w:p>
          <w:p w:rsidR="005D5A35" w:rsidRPr="00945578" w:rsidRDefault="005D5A35" w:rsidP="003046B3">
            <w:pPr>
              <w:pStyle w:val="Textpoznpodarou"/>
              <w:jc w:val="both"/>
              <w:rPr>
                <w:color w:val="000000"/>
                <w:spacing w:val="-2"/>
                <w:sz w:val="18"/>
                <w:szCs w:val="18"/>
              </w:rPr>
            </w:pPr>
          </w:p>
        </w:tc>
      </w:tr>
      <w:tr w:rsidR="005D5A35" w:rsidTr="007351BA">
        <w:tc>
          <w:tcPr>
            <w:tcW w:w="1042" w:type="pct"/>
          </w:tcPr>
          <w:p w:rsidR="005D5A35" w:rsidRDefault="005D5A35" w:rsidP="003046B3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 zpracovatelský průmysl (33%) byl cílem přímých zahraničních investorů do ČR především v 90. letech</w:t>
            </w:r>
          </w:p>
        </w:tc>
        <w:tc>
          <w:tcPr>
            <w:tcW w:w="139" w:type="pct"/>
          </w:tcPr>
          <w:p w:rsidR="005D5A35" w:rsidRDefault="005D5A35" w:rsidP="007351BA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Pr="00945578" w:rsidRDefault="005D5A35" w:rsidP="003046B3">
            <w:pPr>
              <w:pStyle w:val="Textpoznpodarou"/>
              <w:jc w:val="both"/>
              <w:rPr>
                <w:color w:val="000000"/>
              </w:rPr>
            </w:pPr>
            <w:r w:rsidRPr="00945578">
              <w:rPr>
                <w:color w:val="000000"/>
              </w:rPr>
              <w:t xml:space="preserve">Zpracovatelský průmysl, který byl hlavním příjemcem přímých investic do ČR především v 90. letech se podle dat z konce roku 2013 podílel na jejich celkových stavech třetinou (33 % koncem roku 2013), přičemž do výroby automobilů šlo 9 % z celkového stavu přímých zahraničních investic v ČR.  </w:t>
            </w:r>
          </w:p>
          <w:p w:rsidR="005D5A35" w:rsidRPr="00945578" w:rsidRDefault="005D5A35" w:rsidP="00422776">
            <w:pPr>
              <w:pStyle w:val="Textpoznpodarou"/>
              <w:jc w:val="both"/>
              <w:rPr>
                <w:color w:val="000000"/>
                <w:spacing w:val="-2"/>
                <w:sz w:val="16"/>
                <w:szCs w:val="16"/>
              </w:rPr>
            </w:pPr>
          </w:p>
        </w:tc>
      </w:tr>
      <w:tr w:rsidR="005D5A35" w:rsidTr="007351BA">
        <w:tc>
          <w:tcPr>
            <w:tcW w:w="1042" w:type="pct"/>
          </w:tcPr>
          <w:p w:rsidR="005D5A35" w:rsidRDefault="005D5A35" w:rsidP="00BE09E4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Z 2,775 bil. korun přímých investic do ČR pocházelo 87 % ze zemí EU, resp. 81</w:t>
            </w:r>
            <w:r w:rsidR="00BE09E4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 xml:space="preserve">% ze zemí </w:t>
            </w:r>
            <w:proofErr w:type="spellStart"/>
            <w:r>
              <w:rPr>
                <w:color w:val="000000"/>
                <w:sz w:val="16"/>
                <w:szCs w:val="16"/>
              </w:rPr>
              <w:t>eurozóny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– potíže s identifikací podle zemí vlivem existence evropských „daňových rájů“</w:t>
            </w:r>
          </w:p>
        </w:tc>
        <w:tc>
          <w:tcPr>
            <w:tcW w:w="139" w:type="pct"/>
          </w:tcPr>
          <w:p w:rsidR="005D5A35" w:rsidRDefault="005D5A35" w:rsidP="007351BA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5D5A35" w:rsidRPr="00945578" w:rsidRDefault="005D5A35" w:rsidP="00640C2B">
            <w:pPr>
              <w:pStyle w:val="Textpoznpodarou"/>
              <w:jc w:val="both"/>
              <w:rPr>
                <w:color w:val="000000"/>
              </w:rPr>
            </w:pPr>
            <w:r w:rsidRPr="00945578">
              <w:rPr>
                <w:color w:val="000000"/>
              </w:rPr>
              <w:t>Původ přímých investic do ekonomiky ČR leží vzhledem k silné vazbě</w:t>
            </w:r>
            <w:r w:rsidR="00B155A3">
              <w:rPr>
                <w:color w:val="000000"/>
              </w:rPr>
              <w:t xml:space="preserve"> k teritoriu EU právě v zemích U</w:t>
            </w:r>
            <w:r w:rsidRPr="00945578">
              <w:rPr>
                <w:color w:val="000000"/>
              </w:rPr>
              <w:t xml:space="preserve">nie – odtud pochází 87 % všech přímých zahraničních investic do ČR, z toho ze zemí </w:t>
            </w:r>
            <w:proofErr w:type="spellStart"/>
            <w:r w:rsidRPr="00945578">
              <w:rPr>
                <w:color w:val="000000"/>
              </w:rPr>
              <w:t>eurozóny</w:t>
            </w:r>
            <w:proofErr w:type="spellEnd"/>
            <w:r w:rsidRPr="00945578">
              <w:rPr>
                <w:color w:val="000000"/>
              </w:rPr>
              <w:t xml:space="preserve"> 81 </w:t>
            </w:r>
            <w:r w:rsidR="00360712">
              <w:rPr>
                <w:color w:val="000000"/>
              </w:rPr>
              <w:t>%. Nejvíce přímých investic při</w:t>
            </w:r>
            <w:r w:rsidRPr="00945578">
              <w:rPr>
                <w:color w:val="000000"/>
              </w:rPr>
              <w:t>šlo do ČR z</w:t>
            </w:r>
            <w:r w:rsidR="00640C2B">
              <w:rPr>
                <w:color w:val="000000"/>
              </w:rPr>
              <w:t> </w:t>
            </w:r>
            <w:r w:rsidRPr="00945578">
              <w:rPr>
                <w:color w:val="000000"/>
              </w:rPr>
              <w:t>Nizozemí</w:t>
            </w:r>
            <w:r w:rsidR="00640C2B">
              <w:rPr>
                <w:color w:val="000000"/>
              </w:rPr>
              <w:t>. Tato</w:t>
            </w:r>
            <w:r w:rsidRPr="00945578">
              <w:rPr>
                <w:color w:val="000000"/>
              </w:rPr>
              <w:t xml:space="preserve"> země je</w:t>
            </w:r>
            <w:r w:rsidR="00640C2B">
              <w:rPr>
                <w:color w:val="000000"/>
              </w:rPr>
              <w:t xml:space="preserve"> však</w:t>
            </w:r>
            <w:r w:rsidRPr="00945578">
              <w:rPr>
                <w:color w:val="000000"/>
              </w:rPr>
              <w:t xml:space="preserve"> jedním z</w:t>
            </w:r>
            <w:r w:rsidR="00BE09E4">
              <w:rPr>
                <w:color w:val="000000"/>
              </w:rPr>
              <w:t> </w:t>
            </w:r>
            <w:r w:rsidRPr="00945578">
              <w:rPr>
                <w:color w:val="000000"/>
              </w:rPr>
              <w:t>„daňových rájů“ a sídlo tam proto nachází mnoho firem, jejichž kapitál v podobě přímých investic odtud přichází do České republiky (v některých případech jde i</w:t>
            </w:r>
            <w:r w:rsidR="00BE09E4">
              <w:rPr>
                <w:color w:val="000000"/>
              </w:rPr>
              <w:t> </w:t>
            </w:r>
            <w:r w:rsidRPr="00945578">
              <w:rPr>
                <w:color w:val="000000"/>
              </w:rPr>
              <w:t>o</w:t>
            </w:r>
            <w:r w:rsidR="00BE09E4">
              <w:rPr>
                <w:color w:val="000000"/>
              </w:rPr>
              <w:t> </w:t>
            </w:r>
            <w:r w:rsidRPr="00945578">
              <w:rPr>
                <w:color w:val="000000"/>
              </w:rPr>
              <w:t xml:space="preserve">kapitál českého původu).    </w:t>
            </w:r>
          </w:p>
        </w:tc>
      </w:tr>
    </w:tbl>
    <w:p w:rsidR="005D5A35" w:rsidRPr="005C59F6" w:rsidRDefault="005D5A35" w:rsidP="00686D87">
      <w:pPr>
        <w:rPr>
          <w:b/>
          <w:sz w:val="16"/>
          <w:szCs w:val="16"/>
        </w:rPr>
      </w:pPr>
    </w:p>
    <w:tbl>
      <w:tblPr>
        <w:tblW w:w="5021" w:type="pct"/>
        <w:tblLayout w:type="fixed"/>
        <w:tblCellMar>
          <w:left w:w="28" w:type="dxa"/>
          <w:right w:w="28" w:type="dxa"/>
        </w:tblCellMar>
        <w:tblLook w:val="00A0"/>
      </w:tblPr>
      <w:tblGrid>
        <w:gridCol w:w="732"/>
        <w:gridCol w:w="4079"/>
        <w:gridCol w:w="705"/>
        <w:gridCol w:w="4219"/>
      </w:tblGrid>
      <w:tr w:rsidR="005D5A35" w:rsidRPr="00817C98" w:rsidTr="005C59F6">
        <w:tc>
          <w:tcPr>
            <w:tcW w:w="376" w:type="pct"/>
          </w:tcPr>
          <w:p w:rsidR="005D5A35" w:rsidRDefault="005D5A35" w:rsidP="00FE11B6">
            <w:pPr>
              <w:spacing w:line="240" w:lineRule="auto"/>
            </w:pPr>
            <w:r>
              <w:t>Graf č.</w:t>
            </w:r>
            <w:r w:rsidR="00FE11B6">
              <w:t> </w:t>
            </w:r>
            <w:r w:rsidR="00F55CC2">
              <w:t>27</w:t>
            </w:r>
          </w:p>
        </w:tc>
        <w:tc>
          <w:tcPr>
            <w:tcW w:w="2095" w:type="pct"/>
          </w:tcPr>
          <w:p w:rsidR="005D5A35" w:rsidRDefault="005D5A35" w:rsidP="00CB43BC">
            <w:pPr>
              <w:pStyle w:val="Textpoznpodarou"/>
              <w:rPr>
                <w:rFonts w:cs="Arial"/>
                <w:szCs w:val="24"/>
              </w:rPr>
            </w:pPr>
            <w:r>
              <w:rPr>
                <w:rFonts w:cs="Arial"/>
                <w:b/>
                <w:bCs/>
              </w:rPr>
              <w:t xml:space="preserve">Dynamika ročního přílivu přímých zahraničních investic do ČR </w:t>
            </w:r>
            <w:r w:rsidRPr="00DB06E9">
              <w:rPr>
                <w:rFonts w:cs="Arial"/>
                <w:bCs/>
              </w:rPr>
              <w:t>(</w:t>
            </w:r>
            <w:r>
              <w:rPr>
                <w:rFonts w:cs="Arial"/>
                <w:bCs/>
              </w:rPr>
              <w:t>y/y v %</w:t>
            </w:r>
            <w:r w:rsidRPr="00DB06E9">
              <w:rPr>
                <w:rFonts w:cs="Arial"/>
                <w:bCs/>
              </w:rPr>
              <w:t>)</w:t>
            </w:r>
          </w:p>
        </w:tc>
        <w:tc>
          <w:tcPr>
            <w:tcW w:w="362" w:type="pct"/>
          </w:tcPr>
          <w:p w:rsidR="005D5A35" w:rsidRDefault="005D5A35" w:rsidP="00FE11B6">
            <w:pPr>
              <w:spacing w:line="240" w:lineRule="auto"/>
            </w:pPr>
            <w:r>
              <w:t>Graf č.</w:t>
            </w:r>
            <w:r w:rsidR="00FE11B6">
              <w:t> </w:t>
            </w:r>
            <w:r w:rsidR="00F55CC2">
              <w:t>28</w:t>
            </w:r>
          </w:p>
        </w:tc>
        <w:tc>
          <w:tcPr>
            <w:tcW w:w="2167" w:type="pct"/>
          </w:tcPr>
          <w:p w:rsidR="005D5A35" w:rsidRPr="00817C98" w:rsidRDefault="005D5A35" w:rsidP="00CB43BC">
            <w:pPr>
              <w:spacing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Stavy přímých zahraničních investic v sektorech ekonomiky ČR </w:t>
            </w:r>
            <w:r w:rsidRPr="00CB43BC">
              <w:rPr>
                <w:rFonts w:cs="Arial"/>
                <w:bCs/>
              </w:rPr>
              <w:t>(</w:t>
            </w:r>
            <w:r w:rsidRPr="00DB06E9">
              <w:rPr>
                <w:rFonts w:cs="Arial"/>
                <w:bCs/>
              </w:rPr>
              <w:t>v mld. korun)</w:t>
            </w:r>
          </w:p>
        </w:tc>
      </w:tr>
      <w:tr w:rsidR="005D5A35" w:rsidTr="005C59F6">
        <w:tc>
          <w:tcPr>
            <w:tcW w:w="2471" w:type="pct"/>
            <w:gridSpan w:val="2"/>
          </w:tcPr>
          <w:p w:rsidR="005D5A35" w:rsidRDefault="00DE56AE" w:rsidP="007351BA">
            <w:pPr>
              <w:pStyle w:val="Textpoznpodarou"/>
              <w:jc w:val="both"/>
            </w:pPr>
            <w:r>
              <w:rPr>
                <w:noProof/>
              </w:rPr>
              <w:pict>
                <v:shape id="_x0000_i1532" type="#_x0000_t75" style="width:232.5pt;height:19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">
                  <v:imagedata r:id="rId38" o:title=""/>
                  <o:lock v:ext="edit" aspectratio="f"/>
                </v:shape>
              </w:pict>
            </w:r>
          </w:p>
        </w:tc>
        <w:tc>
          <w:tcPr>
            <w:tcW w:w="2529" w:type="pct"/>
            <w:gridSpan w:val="2"/>
          </w:tcPr>
          <w:p w:rsidR="005D5A35" w:rsidRDefault="00DE56AE" w:rsidP="007351BA">
            <w:pPr>
              <w:pStyle w:val="Textpoznpodarou"/>
              <w:jc w:val="both"/>
            </w:pPr>
            <w:r>
              <w:rPr>
                <w:noProof/>
              </w:rPr>
              <w:pict>
                <v:shape id="_x0000_i1533" type="#_x0000_t75" style="width:239.25pt;height:19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">
                  <v:imagedata r:id="rId39" o:title=""/>
                  <o:lock v:ext="edit" aspectratio="f"/>
                </v:shape>
              </w:pict>
            </w:r>
          </w:p>
        </w:tc>
      </w:tr>
    </w:tbl>
    <w:p w:rsidR="005D5A35" w:rsidRPr="00C10982" w:rsidRDefault="00BF1B37" w:rsidP="005C59F6">
      <w:pPr>
        <w:jc w:val="right"/>
        <w:rPr>
          <w:sz w:val="18"/>
          <w:szCs w:val="18"/>
        </w:rPr>
      </w:pPr>
      <w:r w:rsidRPr="00C10982">
        <w:rPr>
          <w:sz w:val="18"/>
          <w:szCs w:val="18"/>
        </w:rPr>
        <w:t>Zdroj</w:t>
      </w:r>
      <w:r w:rsidR="005D5A35" w:rsidRPr="00C10982">
        <w:rPr>
          <w:sz w:val="18"/>
          <w:szCs w:val="18"/>
        </w:rPr>
        <w:t>: ČNB</w:t>
      </w:r>
    </w:p>
    <w:p w:rsidR="005D5A35" w:rsidRPr="006E15CB" w:rsidRDefault="005D5A35" w:rsidP="008B0C8B">
      <w:pPr>
        <w:pStyle w:val="Nadpis3"/>
        <w:numPr>
          <w:ilvl w:val="2"/>
          <w:numId w:val="6"/>
        </w:numPr>
      </w:pPr>
      <w:bookmarkStart w:id="11" w:name="_Toc426017676"/>
      <w:r>
        <w:lastRenderedPageBreak/>
        <w:t>Dividendy a reinvestované zisky</w:t>
      </w:r>
      <w:bookmarkEnd w:id="11"/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22"/>
        <w:gridCol w:w="704"/>
        <w:gridCol w:w="1242"/>
        <w:gridCol w:w="262"/>
        <w:gridCol w:w="2509"/>
        <w:gridCol w:w="722"/>
        <w:gridCol w:w="4316"/>
      </w:tblGrid>
      <w:tr w:rsidR="008F371B" w:rsidTr="008F371B">
        <w:tc>
          <w:tcPr>
            <w:tcW w:w="1007" w:type="pct"/>
            <w:gridSpan w:val="3"/>
          </w:tcPr>
          <w:p w:rsidR="008F371B" w:rsidRPr="00602D1D" w:rsidRDefault="008F371B" w:rsidP="008F371B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Saldo důchodů z vlastnictví je v ČR výrazně ovlivňováno objemem dividend a reinvestovaných zisků z přímých zahraničních investic</w:t>
            </w:r>
          </w:p>
        </w:tc>
        <w:tc>
          <w:tcPr>
            <w:tcW w:w="134" w:type="pct"/>
          </w:tcPr>
          <w:p w:rsidR="008F371B" w:rsidRDefault="008F371B" w:rsidP="00072F46">
            <w:pPr>
              <w:pStyle w:val="Textpoznpodarou"/>
              <w:jc w:val="both"/>
            </w:pPr>
          </w:p>
        </w:tc>
        <w:tc>
          <w:tcPr>
            <w:tcW w:w="3859" w:type="pct"/>
            <w:gridSpan w:val="3"/>
          </w:tcPr>
          <w:p w:rsidR="008F371B" w:rsidRPr="0004631E" w:rsidRDefault="008F371B" w:rsidP="00072F46">
            <w:pPr>
              <w:pStyle w:val="Textpoznpodarou"/>
              <w:jc w:val="both"/>
              <w:rPr>
                <w:color w:val="000000"/>
                <w:spacing w:val="-2"/>
                <w:sz w:val="18"/>
                <w:szCs w:val="18"/>
              </w:rPr>
            </w:pPr>
            <w:r>
              <w:rPr>
                <w:color w:val="000000"/>
                <w:spacing w:val="-2"/>
              </w:rPr>
              <w:t xml:space="preserve">Kromě údajů z platební bilance - kde lze najít data týkající se struktury zahraničních investic vč. zisků reinvestovaných zpět do České republiky anebo spojených s jejich výnosy (dividendy) – produkuje data o dividendách a reinvestovaných ziscích také ČSÚ v národním účetnictví (tabulky rozdělení prvotních důchodů). Tento pohled umožňuje obohatit rozbory např. o členění podle institucionálních sektorů </w:t>
            </w:r>
            <w:r w:rsidRPr="0004631E">
              <w:rPr>
                <w:color w:val="000000"/>
                <w:spacing w:val="-2"/>
                <w:sz w:val="18"/>
                <w:szCs w:val="18"/>
              </w:rPr>
              <w:t>(grafy 31-34).</w:t>
            </w:r>
          </w:p>
          <w:p w:rsidR="008F371B" w:rsidRDefault="008F371B" w:rsidP="00072F46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  <w:p w:rsidR="008F371B" w:rsidRDefault="008F371B" w:rsidP="00072F46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Podle dat z ročních národních účtů (graf 29) se „nůžky“ v důchodech z vlastnictví - jejichž součástí jsou i dividendy a reinvestované zisky z přímých zahraničních investic -  začaly významně „rozevírat“ zhruba od počátku minulé dekády, odkdy začala být výše placených důchodů z vlastnictví čím dál větší oproti výši přijatých důchodů z vlastnictví. Z grafu 29 je také zřejmé, že na trendu participoval především rozdíl mezi vyplácenými a přijímanými dividendami</w:t>
            </w:r>
            <w:r>
              <w:rPr>
                <w:rStyle w:val="Znakapoznpodarou"/>
                <w:color w:val="000000"/>
                <w:spacing w:val="-2"/>
              </w:rPr>
              <w:footnoteReference w:id="6"/>
            </w:r>
            <w:r>
              <w:rPr>
                <w:color w:val="000000"/>
                <w:spacing w:val="-2"/>
              </w:rPr>
              <w:t>.</w:t>
            </w:r>
          </w:p>
        </w:tc>
      </w:tr>
      <w:tr w:rsidR="008F371B" w:rsidTr="008F371B">
        <w:tc>
          <w:tcPr>
            <w:tcW w:w="1007" w:type="pct"/>
            <w:gridSpan w:val="3"/>
          </w:tcPr>
          <w:p w:rsidR="008F371B" w:rsidRDefault="008F371B" w:rsidP="00072F46">
            <w:pPr>
              <w:spacing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34" w:type="pct"/>
          </w:tcPr>
          <w:p w:rsidR="008F371B" w:rsidRDefault="008F371B" w:rsidP="00072F46">
            <w:pPr>
              <w:pStyle w:val="Textpoznpodarou"/>
              <w:jc w:val="both"/>
            </w:pPr>
          </w:p>
        </w:tc>
        <w:tc>
          <w:tcPr>
            <w:tcW w:w="3859" w:type="pct"/>
            <w:gridSpan w:val="3"/>
          </w:tcPr>
          <w:p w:rsidR="008F371B" w:rsidRDefault="008F371B" w:rsidP="00072F46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</w:tc>
      </w:tr>
      <w:tr w:rsidR="008F371B" w:rsidTr="008F371B">
        <w:tc>
          <w:tcPr>
            <w:tcW w:w="1007" w:type="pct"/>
            <w:gridSpan w:val="3"/>
          </w:tcPr>
          <w:p w:rsidR="008F371B" w:rsidRDefault="008F371B" w:rsidP="00072F46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 roce 2014 výrazně stouply reinvestované zisky z přímých zahraničních investic do ČR</w:t>
            </w:r>
          </w:p>
        </w:tc>
        <w:tc>
          <w:tcPr>
            <w:tcW w:w="134" w:type="pct"/>
          </w:tcPr>
          <w:p w:rsidR="008F371B" w:rsidRDefault="008F371B" w:rsidP="00072F46">
            <w:pPr>
              <w:pStyle w:val="Textpoznpodarou"/>
              <w:jc w:val="both"/>
            </w:pPr>
          </w:p>
        </w:tc>
        <w:tc>
          <w:tcPr>
            <w:tcW w:w="3859" w:type="pct"/>
            <w:gridSpan w:val="3"/>
          </w:tcPr>
          <w:p w:rsidR="008F371B" w:rsidRDefault="008F371B" w:rsidP="00072F46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V roce 2014 činil podle ročních národních účtů objem vyplacených dividend 364,5 mld., objem přijatých dividend pak 192,3 mld. korun (graf 30). Při mírném poklesu vyplacených dividend došlo k výraznému růstu reinvestovaných zisků z přímých zahraničních investic, což vede k optimismu ohledně budoucího růstu ekonomiky ČR. </w:t>
            </w:r>
          </w:p>
          <w:p w:rsidR="008F371B" w:rsidRPr="00A63E47" w:rsidRDefault="008F371B" w:rsidP="00072F46">
            <w:pPr>
              <w:pStyle w:val="Textpoznpodarou"/>
              <w:jc w:val="both"/>
              <w:rPr>
                <w:color w:val="000000"/>
                <w:spacing w:val="-2"/>
                <w:sz w:val="16"/>
                <w:szCs w:val="16"/>
              </w:rPr>
            </w:pPr>
          </w:p>
          <w:p w:rsidR="008F371B" w:rsidRDefault="008F371B" w:rsidP="00072F46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Spolu s reinvestovanými zisky participovaly vyplacené dividendy na vyplácených důchodech z vlastnictví v úhrnu za všechny institucionální sektory v ČR v roce 2014 téměř 70 % (nákladové úroky tvořily s 207,4 mld. korun další zhruba čtvrtinu, přičemž objem ostatních složek užití u důchodů z vlastnictví byl v úhrnu velmi nízký).      </w:t>
            </w:r>
          </w:p>
        </w:tc>
      </w:tr>
      <w:tr w:rsidR="008F371B" w:rsidTr="008F371B">
        <w:tc>
          <w:tcPr>
            <w:tcW w:w="1007" w:type="pct"/>
            <w:gridSpan w:val="3"/>
          </w:tcPr>
          <w:p w:rsidR="008F371B" w:rsidRPr="00602D1D" w:rsidRDefault="008F371B" w:rsidP="00072F46">
            <w:pPr>
              <w:spacing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34" w:type="pct"/>
          </w:tcPr>
          <w:p w:rsidR="008F371B" w:rsidRDefault="008F371B" w:rsidP="00072F46">
            <w:pPr>
              <w:pStyle w:val="Textpoznpodarou"/>
              <w:jc w:val="both"/>
            </w:pPr>
          </w:p>
        </w:tc>
        <w:tc>
          <w:tcPr>
            <w:tcW w:w="3859" w:type="pct"/>
            <w:gridSpan w:val="3"/>
          </w:tcPr>
          <w:p w:rsidR="008F371B" w:rsidRDefault="008F371B" w:rsidP="00072F46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</w:tc>
      </w:tr>
      <w:tr w:rsidR="008F371B" w:rsidRPr="00817C98" w:rsidTr="008F371B">
        <w:trPr>
          <w:gridBefore w:val="1"/>
          <w:wBefore w:w="12" w:type="pct"/>
        </w:trPr>
        <w:tc>
          <w:tcPr>
            <w:tcW w:w="360" w:type="pct"/>
          </w:tcPr>
          <w:p w:rsidR="008F371B" w:rsidRDefault="008F371B" w:rsidP="00072F46">
            <w:pPr>
              <w:spacing w:line="240" w:lineRule="auto"/>
            </w:pPr>
            <w:r>
              <w:t>Graf č. 29</w:t>
            </w:r>
          </w:p>
        </w:tc>
        <w:tc>
          <w:tcPr>
            <w:tcW w:w="2052" w:type="pct"/>
            <w:gridSpan w:val="3"/>
          </w:tcPr>
          <w:p w:rsidR="008F371B" w:rsidRDefault="008F371B" w:rsidP="00072F46">
            <w:pPr>
              <w:pStyle w:val="Textpoznpodarou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Rozdělení prvotních důchodů – důchody </w:t>
            </w:r>
          </w:p>
          <w:p w:rsidR="008F371B" w:rsidRDefault="008F371B" w:rsidP="00072F46">
            <w:pPr>
              <w:pStyle w:val="Textpoznpodarou"/>
              <w:rPr>
                <w:rFonts w:cs="Arial"/>
                <w:szCs w:val="24"/>
              </w:rPr>
            </w:pPr>
            <w:r>
              <w:rPr>
                <w:rFonts w:cs="Arial"/>
                <w:b/>
                <w:bCs/>
              </w:rPr>
              <w:t xml:space="preserve">z vlastnictví a dividendy </w:t>
            </w:r>
            <w:r w:rsidRPr="00DB06E9">
              <w:rPr>
                <w:rFonts w:cs="Arial"/>
                <w:bCs/>
              </w:rPr>
              <w:t>(v</w:t>
            </w:r>
            <w:r>
              <w:rPr>
                <w:rFonts w:cs="Arial"/>
                <w:bCs/>
              </w:rPr>
              <w:t> </w:t>
            </w:r>
            <w:r w:rsidRPr="00DB06E9">
              <w:rPr>
                <w:rFonts w:cs="Arial"/>
                <w:bCs/>
              </w:rPr>
              <w:t>m</w:t>
            </w:r>
            <w:r>
              <w:rPr>
                <w:rFonts w:cs="Arial"/>
                <w:bCs/>
              </w:rPr>
              <w:t>i</w:t>
            </w:r>
            <w:r w:rsidRPr="00DB06E9">
              <w:rPr>
                <w:rFonts w:cs="Arial"/>
                <w:bCs/>
              </w:rPr>
              <w:t>l</w:t>
            </w:r>
            <w:r>
              <w:rPr>
                <w:rFonts w:cs="Arial"/>
                <w:bCs/>
              </w:rPr>
              <w:t>.</w:t>
            </w:r>
            <w:r w:rsidRPr="00DB06E9">
              <w:rPr>
                <w:rFonts w:cs="Arial"/>
                <w:bCs/>
              </w:rPr>
              <w:t xml:space="preserve"> korun)</w:t>
            </w:r>
          </w:p>
        </w:tc>
        <w:tc>
          <w:tcPr>
            <w:tcW w:w="369" w:type="pct"/>
          </w:tcPr>
          <w:p w:rsidR="008F371B" w:rsidRDefault="008F371B" w:rsidP="00072F46">
            <w:pPr>
              <w:spacing w:line="240" w:lineRule="auto"/>
            </w:pPr>
            <w:r>
              <w:t>Graf č. 30</w:t>
            </w:r>
          </w:p>
        </w:tc>
        <w:tc>
          <w:tcPr>
            <w:tcW w:w="2207" w:type="pct"/>
          </w:tcPr>
          <w:p w:rsidR="008F371B" w:rsidRPr="00817C98" w:rsidRDefault="008F371B" w:rsidP="00072F46">
            <w:pPr>
              <w:spacing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Užití důchodů z vlastnictví - dividendy a </w:t>
            </w:r>
            <w:proofErr w:type="spellStart"/>
            <w:r>
              <w:rPr>
                <w:rFonts w:cs="Arial"/>
                <w:b/>
                <w:bCs/>
              </w:rPr>
              <w:t>reinvest</w:t>
            </w:r>
            <w:proofErr w:type="spellEnd"/>
            <w:r>
              <w:rPr>
                <w:rFonts w:cs="Arial"/>
                <w:b/>
                <w:bCs/>
              </w:rPr>
              <w:t xml:space="preserve">. zisky z př. </w:t>
            </w:r>
            <w:proofErr w:type="spellStart"/>
            <w:r>
              <w:rPr>
                <w:rFonts w:cs="Arial"/>
                <w:b/>
                <w:bCs/>
              </w:rPr>
              <w:t>zahr</w:t>
            </w:r>
            <w:proofErr w:type="spellEnd"/>
            <w:r>
              <w:rPr>
                <w:rFonts w:cs="Arial"/>
                <w:b/>
                <w:bCs/>
              </w:rPr>
              <w:t xml:space="preserve">. </w:t>
            </w:r>
            <w:proofErr w:type="gramStart"/>
            <w:r>
              <w:rPr>
                <w:rFonts w:cs="Arial"/>
                <w:b/>
                <w:bCs/>
              </w:rPr>
              <w:t>investic</w:t>
            </w:r>
            <w:proofErr w:type="gramEnd"/>
            <w:r>
              <w:rPr>
                <w:rFonts w:cs="Arial"/>
                <w:b/>
                <w:bCs/>
              </w:rPr>
              <w:t xml:space="preserve"> </w:t>
            </w:r>
            <w:r w:rsidRPr="00523C8D">
              <w:rPr>
                <w:rFonts w:cs="Arial"/>
                <w:bCs/>
                <w:sz w:val="18"/>
                <w:szCs w:val="18"/>
              </w:rPr>
              <w:t>(v mil. korun)</w:t>
            </w:r>
          </w:p>
        </w:tc>
      </w:tr>
      <w:tr w:rsidR="008F371B" w:rsidTr="008F371B">
        <w:trPr>
          <w:gridBefore w:val="1"/>
          <w:wBefore w:w="12" w:type="pct"/>
        </w:trPr>
        <w:tc>
          <w:tcPr>
            <w:tcW w:w="2412" w:type="pct"/>
            <w:gridSpan w:val="4"/>
          </w:tcPr>
          <w:p w:rsidR="008F371B" w:rsidRDefault="00DE56AE" w:rsidP="00072F46">
            <w:pPr>
              <w:pStyle w:val="Textpoznpodarou"/>
            </w:pPr>
            <w:r>
              <w:rPr>
                <w:noProof/>
              </w:rPr>
              <w:pict>
                <v:shape id="_x0000_i1534" type="#_x0000_t75" style="width:228.75pt;height:18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">
                  <v:imagedata r:id="rId40" o:title="" cropbottom="-16f"/>
                  <o:lock v:ext="edit" aspectratio="f"/>
                </v:shape>
              </w:pict>
            </w:r>
          </w:p>
        </w:tc>
        <w:tc>
          <w:tcPr>
            <w:tcW w:w="2576" w:type="pct"/>
            <w:gridSpan w:val="2"/>
          </w:tcPr>
          <w:p w:rsidR="008F371B" w:rsidRDefault="00DE56AE" w:rsidP="00072F46">
            <w:pPr>
              <w:pStyle w:val="Textpoznpodarou"/>
            </w:pPr>
            <w:r>
              <w:rPr>
                <w:noProof/>
              </w:rPr>
              <w:pict>
                <v:shape id="_x0000_i1535" type="#_x0000_t75" style="width:249pt;height:18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">
                  <v:imagedata r:id="rId41" o:title="" cropbottom="-33f"/>
                  <o:lock v:ext="edit" aspectratio="f"/>
                </v:shape>
              </w:pict>
            </w:r>
          </w:p>
        </w:tc>
      </w:tr>
    </w:tbl>
    <w:p w:rsidR="008F371B" w:rsidRDefault="008F371B" w:rsidP="008F371B">
      <w:pPr>
        <w:jc w:val="right"/>
        <w:rPr>
          <w:sz w:val="18"/>
          <w:szCs w:val="18"/>
        </w:rPr>
      </w:pPr>
      <w:r>
        <w:rPr>
          <w:sz w:val="18"/>
          <w:szCs w:val="18"/>
        </w:rPr>
        <w:t>Zdroj</w:t>
      </w:r>
      <w:r w:rsidRPr="00E760AD">
        <w:rPr>
          <w:sz w:val="18"/>
          <w:szCs w:val="18"/>
        </w:rPr>
        <w:t xml:space="preserve">: </w:t>
      </w:r>
      <w:r>
        <w:rPr>
          <w:sz w:val="18"/>
          <w:szCs w:val="18"/>
        </w:rPr>
        <w:t>ČSÚ</w:t>
      </w:r>
    </w:p>
    <w:p w:rsidR="008F371B" w:rsidRPr="008F371B" w:rsidRDefault="008F371B" w:rsidP="00686D87">
      <w:pPr>
        <w:rPr>
          <w:b/>
          <w:sz w:val="16"/>
          <w:szCs w:val="16"/>
        </w:rPr>
      </w:pPr>
    </w:p>
    <w:tbl>
      <w:tblPr>
        <w:tblW w:w="5049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638"/>
        <w:gridCol w:w="1398"/>
        <w:gridCol w:w="272"/>
        <w:gridCol w:w="2606"/>
        <w:gridCol w:w="699"/>
        <w:gridCol w:w="4168"/>
        <w:gridCol w:w="8"/>
      </w:tblGrid>
      <w:tr w:rsidR="008F371B" w:rsidTr="008F371B">
        <w:trPr>
          <w:gridAfter w:val="1"/>
          <w:wAfter w:w="4" w:type="pct"/>
        </w:trPr>
        <w:tc>
          <w:tcPr>
            <w:tcW w:w="1040" w:type="pct"/>
            <w:gridSpan w:val="2"/>
          </w:tcPr>
          <w:p w:rsidR="008F371B" w:rsidRDefault="008F371B" w:rsidP="008F371B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Výše </w:t>
            </w:r>
            <w:proofErr w:type="gramStart"/>
            <w:r>
              <w:rPr>
                <w:color w:val="000000"/>
                <w:sz w:val="16"/>
                <w:szCs w:val="16"/>
              </w:rPr>
              <w:t>dividend  zahraničních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vlastníků společností v ČR začala převyšovat  objem reinvestovaných zisků již v roce 2006</w:t>
            </w:r>
          </w:p>
        </w:tc>
        <w:tc>
          <w:tcPr>
            <w:tcW w:w="139" w:type="pct"/>
          </w:tcPr>
          <w:p w:rsidR="008F371B" w:rsidRDefault="008F371B" w:rsidP="00072F46">
            <w:pPr>
              <w:pStyle w:val="Textpoznpodarou"/>
              <w:jc w:val="both"/>
            </w:pPr>
          </w:p>
        </w:tc>
        <w:tc>
          <w:tcPr>
            <w:tcW w:w="3817" w:type="pct"/>
            <w:gridSpan w:val="3"/>
          </w:tcPr>
          <w:p w:rsidR="008F371B" w:rsidRDefault="008F371B" w:rsidP="00072F46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Česká ekonomika se nachází ve třetí fázi cyklu přímých zahraničních investic, kdy více peněz z těchto investic ze země odchází v podobě repatriovaných zisků, než kolik je v ČR ponecháno v podobě zisků reinvestovaných (graf 33). Je to patrné především v sektoru nefinančních podniků, v logice věci v segmentu firem pod zahraniční kontrolou.  Odliv výnosů začal převažovat nad zisky reinvestovanými již od roku 2006. Také v roce 2007, vlivem stále velmi silné ekonomické konjunktury, byl odliv dividend do zahraničí značný při současném meziročním poklesu reinvestovaných zisků. Odliv byl pak umocněn kontextem finanční krize v roce 2008 zasahující i Evropu a motivující přímé investory v ČR v době nejistoty k odčerpání významné části výnosů ze svých investic</w:t>
            </w:r>
            <w:r w:rsidR="00640C2B">
              <w:rPr>
                <w:color w:val="000000"/>
                <w:spacing w:val="-2"/>
              </w:rPr>
              <w:t>.</w:t>
            </w:r>
            <w:r>
              <w:rPr>
                <w:color w:val="000000"/>
                <w:spacing w:val="-2"/>
              </w:rPr>
              <w:t xml:space="preserve"> </w:t>
            </w:r>
          </w:p>
          <w:p w:rsidR="008F371B" w:rsidRPr="00A63E47" w:rsidRDefault="008F371B" w:rsidP="00072F46">
            <w:pPr>
              <w:pStyle w:val="Textpoznpodarou"/>
              <w:jc w:val="both"/>
              <w:rPr>
                <w:color w:val="000000"/>
                <w:spacing w:val="-2"/>
                <w:sz w:val="16"/>
                <w:szCs w:val="16"/>
              </w:rPr>
            </w:pPr>
          </w:p>
          <w:p w:rsidR="008F371B" w:rsidRDefault="008F371B" w:rsidP="00072F46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Ve srovnání s mohutnými odlivy zisků z ČR do zahraničí je opačný tok, tj. dividendy českých subjektů z jejich investic v zahraničí, zatím slabý.</w:t>
            </w:r>
          </w:p>
          <w:p w:rsidR="008F371B" w:rsidRDefault="008F371B" w:rsidP="00072F46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</w:tc>
      </w:tr>
      <w:tr w:rsidR="008F371B" w:rsidRPr="00817C98" w:rsidTr="008F371B">
        <w:tc>
          <w:tcPr>
            <w:tcW w:w="326" w:type="pct"/>
          </w:tcPr>
          <w:p w:rsidR="008F371B" w:rsidRDefault="008F371B" w:rsidP="00072F46">
            <w:pPr>
              <w:spacing w:line="240" w:lineRule="auto"/>
            </w:pPr>
            <w:r>
              <w:lastRenderedPageBreak/>
              <w:t>Graf č. 31</w:t>
            </w:r>
          </w:p>
        </w:tc>
        <w:tc>
          <w:tcPr>
            <w:tcW w:w="2184" w:type="pct"/>
            <w:gridSpan w:val="3"/>
          </w:tcPr>
          <w:p w:rsidR="008F371B" w:rsidRDefault="008F371B" w:rsidP="00072F46">
            <w:pPr>
              <w:pStyle w:val="Textpoznpodarou"/>
              <w:rPr>
                <w:rFonts w:cs="Arial"/>
                <w:szCs w:val="24"/>
              </w:rPr>
            </w:pPr>
            <w:r>
              <w:rPr>
                <w:rFonts w:cs="Arial"/>
                <w:b/>
                <w:bCs/>
              </w:rPr>
              <w:t xml:space="preserve">Nefinanční podniky – placené dividendy a </w:t>
            </w:r>
            <w:proofErr w:type="spellStart"/>
            <w:r>
              <w:rPr>
                <w:rFonts w:cs="Arial"/>
                <w:b/>
                <w:bCs/>
              </w:rPr>
              <w:t>reinv</w:t>
            </w:r>
            <w:proofErr w:type="spellEnd"/>
            <w:r>
              <w:rPr>
                <w:rFonts w:cs="Arial"/>
                <w:b/>
                <w:bCs/>
              </w:rPr>
              <w:t xml:space="preserve">. zisky z př. </w:t>
            </w:r>
            <w:proofErr w:type="spellStart"/>
            <w:r>
              <w:rPr>
                <w:rFonts w:cs="Arial"/>
                <w:b/>
                <w:bCs/>
              </w:rPr>
              <w:t>zahr</w:t>
            </w:r>
            <w:proofErr w:type="spellEnd"/>
            <w:r>
              <w:rPr>
                <w:rFonts w:cs="Arial"/>
                <w:b/>
                <w:bCs/>
              </w:rPr>
              <w:t xml:space="preserve">. </w:t>
            </w:r>
            <w:proofErr w:type="gramStart"/>
            <w:r>
              <w:rPr>
                <w:rFonts w:cs="Arial"/>
                <w:b/>
                <w:bCs/>
              </w:rPr>
              <w:t>investic</w:t>
            </w:r>
            <w:proofErr w:type="gramEnd"/>
            <w:r>
              <w:rPr>
                <w:rFonts w:cs="Arial"/>
                <w:b/>
                <w:bCs/>
              </w:rPr>
              <w:t xml:space="preserve">  </w:t>
            </w:r>
            <w:r w:rsidRPr="00DB06E9">
              <w:rPr>
                <w:rFonts w:cs="Arial"/>
                <w:bCs/>
              </w:rPr>
              <w:t>(v</w:t>
            </w:r>
            <w:r>
              <w:rPr>
                <w:rFonts w:cs="Arial"/>
                <w:bCs/>
              </w:rPr>
              <w:t> </w:t>
            </w:r>
            <w:r w:rsidRPr="00DB06E9">
              <w:rPr>
                <w:rFonts w:cs="Arial"/>
                <w:bCs/>
              </w:rPr>
              <w:t>m</w:t>
            </w:r>
            <w:r>
              <w:rPr>
                <w:rFonts w:cs="Arial"/>
                <w:bCs/>
              </w:rPr>
              <w:t>i</w:t>
            </w:r>
            <w:r w:rsidRPr="00DB06E9">
              <w:rPr>
                <w:rFonts w:cs="Arial"/>
                <w:bCs/>
              </w:rPr>
              <w:t>l</w:t>
            </w:r>
            <w:r>
              <w:rPr>
                <w:rFonts w:cs="Arial"/>
                <w:bCs/>
              </w:rPr>
              <w:t>.</w:t>
            </w:r>
            <w:r w:rsidRPr="00DB06E9">
              <w:rPr>
                <w:rFonts w:cs="Arial"/>
                <w:bCs/>
              </w:rPr>
              <w:t xml:space="preserve"> korun)</w:t>
            </w:r>
          </w:p>
        </w:tc>
        <w:tc>
          <w:tcPr>
            <w:tcW w:w="357" w:type="pct"/>
          </w:tcPr>
          <w:p w:rsidR="008F371B" w:rsidRDefault="008F371B" w:rsidP="00072F46">
            <w:pPr>
              <w:spacing w:line="240" w:lineRule="auto"/>
            </w:pPr>
            <w:r>
              <w:t>Graf č. 32</w:t>
            </w:r>
          </w:p>
        </w:tc>
        <w:tc>
          <w:tcPr>
            <w:tcW w:w="2133" w:type="pct"/>
            <w:gridSpan w:val="2"/>
          </w:tcPr>
          <w:p w:rsidR="008F371B" w:rsidRPr="00817C98" w:rsidRDefault="008F371B" w:rsidP="00072F46">
            <w:pPr>
              <w:spacing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Finanční instituce – placené dividendy a </w:t>
            </w:r>
            <w:proofErr w:type="spellStart"/>
            <w:r>
              <w:rPr>
                <w:rFonts w:cs="Arial"/>
                <w:b/>
                <w:bCs/>
              </w:rPr>
              <w:t>reinv</w:t>
            </w:r>
            <w:proofErr w:type="spellEnd"/>
            <w:r>
              <w:rPr>
                <w:rFonts w:cs="Arial"/>
                <w:b/>
                <w:bCs/>
              </w:rPr>
              <w:t xml:space="preserve">. zisky z př. </w:t>
            </w:r>
            <w:proofErr w:type="spellStart"/>
            <w:r>
              <w:rPr>
                <w:rFonts w:cs="Arial"/>
                <w:b/>
                <w:bCs/>
              </w:rPr>
              <w:t>zahr</w:t>
            </w:r>
            <w:proofErr w:type="spellEnd"/>
            <w:r>
              <w:rPr>
                <w:rFonts w:cs="Arial"/>
                <w:b/>
                <w:bCs/>
              </w:rPr>
              <w:t xml:space="preserve">. </w:t>
            </w:r>
            <w:proofErr w:type="gramStart"/>
            <w:r>
              <w:rPr>
                <w:rFonts w:cs="Arial"/>
                <w:b/>
                <w:bCs/>
              </w:rPr>
              <w:t>investic</w:t>
            </w:r>
            <w:proofErr w:type="gramEnd"/>
            <w:r>
              <w:rPr>
                <w:rFonts w:cs="Arial"/>
                <w:b/>
                <w:bCs/>
              </w:rPr>
              <w:t xml:space="preserve"> </w:t>
            </w:r>
            <w:r w:rsidRPr="00523C8D">
              <w:rPr>
                <w:rFonts w:cs="Arial"/>
                <w:bCs/>
                <w:sz w:val="18"/>
                <w:szCs w:val="18"/>
              </w:rPr>
              <w:t>(v mil. korun)</w:t>
            </w:r>
          </w:p>
        </w:tc>
      </w:tr>
      <w:tr w:rsidR="008F371B" w:rsidTr="008F371B">
        <w:tc>
          <w:tcPr>
            <w:tcW w:w="2510" w:type="pct"/>
            <w:gridSpan w:val="4"/>
          </w:tcPr>
          <w:p w:rsidR="008F371B" w:rsidRDefault="00DE56AE" w:rsidP="00072F46">
            <w:pPr>
              <w:pStyle w:val="Textpoznpodarou"/>
            </w:pPr>
            <w:r>
              <w:rPr>
                <w:noProof/>
              </w:rPr>
              <w:pict>
                <v:shape id="_x0000_i1536" type="#_x0000_t75" style="width:243pt;height:18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">
                  <v:imagedata r:id="rId42" o:title=""/>
                  <o:lock v:ext="edit" aspectratio="f"/>
                </v:shape>
              </w:pict>
            </w:r>
          </w:p>
        </w:tc>
        <w:tc>
          <w:tcPr>
            <w:tcW w:w="2490" w:type="pct"/>
            <w:gridSpan w:val="3"/>
          </w:tcPr>
          <w:p w:rsidR="008F371B" w:rsidRDefault="00DE56AE" w:rsidP="00072F46">
            <w:pPr>
              <w:pStyle w:val="Textpoznpodarou"/>
            </w:pPr>
            <w:r>
              <w:rPr>
                <w:noProof/>
              </w:rPr>
              <w:pict>
                <v:shape id="_x0000_i1537" type="#_x0000_t75" style="width:240.75pt;height:19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">
                  <v:imagedata r:id="rId43" o:title=""/>
                  <o:lock v:ext="edit" aspectratio="f"/>
                </v:shape>
              </w:pict>
            </w:r>
          </w:p>
        </w:tc>
      </w:tr>
    </w:tbl>
    <w:p w:rsidR="008F371B" w:rsidRDefault="008F371B" w:rsidP="008F371B">
      <w:pPr>
        <w:jc w:val="right"/>
        <w:rPr>
          <w:sz w:val="18"/>
          <w:szCs w:val="18"/>
        </w:rPr>
      </w:pPr>
      <w:r>
        <w:rPr>
          <w:sz w:val="18"/>
          <w:szCs w:val="18"/>
        </w:rPr>
        <w:t>Zdroj</w:t>
      </w:r>
      <w:r w:rsidRPr="00E760AD">
        <w:rPr>
          <w:sz w:val="18"/>
          <w:szCs w:val="18"/>
        </w:rPr>
        <w:t xml:space="preserve">: </w:t>
      </w:r>
      <w:r>
        <w:rPr>
          <w:sz w:val="18"/>
          <w:szCs w:val="18"/>
        </w:rPr>
        <w:t>ČSÚ</w:t>
      </w:r>
    </w:p>
    <w:p w:rsidR="008F371B" w:rsidRPr="008F371B" w:rsidRDefault="008F371B" w:rsidP="00686D87">
      <w:pPr>
        <w:rPr>
          <w:b/>
          <w:sz w:val="16"/>
          <w:szCs w:val="16"/>
        </w:rPr>
      </w:pPr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2037"/>
        <w:gridCol w:w="272"/>
        <w:gridCol w:w="7468"/>
      </w:tblGrid>
      <w:tr w:rsidR="008F371B" w:rsidTr="00072F46">
        <w:tc>
          <w:tcPr>
            <w:tcW w:w="1042" w:type="pct"/>
          </w:tcPr>
          <w:p w:rsidR="008F371B" w:rsidRDefault="008F371B" w:rsidP="008F371B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Proporce dividend a reinvestovaných zisků z přímých investic jsou ovlivněny třetí fází cyklu přímých investic, v níž </w:t>
            </w:r>
            <w:proofErr w:type="gramStart"/>
            <w:r>
              <w:rPr>
                <w:color w:val="000000"/>
                <w:sz w:val="16"/>
                <w:szCs w:val="16"/>
              </w:rPr>
              <w:t>se  nachází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česká ekonomika již téměř deset let </w:t>
            </w:r>
          </w:p>
        </w:tc>
        <w:tc>
          <w:tcPr>
            <w:tcW w:w="139" w:type="pct"/>
          </w:tcPr>
          <w:p w:rsidR="008F371B" w:rsidRDefault="008F371B" w:rsidP="00072F46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8F371B" w:rsidRDefault="008F371B" w:rsidP="00072F46">
            <w:pPr>
              <w:pStyle w:val="Textpoznpodarou"/>
              <w:jc w:val="both"/>
              <w:rPr>
                <w:color w:val="000000"/>
                <w:spacing w:val="-2"/>
              </w:rPr>
            </w:pPr>
            <w:r w:rsidRPr="008F3CAE">
              <w:rPr>
                <w:color w:val="000000"/>
              </w:rPr>
              <w:t>Co se týká ročního přílivu přímých zahraničních investic sestávajících z přímých kapitálových vstupů, reinvestova</w:t>
            </w:r>
            <w:r>
              <w:rPr>
                <w:color w:val="000000"/>
              </w:rPr>
              <w:t>ných zisků a ostatních investic</w:t>
            </w:r>
            <w:r>
              <w:rPr>
                <w:rStyle w:val="Znakapoznpodarou"/>
                <w:color w:val="000000"/>
              </w:rPr>
              <w:footnoteReference w:id="7"/>
            </w:r>
            <w:r>
              <w:rPr>
                <w:color w:val="000000"/>
              </w:rPr>
              <w:t xml:space="preserve">, pak </w:t>
            </w:r>
            <w:r w:rsidRPr="008F3CAE">
              <w:rPr>
                <w:color w:val="000000"/>
              </w:rPr>
              <w:t>přibližně od roku 2007 převažují v této struktuře přílivu reinvestované zisky. Za</w:t>
            </w:r>
            <w:r>
              <w:rPr>
                <w:color w:val="000000"/>
              </w:rPr>
              <w:t> </w:t>
            </w:r>
            <w:r w:rsidRPr="008F3CAE">
              <w:rPr>
                <w:color w:val="000000"/>
              </w:rPr>
              <w:t>roky 2010-2014 se na ročních přílivech investic podílely reinvestovan</w:t>
            </w:r>
            <w:r>
              <w:rPr>
                <w:color w:val="000000"/>
              </w:rPr>
              <w:t>é zisky v nadpoloviční proporci</w:t>
            </w:r>
            <w:r w:rsidRPr="008F3CAE">
              <w:rPr>
                <w:color w:val="000000"/>
              </w:rPr>
              <w:t xml:space="preserve">. Poměr směřující k převaze reinvestovaných zisků nad ostatními složkami přílivu přímých investic do ČR </w:t>
            </w:r>
            <w:r w:rsidR="00640C2B">
              <w:rPr>
                <w:color w:val="000000"/>
              </w:rPr>
              <w:t xml:space="preserve">má </w:t>
            </w:r>
            <w:r w:rsidRPr="008F3CAE">
              <w:rPr>
                <w:color w:val="000000"/>
              </w:rPr>
              <w:t>logiku jednak v již</w:t>
            </w:r>
            <w:r>
              <w:rPr>
                <w:color w:val="000000"/>
              </w:rPr>
              <w:t xml:space="preserve"> </w:t>
            </w:r>
            <w:r w:rsidRPr="008F3CAE">
              <w:rPr>
                <w:color w:val="000000"/>
              </w:rPr>
              <w:t xml:space="preserve">zmíněné třetí fázi přímých zahraničních investic, jednak ve skutečnosti, že prodej státních podílů významných firem v ČR, uskutečňovaný největší měrou na přelomu nového tisíciletí, pochopitelně již svůj potenciál pro kapitálové vstupy vyčerpal. </w:t>
            </w:r>
            <w:r>
              <w:rPr>
                <w:color w:val="000000"/>
                <w:spacing w:val="-2"/>
              </w:rPr>
              <w:t xml:space="preserve">  </w:t>
            </w:r>
          </w:p>
        </w:tc>
      </w:tr>
    </w:tbl>
    <w:p w:rsidR="008F371B" w:rsidRPr="008F371B" w:rsidRDefault="008F371B" w:rsidP="00686D87">
      <w:pPr>
        <w:rPr>
          <w:b/>
          <w:sz w:val="16"/>
          <w:szCs w:val="16"/>
        </w:rPr>
      </w:pPr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741"/>
        <w:gridCol w:w="4130"/>
        <w:gridCol w:w="688"/>
        <w:gridCol w:w="4218"/>
      </w:tblGrid>
      <w:tr w:rsidR="008F371B" w:rsidRPr="00817C98" w:rsidTr="00072F46">
        <w:tc>
          <w:tcPr>
            <w:tcW w:w="379" w:type="pct"/>
          </w:tcPr>
          <w:p w:rsidR="008F371B" w:rsidRDefault="008F371B" w:rsidP="00072F46">
            <w:pPr>
              <w:spacing w:line="240" w:lineRule="auto"/>
            </w:pPr>
            <w:r>
              <w:t>Graf č. 33</w:t>
            </w:r>
          </w:p>
        </w:tc>
        <w:tc>
          <w:tcPr>
            <w:tcW w:w="2112" w:type="pct"/>
          </w:tcPr>
          <w:p w:rsidR="008F371B" w:rsidRDefault="008F371B" w:rsidP="008F371B">
            <w:pPr>
              <w:pStyle w:val="Textpoznpodarou"/>
              <w:rPr>
                <w:rFonts w:cs="Arial"/>
                <w:szCs w:val="24"/>
              </w:rPr>
            </w:pPr>
            <w:r>
              <w:rPr>
                <w:rFonts w:cs="Arial"/>
                <w:b/>
                <w:bCs/>
              </w:rPr>
              <w:t xml:space="preserve">Firmy pod zahraniční kontrolou – placené dividendy a reinvestované zisky z přímých zahraničních investic </w:t>
            </w:r>
            <w:r w:rsidRPr="00523C8D">
              <w:rPr>
                <w:rFonts w:cs="Arial"/>
                <w:bCs/>
                <w:sz w:val="18"/>
                <w:szCs w:val="18"/>
              </w:rPr>
              <w:t>(v mil. korun)</w:t>
            </w:r>
          </w:p>
        </w:tc>
        <w:tc>
          <w:tcPr>
            <w:tcW w:w="352" w:type="pct"/>
          </w:tcPr>
          <w:p w:rsidR="008F371B" w:rsidRDefault="008F371B" w:rsidP="00072F46">
            <w:pPr>
              <w:spacing w:line="240" w:lineRule="auto"/>
            </w:pPr>
            <w:r>
              <w:t>Graf č. 34</w:t>
            </w:r>
          </w:p>
        </w:tc>
        <w:tc>
          <w:tcPr>
            <w:tcW w:w="2157" w:type="pct"/>
          </w:tcPr>
          <w:p w:rsidR="008F371B" w:rsidRPr="00817C98" w:rsidRDefault="008F371B" w:rsidP="00072F46">
            <w:pPr>
              <w:spacing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Firmy soukromé národní – placené dividendy a reinvestované zisky z přímých zahraničních investic </w:t>
            </w:r>
            <w:r w:rsidRPr="00523C8D">
              <w:rPr>
                <w:rFonts w:cs="Arial"/>
                <w:bCs/>
                <w:sz w:val="18"/>
                <w:szCs w:val="18"/>
              </w:rPr>
              <w:t>(v mil. korun)</w:t>
            </w:r>
          </w:p>
        </w:tc>
      </w:tr>
      <w:tr w:rsidR="008F371B" w:rsidTr="00072F46">
        <w:tc>
          <w:tcPr>
            <w:tcW w:w="2491" w:type="pct"/>
            <w:gridSpan w:val="2"/>
          </w:tcPr>
          <w:p w:rsidR="008F371B" w:rsidRDefault="00DE56AE" w:rsidP="00072F46">
            <w:pPr>
              <w:pStyle w:val="Textpoznpodarou"/>
            </w:pPr>
            <w:r>
              <w:rPr>
                <w:noProof/>
              </w:rPr>
              <w:pict>
                <v:shape id="_x0000_i1538" type="#_x0000_t75" style="width:240.75pt;height:188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">
                  <v:imagedata r:id="rId44" o:title="" cropbottom="-63f"/>
                  <o:lock v:ext="edit" aspectratio="f"/>
                </v:shape>
              </w:pict>
            </w:r>
          </w:p>
        </w:tc>
        <w:tc>
          <w:tcPr>
            <w:tcW w:w="2509" w:type="pct"/>
            <w:gridSpan w:val="2"/>
          </w:tcPr>
          <w:p w:rsidR="008F371B" w:rsidRDefault="00DE56AE" w:rsidP="00072F46">
            <w:pPr>
              <w:pStyle w:val="Textpoznpodarou"/>
            </w:pPr>
            <w:r>
              <w:rPr>
                <w:noProof/>
              </w:rPr>
              <w:pict>
                <v:shape id="_x0000_i1539" type="#_x0000_t75" style="width:237.75pt;height:18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">
                  <v:imagedata r:id="rId45" o:title=""/>
                  <o:lock v:ext="edit" aspectratio="f"/>
                </v:shape>
              </w:pict>
            </w:r>
          </w:p>
        </w:tc>
      </w:tr>
    </w:tbl>
    <w:p w:rsidR="008F371B" w:rsidRDefault="008F371B" w:rsidP="008F371B">
      <w:pPr>
        <w:jc w:val="right"/>
        <w:rPr>
          <w:sz w:val="18"/>
          <w:szCs w:val="18"/>
        </w:rPr>
      </w:pPr>
      <w:r>
        <w:rPr>
          <w:sz w:val="18"/>
          <w:szCs w:val="18"/>
        </w:rPr>
        <w:t>Zdroj</w:t>
      </w:r>
      <w:r w:rsidRPr="00E760AD">
        <w:rPr>
          <w:sz w:val="18"/>
          <w:szCs w:val="18"/>
        </w:rPr>
        <w:t xml:space="preserve">: </w:t>
      </w:r>
      <w:r>
        <w:rPr>
          <w:sz w:val="18"/>
          <w:szCs w:val="18"/>
        </w:rPr>
        <w:t>ČSÚ</w:t>
      </w:r>
    </w:p>
    <w:p w:rsidR="008F371B" w:rsidRDefault="008F371B" w:rsidP="008F371B">
      <w:pPr>
        <w:jc w:val="right"/>
        <w:rPr>
          <w:sz w:val="18"/>
          <w:szCs w:val="18"/>
        </w:rPr>
      </w:pPr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2037"/>
        <w:gridCol w:w="272"/>
        <w:gridCol w:w="7468"/>
      </w:tblGrid>
      <w:tr w:rsidR="008F371B" w:rsidTr="00072F46">
        <w:tc>
          <w:tcPr>
            <w:tcW w:w="1042" w:type="pct"/>
          </w:tcPr>
          <w:p w:rsidR="008F371B" w:rsidRPr="00602D1D" w:rsidRDefault="008F371B" w:rsidP="00072F46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U firem pod zahraniční kontrolou výrazně vyšší objem dividend proti reinvestovaným ziskům evokuje úvahy o charakteru nových růstových stimulů pro českou ekonomiku</w:t>
            </w:r>
          </w:p>
        </w:tc>
        <w:tc>
          <w:tcPr>
            <w:tcW w:w="139" w:type="pct"/>
          </w:tcPr>
          <w:p w:rsidR="008F371B" w:rsidRDefault="008F371B" w:rsidP="00072F46">
            <w:pPr>
              <w:pStyle w:val="Textpoznpodarou"/>
              <w:jc w:val="both"/>
            </w:pPr>
          </w:p>
        </w:tc>
        <w:tc>
          <w:tcPr>
            <w:tcW w:w="3819" w:type="pct"/>
          </w:tcPr>
          <w:p w:rsidR="008F371B" w:rsidRDefault="008F371B" w:rsidP="00072F46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Převýšení nakumulovaných dividend ČR nad nakumulovanými reinvestovanými zisky činilo v roce 2013 – za nějž jsou k dispozici poslední data z národního účetnictví  - u nefinančních podniků pod zahraniční kontrolou 245 % (nominálně 162,4 mld. proti 47,01 mld. korun). S ohledem na potenciál, který měly přímé zahraniční investice na dynamizaci ekonomického vývoje v ČR, je vzhledem k této skutečnosti a probíhající fázi přímých investic zřejmě zapotřebí uvažovat i o jiných, zejména vnitřně generovaných, růstových stimulech. </w:t>
            </w:r>
          </w:p>
        </w:tc>
      </w:tr>
    </w:tbl>
    <w:p w:rsidR="005D5A35" w:rsidRPr="006E15CB" w:rsidRDefault="005D5A35" w:rsidP="008B0C8B">
      <w:pPr>
        <w:pStyle w:val="Nadpis3"/>
        <w:numPr>
          <w:ilvl w:val="2"/>
          <w:numId w:val="6"/>
        </w:numPr>
      </w:pPr>
      <w:bookmarkStart w:id="12" w:name="_Toc426017677"/>
      <w:r>
        <w:lastRenderedPageBreak/>
        <w:t>Zisky nefinančních podniků a vývoj mezd</w:t>
      </w:r>
      <w:bookmarkEnd w:id="12"/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25"/>
        <w:gridCol w:w="716"/>
        <w:gridCol w:w="1248"/>
        <w:gridCol w:w="260"/>
        <w:gridCol w:w="2522"/>
        <w:gridCol w:w="718"/>
        <w:gridCol w:w="4288"/>
      </w:tblGrid>
      <w:tr w:rsidR="005D5A35" w:rsidTr="008F3CAE">
        <w:tc>
          <w:tcPr>
            <w:tcW w:w="1017" w:type="pct"/>
            <w:gridSpan w:val="3"/>
          </w:tcPr>
          <w:p w:rsidR="005D5A35" w:rsidRDefault="005D5A35" w:rsidP="006945DF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Výrazný růst zisků firem díky oslabené koruně a</w:t>
            </w:r>
            <w:r w:rsidR="006945DF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zlepšené zahraniční poptávce</w:t>
            </w:r>
          </w:p>
        </w:tc>
        <w:tc>
          <w:tcPr>
            <w:tcW w:w="133" w:type="pct"/>
          </w:tcPr>
          <w:p w:rsidR="005D5A35" w:rsidRDefault="005D5A35" w:rsidP="006A456E">
            <w:pPr>
              <w:pStyle w:val="Textpoznpodarou"/>
              <w:jc w:val="both"/>
            </w:pPr>
          </w:p>
        </w:tc>
        <w:tc>
          <w:tcPr>
            <w:tcW w:w="3849" w:type="pct"/>
            <w:gridSpan w:val="3"/>
          </w:tcPr>
          <w:p w:rsidR="005D5A35" w:rsidRDefault="005D5A35" w:rsidP="00DB31DE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Posílená konkurenceschopnost firem po umělém oslabení koruny (v listopadu 2013) spolu s mírným zlepšováním evropské ekonomiky projevujícím se vě</w:t>
            </w:r>
            <w:r w:rsidR="00B06EE6">
              <w:rPr>
                <w:color w:val="000000"/>
                <w:spacing w:val="-2"/>
              </w:rPr>
              <w:t>t</w:t>
            </w:r>
            <w:r>
              <w:rPr>
                <w:color w:val="000000"/>
                <w:spacing w:val="-2"/>
              </w:rPr>
              <w:t xml:space="preserve">ší poptávkou po českém zboží pomohly exportérům významně navýšit korunové tržby a tedy i výnosy. Ty však stouply - (a prakticky ihned - i jejich tuzemským dodavatelům uskutečňujícím své dodávky v eurech. </w:t>
            </w:r>
          </w:p>
          <w:p w:rsidR="005D5A35" w:rsidRDefault="005D5A35" w:rsidP="00DB31DE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     </w:t>
            </w:r>
          </w:p>
        </w:tc>
      </w:tr>
      <w:tr w:rsidR="005D5A35" w:rsidTr="008F3CAE">
        <w:tc>
          <w:tcPr>
            <w:tcW w:w="1017" w:type="pct"/>
            <w:gridSpan w:val="3"/>
          </w:tcPr>
          <w:p w:rsidR="005D5A35" w:rsidRDefault="005D5A35" w:rsidP="0072459F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Hrubý provozní přebytek nefinančních podniků stoupl v roce 2014 meziročně o 131,8 mld. korun, tj. rekordně na</w:t>
            </w:r>
            <w:r w:rsidR="0072459F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1,199 bil. korun…</w:t>
            </w:r>
          </w:p>
        </w:tc>
        <w:tc>
          <w:tcPr>
            <w:tcW w:w="133" w:type="pct"/>
          </w:tcPr>
          <w:p w:rsidR="005D5A35" w:rsidRDefault="005D5A35" w:rsidP="006A456E">
            <w:pPr>
              <w:pStyle w:val="Textpoznpodarou"/>
              <w:jc w:val="both"/>
            </w:pPr>
          </w:p>
        </w:tc>
        <w:tc>
          <w:tcPr>
            <w:tcW w:w="3849" w:type="pct"/>
            <w:gridSpan w:val="3"/>
          </w:tcPr>
          <w:p w:rsidR="005D5A35" w:rsidRDefault="005D5A35" w:rsidP="006A456E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V roce 2014 dosáhly zisky nefinančních podniků v podobě hrubého provozního přebytku 1 198,7 mld. a proti roku 2013 byl</w:t>
            </w:r>
            <w:r w:rsidR="001242CF">
              <w:rPr>
                <w:color w:val="000000"/>
                <w:spacing w:val="-2"/>
              </w:rPr>
              <w:t>y</w:t>
            </w:r>
            <w:r>
              <w:rPr>
                <w:color w:val="000000"/>
                <w:spacing w:val="-2"/>
              </w:rPr>
              <w:t xml:space="preserve"> vyšší o 131,8 mld. korun</w:t>
            </w:r>
            <w:r w:rsidR="009B61D0">
              <w:rPr>
                <w:color w:val="000000"/>
                <w:spacing w:val="-2"/>
              </w:rPr>
              <w:t>.</w:t>
            </w:r>
            <w:r>
              <w:rPr>
                <w:color w:val="000000"/>
                <w:spacing w:val="-2"/>
              </w:rPr>
              <w:t xml:space="preserve"> Takovýto meziroční přírůstek nebyl zaznamenán ani za dlouhé a silné konjunktury české ekonomiky v letech 2004-2008 (tehdy sice meziroční nárůst zisků firem rovněž překonal </w:t>
            </w:r>
            <w:r w:rsidR="009B61D0">
              <w:rPr>
                <w:color w:val="000000"/>
                <w:spacing w:val="-2"/>
              </w:rPr>
              <w:t xml:space="preserve">stomiliardovou hranici, ovšem </w:t>
            </w:r>
            <w:r>
              <w:rPr>
                <w:color w:val="000000"/>
                <w:spacing w:val="-2"/>
              </w:rPr>
              <w:t xml:space="preserve">podstatně méně než v roce 2014). V roce 2006 stoupl hrubý provozní přebytek nefinančních podniků o 110,8 mld. korun, v roce 2007 pak o 104,9 mld. korun. </w:t>
            </w:r>
          </w:p>
          <w:p w:rsidR="005D5A35" w:rsidRDefault="005D5A35" w:rsidP="006A456E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</w:t>
            </w:r>
          </w:p>
        </w:tc>
      </w:tr>
      <w:tr w:rsidR="005D5A35" w:rsidTr="008F3CAE">
        <w:tc>
          <w:tcPr>
            <w:tcW w:w="1017" w:type="pct"/>
            <w:gridSpan w:val="3"/>
          </w:tcPr>
          <w:p w:rsidR="005D5A35" w:rsidRDefault="005D5A35" w:rsidP="0072459F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… a historicky nejvyšší byl i meziroční růst čistého provozního přebytku, tj. o</w:t>
            </w:r>
            <w:r w:rsidR="0072459F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 xml:space="preserve">123 mld. korun </w:t>
            </w:r>
          </w:p>
        </w:tc>
        <w:tc>
          <w:tcPr>
            <w:tcW w:w="133" w:type="pct"/>
          </w:tcPr>
          <w:p w:rsidR="005D5A35" w:rsidRDefault="005D5A35" w:rsidP="006A456E">
            <w:pPr>
              <w:pStyle w:val="Textpoznpodarou"/>
              <w:jc w:val="both"/>
            </w:pPr>
          </w:p>
        </w:tc>
        <w:tc>
          <w:tcPr>
            <w:tcW w:w="3849" w:type="pct"/>
            <w:gridSpan w:val="3"/>
          </w:tcPr>
          <w:p w:rsidR="005D5A35" w:rsidRDefault="005D5A35" w:rsidP="006A456E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Také čistý provozní přebytek nefinančních podniků vzrostl v roce 2014 nejvíce v časové řadě od roku 1993, když proti roku 2013 posílil o 123 mld. na 622,7 mld. korun (v letech 2006 a 2007 vzrostl o 87,2 mld., resp. 67,4 mld. korun). Naopak v krizovém roce 2009 byl jeho propad hlubší (-104,8 mld.), než meziroční pokles hrubého provozního přebytku (-84,4 mld. korun). </w:t>
            </w:r>
          </w:p>
          <w:p w:rsidR="005D5A35" w:rsidRPr="008F3CAE" w:rsidRDefault="005D5A35" w:rsidP="006A456E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  <w:p w:rsidR="005D5A35" w:rsidRDefault="005D5A35" w:rsidP="006A456E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Proti roku 2013 se čistý provozní přebytek nefinančních podniků zvýšil o čtvrtinu (+24,6 %), jejich hrubý provozní přebytek o 12,4 %.  </w:t>
            </w:r>
          </w:p>
          <w:p w:rsidR="005D5A35" w:rsidRDefault="005D5A35" w:rsidP="006A456E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     </w:t>
            </w:r>
          </w:p>
        </w:tc>
      </w:tr>
      <w:tr w:rsidR="005D5A35" w:rsidTr="008F3CAE">
        <w:tc>
          <w:tcPr>
            <w:tcW w:w="1017" w:type="pct"/>
            <w:gridSpan w:val="3"/>
          </w:tcPr>
          <w:p w:rsidR="005D5A35" w:rsidRPr="0075245C" w:rsidRDefault="005D5A35" w:rsidP="006A456E">
            <w:pPr>
              <w:spacing w:line="240" w:lineRule="auto"/>
              <w:rPr>
                <w:color w:val="000000"/>
                <w:sz w:val="16"/>
                <w:szCs w:val="16"/>
              </w:rPr>
            </w:pPr>
            <w:r w:rsidRPr="0075245C">
              <w:rPr>
                <w:color w:val="000000"/>
                <w:sz w:val="16"/>
                <w:szCs w:val="16"/>
              </w:rPr>
              <w:t>Z období 2010-2013 však byly nefinanční podniky v průměru ka</w:t>
            </w:r>
            <w:r w:rsidR="00420A35" w:rsidRPr="0075245C">
              <w:rPr>
                <w:color w:val="000000"/>
                <w:sz w:val="16"/>
                <w:szCs w:val="16"/>
              </w:rPr>
              <w:t>ždý rok ztrátové podle</w:t>
            </w:r>
            <w:r w:rsidR="005A1CEC" w:rsidRPr="0075245C">
              <w:rPr>
                <w:color w:val="000000"/>
                <w:sz w:val="16"/>
                <w:szCs w:val="16"/>
              </w:rPr>
              <w:t xml:space="preserve"> </w:t>
            </w:r>
            <w:r w:rsidR="0075245C" w:rsidRPr="0075245C">
              <w:rPr>
                <w:color w:val="000000"/>
                <w:sz w:val="16"/>
                <w:szCs w:val="16"/>
              </w:rPr>
              <w:t>přírůstku</w:t>
            </w:r>
            <w:r w:rsidR="00420A35" w:rsidRPr="0075245C">
              <w:rPr>
                <w:color w:val="000000"/>
                <w:sz w:val="16"/>
                <w:szCs w:val="16"/>
              </w:rPr>
              <w:t xml:space="preserve"> čistého provozního přebytku</w:t>
            </w:r>
            <w:r w:rsidR="005A1CEC" w:rsidRPr="0075245C">
              <w:rPr>
                <w:color w:val="000000"/>
                <w:sz w:val="16"/>
                <w:szCs w:val="16"/>
              </w:rPr>
              <w:t>. J</w:t>
            </w:r>
            <w:r w:rsidRPr="0075245C">
              <w:rPr>
                <w:color w:val="000000"/>
                <w:sz w:val="16"/>
                <w:szCs w:val="16"/>
              </w:rPr>
              <w:t>eho růst v hrubém vyjádření byl minimální</w:t>
            </w:r>
          </w:p>
        </w:tc>
        <w:tc>
          <w:tcPr>
            <w:tcW w:w="133" w:type="pct"/>
          </w:tcPr>
          <w:p w:rsidR="005D5A35" w:rsidRDefault="005D5A35" w:rsidP="006A456E">
            <w:pPr>
              <w:pStyle w:val="Textpoznpodarou"/>
              <w:jc w:val="both"/>
            </w:pPr>
          </w:p>
        </w:tc>
        <w:tc>
          <w:tcPr>
            <w:tcW w:w="3849" w:type="pct"/>
            <w:gridSpan w:val="3"/>
          </w:tcPr>
          <w:p w:rsidR="005D5A35" w:rsidRDefault="005D5A35" w:rsidP="008D2811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Mimořádný růst zisků firemního sektoru v roce 2014 vyniká zejména při srovnání s předchozími lety oslabenými recesí (2012 a 2013). Nefinanční podniky byly totiž v průměru za čtyřleté období 2010-2013</w:t>
            </w:r>
            <w:r w:rsidR="0072459F">
              <w:rPr>
                <w:color w:val="000000"/>
                <w:spacing w:val="-2"/>
              </w:rPr>
              <w:t>,</w:t>
            </w:r>
            <w:r>
              <w:rPr>
                <w:color w:val="000000"/>
                <w:spacing w:val="-2"/>
              </w:rPr>
              <w:t xml:space="preserve"> co se přírůstků zisků týká</w:t>
            </w:r>
            <w:r w:rsidR="0072459F">
              <w:rPr>
                <w:color w:val="000000"/>
                <w:spacing w:val="-2"/>
              </w:rPr>
              <w:t>,</w:t>
            </w:r>
            <w:r>
              <w:rPr>
                <w:color w:val="000000"/>
                <w:spacing w:val="-2"/>
              </w:rPr>
              <w:t xml:space="preserve"> ztrátové (čistý provozní přebytek zaznamenával každoroční úbytky v ročním průměru -8,1 mld. korun). Hrubý provozní přebytek nefinančních podniků pak sice vykazoval v průměru přírůstky, ovšem nízké (5,9 mld. korun).</w:t>
            </w:r>
          </w:p>
          <w:p w:rsidR="005D5A35" w:rsidRDefault="005D5A35" w:rsidP="008D2811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  <w:p w:rsidR="008F3CAE" w:rsidRDefault="008F3CAE" w:rsidP="008D2811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</w:tc>
      </w:tr>
      <w:tr w:rsidR="005D5A35" w:rsidRPr="00817C98" w:rsidTr="008F3CAE">
        <w:trPr>
          <w:gridBefore w:val="1"/>
          <w:wBefore w:w="13" w:type="pct"/>
        </w:trPr>
        <w:tc>
          <w:tcPr>
            <w:tcW w:w="366" w:type="pct"/>
          </w:tcPr>
          <w:p w:rsidR="005D5A35" w:rsidRDefault="005D5A35" w:rsidP="003E59FD">
            <w:pPr>
              <w:spacing w:line="240" w:lineRule="auto"/>
            </w:pPr>
            <w:r>
              <w:t>Graf č.</w:t>
            </w:r>
            <w:r w:rsidR="003E59FD">
              <w:t> </w:t>
            </w:r>
            <w:r w:rsidR="008F371B">
              <w:t>35</w:t>
            </w:r>
          </w:p>
        </w:tc>
        <w:tc>
          <w:tcPr>
            <w:tcW w:w="2061" w:type="pct"/>
            <w:gridSpan w:val="3"/>
          </w:tcPr>
          <w:p w:rsidR="005D5A35" w:rsidRPr="008F3CAE" w:rsidRDefault="005D5A35" w:rsidP="001E33B9">
            <w:pPr>
              <w:pStyle w:val="Textpoznpodarou"/>
              <w:rPr>
                <w:rFonts w:cs="Arial"/>
                <w:spacing w:val="-6"/>
                <w:szCs w:val="24"/>
              </w:rPr>
            </w:pPr>
            <w:r w:rsidRPr="008F3CAE">
              <w:rPr>
                <w:rFonts w:cs="Arial"/>
                <w:b/>
                <w:bCs/>
                <w:spacing w:val="-6"/>
              </w:rPr>
              <w:t xml:space="preserve">Přírůstky/úbytky hrubého a čistého </w:t>
            </w:r>
            <w:r w:rsidR="008F3CAE">
              <w:rPr>
                <w:rFonts w:cs="Arial"/>
                <w:b/>
                <w:bCs/>
                <w:spacing w:val="-6"/>
              </w:rPr>
              <w:t xml:space="preserve">provozního přebytku </w:t>
            </w:r>
            <w:proofErr w:type="spellStart"/>
            <w:r w:rsidR="008F3CAE">
              <w:rPr>
                <w:rFonts w:cs="Arial"/>
                <w:b/>
                <w:bCs/>
                <w:spacing w:val="-6"/>
              </w:rPr>
              <w:t>nef</w:t>
            </w:r>
            <w:proofErr w:type="spellEnd"/>
            <w:r w:rsidR="008F3CAE">
              <w:rPr>
                <w:rFonts w:cs="Arial"/>
                <w:b/>
                <w:bCs/>
                <w:spacing w:val="-6"/>
              </w:rPr>
              <w:t>. pod.</w:t>
            </w:r>
            <w:r w:rsidRPr="008F3CAE">
              <w:rPr>
                <w:rFonts w:cs="Arial"/>
                <w:b/>
                <w:bCs/>
                <w:spacing w:val="-6"/>
              </w:rPr>
              <w:t xml:space="preserve"> </w:t>
            </w:r>
            <w:r w:rsidRPr="008F3CAE">
              <w:rPr>
                <w:rFonts w:cs="Arial"/>
                <w:bCs/>
                <w:spacing w:val="-6"/>
              </w:rPr>
              <w:t>(v mld. korun)</w:t>
            </w:r>
          </w:p>
        </w:tc>
        <w:tc>
          <w:tcPr>
            <w:tcW w:w="367" w:type="pct"/>
          </w:tcPr>
          <w:p w:rsidR="005D5A35" w:rsidRDefault="005D5A35" w:rsidP="003E59FD">
            <w:pPr>
              <w:spacing w:line="240" w:lineRule="auto"/>
            </w:pPr>
            <w:r>
              <w:t>Graf č.</w:t>
            </w:r>
            <w:r w:rsidR="003E59FD">
              <w:t> </w:t>
            </w:r>
            <w:r w:rsidR="008F371B">
              <w:t>36</w:t>
            </w:r>
          </w:p>
        </w:tc>
        <w:tc>
          <w:tcPr>
            <w:tcW w:w="2193" w:type="pct"/>
          </w:tcPr>
          <w:p w:rsidR="005D5A35" w:rsidRPr="00817C98" w:rsidRDefault="005D5A35" w:rsidP="008C2E5B">
            <w:pPr>
              <w:spacing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Změny hrubého provozního přebytku firem a vyplacených mezd </w:t>
            </w:r>
            <w:r w:rsidRPr="00DB06E9">
              <w:rPr>
                <w:rFonts w:cs="Arial"/>
                <w:bCs/>
              </w:rPr>
              <w:t xml:space="preserve">(v </w:t>
            </w:r>
            <w:r>
              <w:rPr>
                <w:rFonts w:cs="Arial"/>
                <w:bCs/>
              </w:rPr>
              <w:t>% y/y</w:t>
            </w:r>
            <w:r w:rsidRPr="00DB06E9">
              <w:rPr>
                <w:rFonts w:cs="Arial"/>
                <w:bCs/>
              </w:rPr>
              <w:t>)</w:t>
            </w:r>
          </w:p>
        </w:tc>
      </w:tr>
      <w:tr w:rsidR="005D5A35" w:rsidTr="008F3CAE">
        <w:trPr>
          <w:gridBefore w:val="1"/>
          <w:wBefore w:w="13" w:type="pct"/>
        </w:trPr>
        <w:tc>
          <w:tcPr>
            <w:tcW w:w="2427" w:type="pct"/>
            <w:gridSpan w:val="4"/>
          </w:tcPr>
          <w:p w:rsidR="005D5A35" w:rsidRDefault="00DE56AE" w:rsidP="007351BA">
            <w:pPr>
              <w:pStyle w:val="Textpoznpodarou"/>
              <w:jc w:val="both"/>
            </w:pPr>
            <w:r>
              <w:rPr>
                <w:noProof/>
              </w:rPr>
              <w:pict>
                <v:shape id="_x0000_i1540" type="#_x0000_t75" style="width:232.5pt;height:18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">
                  <v:imagedata r:id="rId46" o:title="" cropbottom="-68f"/>
                  <o:lock v:ext="edit" aspectratio="f"/>
                </v:shape>
              </w:pict>
            </w:r>
          </w:p>
        </w:tc>
        <w:tc>
          <w:tcPr>
            <w:tcW w:w="2560" w:type="pct"/>
            <w:gridSpan w:val="2"/>
          </w:tcPr>
          <w:p w:rsidR="005D5A35" w:rsidRDefault="00DE56AE" w:rsidP="008F3CAE">
            <w:pPr>
              <w:pStyle w:val="Textpoznpodarou"/>
              <w:jc w:val="right"/>
            </w:pPr>
            <w:r>
              <w:rPr>
                <w:noProof/>
              </w:rPr>
              <w:pict>
                <v:shape id="_x0000_i1541" type="#_x0000_t75" style="width:243pt;height:18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">
                  <v:imagedata r:id="rId47" o:title=""/>
                  <o:lock v:ext="edit" aspectratio="f"/>
                </v:shape>
              </w:pict>
            </w:r>
          </w:p>
        </w:tc>
      </w:tr>
    </w:tbl>
    <w:p w:rsidR="005D5A35" w:rsidRDefault="000F0029" w:rsidP="008F3CAE">
      <w:pPr>
        <w:spacing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>Zdroj</w:t>
      </w:r>
      <w:r w:rsidR="00871782">
        <w:rPr>
          <w:sz w:val="18"/>
          <w:szCs w:val="18"/>
        </w:rPr>
        <w:t>: ČSÚ, vlastní vý</w:t>
      </w:r>
      <w:r w:rsidR="005D5A35" w:rsidRPr="006A456E">
        <w:rPr>
          <w:sz w:val="18"/>
          <w:szCs w:val="18"/>
        </w:rPr>
        <w:t>počty</w:t>
      </w:r>
    </w:p>
    <w:p w:rsidR="005D5A35" w:rsidRPr="008F3CAE" w:rsidRDefault="005D5A35" w:rsidP="006A456E">
      <w:pPr>
        <w:jc w:val="both"/>
        <w:rPr>
          <w:sz w:val="16"/>
          <w:szCs w:val="16"/>
        </w:rPr>
      </w:pPr>
    </w:p>
    <w:tbl>
      <w:tblPr>
        <w:tblW w:w="5043" w:type="pct"/>
        <w:tblInd w:w="-42" w:type="dxa"/>
        <w:tblCellMar>
          <w:left w:w="28" w:type="dxa"/>
          <w:right w:w="28" w:type="dxa"/>
        </w:tblCellMar>
        <w:tblLook w:val="00A0"/>
      </w:tblPr>
      <w:tblGrid>
        <w:gridCol w:w="41"/>
        <w:gridCol w:w="731"/>
        <w:gridCol w:w="1265"/>
        <w:gridCol w:w="272"/>
        <w:gridCol w:w="2542"/>
        <w:gridCol w:w="706"/>
        <w:gridCol w:w="4220"/>
      </w:tblGrid>
      <w:tr w:rsidR="005D5A35" w:rsidRPr="00394659" w:rsidTr="00394659">
        <w:tc>
          <w:tcPr>
            <w:tcW w:w="1042" w:type="pct"/>
            <w:gridSpan w:val="3"/>
          </w:tcPr>
          <w:p w:rsidR="005D5A35" w:rsidRPr="00394659" w:rsidRDefault="005D5A35" w:rsidP="00032879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Výrazná diskrepance mezi mimořádným růstem zisků nefinančních podniků v roce 2014 (+12,4 % y/y) a</w:t>
            </w:r>
            <w:r w:rsidR="00032879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 xml:space="preserve">přírůstkem jimi vyplácených mezd (+2,2%) – v průměrech předchozích období ale byly trendy opačné </w:t>
            </w:r>
          </w:p>
        </w:tc>
        <w:tc>
          <w:tcPr>
            <w:tcW w:w="139" w:type="pct"/>
          </w:tcPr>
          <w:p w:rsidR="005D5A35" w:rsidRPr="00394659" w:rsidRDefault="005D5A35" w:rsidP="006A456E">
            <w:pPr>
              <w:pStyle w:val="Textpoznpodarou"/>
              <w:jc w:val="both"/>
            </w:pPr>
          </w:p>
        </w:tc>
        <w:tc>
          <w:tcPr>
            <w:tcW w:w="3819" w:type="pct"/>
            <w:gridSpan w:val="3"/>
          </w:tcPr>
          <w:p w:rsidR="005D5A35" w:rsidRPr="008F3CAE" w:rsidRDefault="00354366" w:rsidP="006A456E">
            <w:pPr>
              <w:pStyle w:val="Textpoznpodarou"/>
              <w:jc w:val="both"/>
              <w:rPr>
                <w:color w:val="000000"/>
                <w:spacing w:val="-4"/>
              </w:rPr>
            </w:pPr>
            <w:r w:rsidRPr="008F3CAE">
              <w:rPr>
                <w:color w:val="000000"/>
                <w:spacing w:val="-4"/>
              </w:rPr>
              <w:t>Při</w:t>
            </w:r>
            <w:r w:rsidR="005D5A35" w:rsidRPr="008F3CAE">
              <w:rPr>
                <w:color w:val="000000"/>
                <w:spacing w:val="-4"/>
              </w:rPr>
              <w:t xml:space="preserve"> takto výrazn</w:t>
            </w:r>
            <w:r w:rsidRPr="008F3CAE">
              <w:rPr>
                <w:color w:val="000000"/>
                <w:spacing w:val="-4"/>
              </w:rPr>
              <w:t>ých</w:t>
            </w:r>
            <w:r w:rsidR="005D5A35" w:rsidRPr="008F3CAE">
              <w:rPr>
                <w:color w:val="000000"/>
                <w:spacing w:val="-4"/>
              </w:rPr>
              <w:t xml:space="preserve"> růst</w:t>
            </w:r>
            <w:r w:rsidRPr="008F3CAE">
              <w:rPr>
                <w:color w:val="000000"/>
                <w:spacing w:val="-4"/>
              </w:rPr>
              <w:t>ech</w:t>
            </w:r>
            <w:r w:rsidR="005D5A35" w:rsidRPr="008F3CAE">
              <w:rPr>
                <w:color w:val="000000"/>
                <w:spacing w:val="-4"/>
              </w:rPr>
              <w:t xml:space="preserve"> zisků v roce 2014 (+12,4 % podle hrubého provozního přebytku) byl růst mezd vyplácených nefinančními podniky ve srovnání s tím skromn</w:t>
            </w:r>
            <w:r w:rsidRPr="008F3CAE">
              <w:rPr>
                <w:color w:val="000000"/>
                <w:spacing w:val="-4"/>
              </w:rPr>
              <w:t>ý</w:t>
            </w:r>
            <w:r w:rsidR="005D5A35" w:rsidRPr="008F3CAE">
              <w:rPr>
                <w:color w:val="000000"/>
                <w:spacing w:val="-4"/>
              </w:rPr>
              <w:t xml:space="preserve"> (+2,2 %). I když se zdá, že nedošlo k naplnění jednoho z cílů architektury měnové intervence ČNB - která počítala i s tím, že generované vyšší zisky posílí růst mezd a právě </w:t>
            </w:r>
            <w:r w:rsidR="00640C2B">
              <w:rPr>
                <w:color w:val="000000"/>
                <w:spacing w:val="-4"/>
              </w:rPr>
              <w:t xml:space="preserve">ten </w:t>
            </w:r>
            <w:r w:rsidR="005D5A35" w:rsidRPr="008F3CAE">
              <w:rPr>
                <w:color w:val="000000"/>
                <w:spacing w:val="-4"/>
              </w:rPr>
              <w:t xml:space="preserve">pomůže zvýšit domácí poptávku ze strany domácností -, je nutné zohlednit i vývoj předchozích let. Zatímco totiž recese (2012 a 2013) způsobila, že hrubý provozní přebytek nefinančních podniků ve čtyřletém období ohraničeném </w:t>
            </w:r>
            <w:proofErr w:type="spellStart"/>
            <w:r w:rsidR="005D5A35" w:rsidRPr="008F3CAE">
              <w:rPr>
                <w:color w:val="000000"/>
                <w:spacing w:val="-4"/>
              </w:rPr>
              <w:t>pokrizovým</w:t>
            </w:r>
            <w:proofErr w:type="spellEnd"/>
            <w:r w:rsidR="005D5A35" w:rsidRPr="008F3CAE">
              <w:rPr>
                <w:color w:val="000000"/>
                <w:spacing w:val="-4"/>
              </w:rPr>
              <w:t xml:space="preserve"> rokem 2010 a druhým rokem ekonomického poklesu (2013) rostl v průměru ročně jen o 0,6 %, růst mezd byl více než trojnásobný (+2 % v průměru ročně). Podobně tomu bylo i za </w:t>
            </w:r>
            <w:r w:rsidR="005D5A35" w:rsidRPr="008F3CAE">
              <w:rPr>
                <w:color w:val="000000"/>
                <w:spacing w:val="-4"/>
              </w:rPr>
              <w:lastRenderedPageBreak/>
              <w:t xml:space="preserve">šestileté období 2008-2009 – zisky v podobě hrubého provozního přebytku díky propadu v roce 2009 klesaly v průměru ročně o 0,6 %, zatímco mzdy o 2,2 % rostly.    </w:t>
            </w:r>
          </w:p>
          <w:p w:rsidR="005D5A35" w:rsidRPr="008F3CAE" w:rsidRDefault="005D5A35" w:rsidP="006A456E">
            <w:pPr>
              <w:pStyle w:val="Textpoznpodarou"/>
              <w:jc w:val="both"/>
              <w:rPr>
                <w:color w:val="000000"/>
                <w:spacing w:val="-2"/>
                <w:sz w:val="14"/>
                <w:szCs w:val="14"/>
              </w:rPr>
            </w:pPr>
            <w:r w:rsidRPr="00394659">
              <w:rPr>
                <w:color w:val="000000"/>
                <w:spacing w:val="-2"/>
              </w:rPr>
              <w:t xml:space="preserve">      </w:t>
            </w:r>
          </w:p>
        </w:tc>
      </w:tr>
      <w:tr w:rsidR="005D5A35" w:rsidRPr="00394659" w:rsidTr="00394659">
        <w:tc>
          <w:tcPr>
            <w:tcW w:w="1042" w:type="pct"/>
            <w:gridSpan w:val="3"/>
          </w:tcPr>
          <w:p w:rsidR="005D5A35" w:rsidRPr="00394659" w:rsidRDefault="000264DE" w:rsidP="000264DE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Extrémní růst</w:t>
            </w:r>
            <w:r w:rsidR="00003A9E">
              <w:rPr>
                <w:color w:val="000000"/>
                <w:sz w:val="16"/>
                <w:szCs w:val="16"/>
              </w:rPr>
              <w:t xml:space="preserve"> zisků v roce 2014 </w:t>
            </w:r>
            <w:r w:rsidR="00354366">
              <w:rPr>
                <w:color w:val="000000"/>
                <w:sz w:val="16"/>
                <w:szCs w:val="16"/>
              </w:rPr>
              <w:t>byl d</w:t>
            </w:r>
            <w:r>
              <w:rPr>
                <w:color w:val="000000"/>
                <w:sz w:val="16"/>
                <w:szCs w:val="16"/>
              </w:rPr>
              <w:t>án</w:t>
            </w:r>
            <w:r w:rsidR="00354366">
              <w:rPr>
                <w:color w:val="000000"/>
                <w:sz w:val="16"/>
                <w:szCs w:val="16"/>
              </w:rPr>
              <w:t xml:space="preserve"> souhrnem mimořádných vlivů, především </w:t>
            </w:r>
            <w:r>
              <w:rPr>
                <w:color w:val="000000"/>
                <w:sz w:val="16"/>
                <w:szCs w:val="16"/>
              </w:rPr>
              <w:t xml:space="preserve">umělým </w:t>
            </w:r>
            <w:r w:rsidR="00354366">
              <w:rPr>
                <w:color w:val="000000"/>
                <w:sz w:val="16"/>
                <w:szCs w:val="16"/>
              </w:rPr>
              <w:t xml:space="preserve">oslabením </w:t>
            </w:r>
            <w:proofErr w:type="gramStart"/>
            <w:r w:rsidR="00354366">
              <w:rPr>
                <w:color w:val="000000"/>
                <w:sz w:val="16"/>
                <w:szCs w:val="16"/>
              </w:rPr>
              <w:t>koruny  a pádem</w:t>
            </w:r>
            <w:proofErr w:type="gramEnd"/>
            <w:r w:rsidR="00354366">
              <w:rPr>
                <w:color w:val="000000"/>
                <w:sz w:val="16"/>
                <w:szCs w:val="16"/>
              </w:rPr>
              <w:t xml:space="preserve"> cen energií na</w:t>
            </w:r>
            <w:r w:rsidR="00EF623C">
              <w:rPr>
                <w:color w:val="000000"/>
                <w:sz w:val="16"/>
                <w:szCs w:val="16"/>
              </w:rPr>
              <w:t> </w:t>
            </w:r>
            <w:r w:rsidR="00354366">
              <w:rPr>
                <w:color w:val="000000"/>
                <w:sz w:val="16"/>
                <w:szCs w:val="16"/>
              </w:rPr>
              <w:t>světových trzích</w:t>
            </w:r>
          </w:p>
        </w:tc>
        <w:tc>
          <w:tcPr>
            <w:tcW w:w="139" w:type="pct"/>
          </w:tcPr>
          <w:p w:rsidR="005D5A35" w:rsidRPr="00394659" w:rsidRDefault="005D5A35" w:rsidP="006A456E">
            <w:pPr>
              <w:pStyle w:val="Textpoznpodarou"/>
              <w:jc w:val="both"/>
            </w:pPr>
          </w:p>
        </w:tc>
        <w:tc>
          <w:tcPr>
            <w:tcW w:w="3819" w:type="pct"/>
            <w:gridSpan w:val="3"/>
          </w:tcPr>
          <w:p w:rsidR="005D5A35" w:rsidRDefault="005D5A35" w:rsidP="00BA4B2A">
            <w:pPr>
              <w:pStyle w:val="Textpoznpodarou"/>
              <w:jc w:val="both"/>
              <w:rPr>
                <w:color w:val="000000"/>
                <w:spacing w:val="-2"/>
              </w:rPr>
            </w:pPr>
            <w:r w:rsidRPr="00394659">
              <w:rPr>
                <w:color w:val="000000"/>
                <w:spacing w:val="-2"/>
              </w:rPr>
              <w:t>Obdobně, sledujeme-li vývoj čistého provozního přebytku a vyplácených mezd v nefinančních podnicích, je v průměrných ročních tempech jak za roky 2010-</w:t>
            </w:r>
            <w:r w:rsidR="00FB3C00">
              <w:rPr>
                <w:color w:val="000000"/>
                <w:spacing w:val="-2"/>
              </w:rPr>
              <w:t>2013, tak i období postihující</w:t>
            </w:r>
            <w:r w:rsidRPr="00394659">
              <w:rPr>
                <w:color w:val="000000"/>
                <w:spacing w:val="-2"/>
              </w:rPr>
              <w:t xml:space="preserve"> poslední rok konjunktury (2008) a rok k</w:t>
            </w:r>
            <w:r w:rsidR="00354366">
              <w:rPr>
                <w:color w:val="000000"/>
                <w:spacing w:val="-2"/>
              </w:rPr>
              <w:t>rize (2009), tedy za</w:t>
            </w:r>
            <w:r w:rsidR="00FB3C00">
              <w:rPr>
                <w:color w:val="000000"/>
                <w:spacing w:val="-2"/>
              </w:rPr>
              <w:t> </w:t>
            </w:r>
            <w:r w:rsidR="00354366">
              <w:rPr>
                <w:color w:val="000000"/>
                <w:spacing w:val="-2"/>
              </w:rPr>
              <w:t>2008-2013,</w:t>
            </w:r>
            <w:r w:rsidR="00FB3C00">
              <w:rPr>
                <w:color w:val="000000"/>
                <w:spacing w:val="-2"/>
              </w:rPr>
              <w:t xml:space="preserve"> patrný výrazný</w:t>
            </w:r>
            <w:r w:rsidRPr="00394659">
              <w:rPr>
                <w:color w:val="000000"/>
                <w:spacing w:val="-2"/>
              </w:rPr>
              <w:t xml:space="preserve"> rozdíl oproti vývoji mezd. Zatímco či</w:t>
            </w:r>
            <w:r w:rsidR="00C7548A">
              <w:rPr>
                <w:color w:val="000000"/>
                <w:spacing w:val="-2"/>
              </w:rPr>
              <w:t>stý provozní přebytek za uvedená</w:t>
            </w:r>
            <w:r w:rsidRPr="00394659">
              <w:rPr>
                <w:color w:val="000000"/>
                <w:spacing w:val="-2"/>
              </w:rPr>
              <w:t xml:space="preserve"> období v průměru meziročně klesal (-1,</w:t>
            </w:r>
            <w:r>
              <w:rPr>
                <w:color w:val="000000"/>
                <w:spacing w:val="-2"/>
              </w:rPr>
              <w:t>5</w:t>
            </w:r>
            <w:r w:rsidRPr="00394659">
              <w:rPr>
                <w:color w:val="000000"/>
                <w:spacing w:val="-2"/>
              </w:rPr>
              <w:t xml:space="preserve"> %, resp. -</w:t>
            </w:r>
            <w:r>
              <w:rPr>
                <w:color w:val="000000"/>
                <w:spacing w:val="-2"/>
              </w:rPr>
              <w:t>4</w:t>
            </w:r>
            <w:r w:rsidRPr="00394659">
              <w:rPr>
                <w:color w:val="000000"/>
                <w:spacing w:val="-2"/>
              </w:rPr>
              <w:t xml:space="preserve"> %), mzdy zaznamenávaly meziroční přírůstky (+</w:t>
            </w:r>
            <w:r>
              <w:rPr>
                <w:color w:val="000000"/>
                <w:spacing w:val="-2"/>
              </w:rPr>
              <w:t>2</w:t>
            </w:r>
            <w:r w:rsidRPr="00394659">
              <w:rPr>
                <w:color w:val="000000"/>
                <w:spacing w:val="-2"/>
              </w:rPr>
              <w:t xml:space="preserve"> %, resp. +</w:t>
            </w:r>
            <w:r>
              <w:rPr>
                <w:color w:val="000000"/>
                <w:spacing w:val="-2"/>
              </w:rPr>
              <w:t>2,2</w:t>
            </w:r>
            <w:r w:rsidRPr="00394659">
              <w:rPr>
                <w:color w:val="000000"/>
                <w:spacing w:val="-2"/>
              </w:rPr>
              <w:t xml:space="preserve"> %, jak je zmíněno výše). </w:t>
            </w:r>
          </w:p>
          <w:p w:rsidR="005D5A35" w:rsidRPr="008F3CAE" w:rsidRDefault="005D5A35" w:rsidP="00BA4B2A">
            <w:pPr>
              <w:pStyle w:val="Textpoznpodarou"/>
              <w:jc w:val="both"/>
              <w:rPr>
                <w:color w:val="000000"/>
                <w:spacing w:val="-2"/>
                <w:sz w:val="18"/>
                <w:szCs w:val="18"/>
              </w:rPr>
            </w:pPr>
          </w:p>
          <w:p w:rsidR="005D5A35" w:rsidRPr="00394659" w:rsidRDefault="005D5A35" w:rsidP="00BA4B2A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Právě v porovnání s nepříznivým vývojem zisků nefinančních podniků v obdobích předcházejících roku 20</w:t>
            </w:r>
            <w:r w:rsidR="00354366">
              <w:rPr>
                <w:color w:val="000000"/>
                <w:spacing w:val="-2"/>
              </w:rPr>
              <w:t>14 vyniká jeho mimořádnost</w:t>
            </w:r>
            <w:r w:rsidR="00A91893">
              <w:rPr>
                <w:color w:val="000000"/>
                <w:spacing w:val="-2"/>
              </w:rPr>
              <w:t>,</w:t>
            </w:r>
            <w:r w:rsidR="00354366"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  <w:spacing w:val="-2"/>
              </w:rPr>
              <w:t>pokud jde o hospodaření nefinančních podniků. Je však třeba mít na paměti, že šlo o souhrn vlivů mimořádných (</w:t>
            </w:r>
            <w:r w:rsidR="000264DE">
              <w:rPr>
                <w:color w:val="000000"/>
                <w:spacing w:val="-2"/>
              </w:rPr>
              <w:t>slabší koruna</w:t>
            </w:r>
            <w:r w:rsidR="00877329">
              <w:rPr>
                <w:color w:val="000000"/>
                <w:spacing w:val="-2"/>
              </w:rPr>
              <w:t xml:space="preserve"> </w:t>
            </w:r>
            <w:r w:rsidR="000264DE">
              <w:rPr>
                <w:color w:val="000000"/>
                <w:spacing w:val="-2"/>
              </w:rPr>
              <w:t>favorizuj</w:t>
            </w:r>
            <w:r>
              <w:rPr>
                <w:color w:val="000000"/>
                <w:spacing w:val="-2"/>
              </w:rPr>
              <w:t xml:space="preserve">ící exportující firmy, pád cen energií na světových trzích ovlivňující příznivě nákladovost firem, aj.). </w:t>
            </w:r>
            <w:r w:rsidRPr="00394659">
              <w:rPr>
                <w:color w:val="000000"/>
                <w:spacing w:val="-2"/>
              </w:rPr>
              <w:t xml:space="preserve"> </w:t>
            </w:r>
          </w:p>
          <w:p w:rsidR="005D5A35" w:rsidRPr="008F3CAE" w:rsidRDefault="005D5A35" w:rsidP="006A456E">
            <w:pPr>
              <w:pStyle w:val="Textpoznpodarou"/>
              <w:jc w:val="both"/>
              <w:rPr>
                <w:color w:val="000000"/>
                <w:spacing w:val="-2"/>
                <w:sz w:val="18"/>
                <w:szCs w:val="18"/>
              </w:rPr>
            </w:pPr>
          </w:p>
        </w:tc>
      </w:tr>
      <w:tr w:rsidR="005D5A35" w:rsidRPr="00394659" w:rsidTr="008F3CAE">
        <w:trPr>
          <w:gridBefore w:val="1"/>
          <w:wBefore w:w="21" w:type="pct"/>
        </w:trPr>
        <w:tc>
          <w:tcPr>
            <w:tcW w:w="374" w:type="pct"/>
          </w:tcPr>
          <w:p w:rsidR="005D5A35" w:rsidRPr="00394659" w:rsidRDefault="005D5A35" w:rsidP="003E59FD">
            <w:pPr>
              <w:spacing w:line="240" w:lineRule="auto"/>
            </w:pPr>
            <w:r w:rsidRPr="00394659">
              <w:t>Graf č.</w:t>
            </w:r>
            <w:r w:rsidR="003E59FD">
              <w:t> </w:t>
            </w:r>
            <w:r w:rsidR="008F371B">
              <w:t>37</w:t>
            </w:r>
          </w:p>
        </w:tc>
        <w:tc>
          <w:tcPr>
            <w:tcW w:w="2086" w:type="pct"/>
            <w:gridSpan w:val="3"/>
          </w:tcPr>
          <w:p w:rsidR="005D5A35" w:rsidRPr="00394659" w:rsidRDefault="005D5A35" w:rsidP="006A456E">
            <w:pPr>
              <w:pStyle w:val="Textpoznpodarou"/>
              <w:rPr>
                <w:rFonts w:cs="Arial"/>
                <w:szCs w:val="24"/>
              </w:rPr>
            </w:pPr>
            <w:r>
              <w:rPr>
                <w:rFonts w:cs="Arial"/>
                <w:b/>
                <w:bCs/>
              </w:rPr>
              <w:t>Poměr mezd k hrubému provoznímu přebytku nefinančních podniků</w:t>
            </w:r>
            <w:r w:rsidRPr="00394659">
              <w:rPr>
                <w:rFonts w:cs="Arial"/>
                <w:b/>
                <w:bCs/>
              </w:rPr>
              <w:t xml:space="preserve"> </w:t>
            </w:r>
            <w:r w:rsidRPr="00394659">
              <w:rPr>
                <w:rFonts w:cs="Arial"/>
                <w:bCs/>
              </w:rPr>
              <w:t xml:space="preserve">(v </w:t>
            </w:r>
            <w:r>
              <w:rPr>
                <w:rFonts w:cs="Arial"/>
                <w:bCs/>
              </w:rPr>
              <w:t>%</w:t>
            </w:r>
            <w:r w:rsidRPr="00394659">
              <w:rPr>
                <w:rFonts w:cs="Arial"/>
                <w:bCs/>
              </w:rPr>
              <w:t>)</w:t>
            </w:r>
          </w:p>
        </w:tc>
        <w:tc>
          <w:tcPr>
            <w:tcW w:w="361" w:type="pct"/>
          </w:tcPr>
          <w:p w:rsidR="005D5A35" w:rsidRPr="00394659" w:rsidRDefault="005D5A35" w:rsidP="003E59FD">
            <w:pPr>
              <w:spacing w:line="240" w:lineRule="auto"/>
            </w:pPr>
            <w:r w:rsidRPr="00394659">
              <w:t>Graf č.</w:t>
            </w:r>
            <w:r w:rsidR="003E59FD">
              <w:t> </w:t>
            </w:r>
            <w:r w:rsidR="008F371B">
              <w:t>38</w:t>
            </w:r>
          </w:p>
        </w:tc>
        <w:tc>
          <w:tcPr>
            <w:tcW w:w="2158" w:type="pct"/>
          </w:tcPr>
          <w:p w:rsidR="005D5A35" w:rsidRPr="00394659" w:rsidRDefault="005D5A35" w:rsidP="008C2E5B">
            <w:pPr>
              <w:spacing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Čistý provozní přebytek, mzdy a náhrady zaměstnancům</w:t>
            </w:r>
            <w:r w:rsidRPr="00394659">
              <w:rPr>
                <w:rFonts w:cs="Arial"/>
                <w:b/>
                <w:bCs/>
              </w:rPr>
              <w:t xml:space="preserve"> </w:t>
            </w:r>
            <w:r w:rsidRPr="00394659">
              <w:rPr>
                <w:rFonts w:cs="Arial"/>
                <w:bCs/>
              </w:rPr>
              <w:t>(v m</w:t>
            </w:r>
            <w:r>
              <w:rPr>
                <w:rFonts w:cs="Arial"/>
                <w:bCs/>
              </w:rPr>
              <w:t>i</w:t>
            </w:r>
            <w:r w:rsidRPr="00394659">
              <w:rPr>
                <w:rFonts w:cs="Arial"/>
                <w:bCs/>
              </w:rPr>
              <w:t>l. korun)</w:t>
            </w:r>
          </w:p>
        </w:tc>
      </w:tr>
      <w:tr w:rsidR="005D5A35" w:rsidTr="008F3CAE">
        <w:trPr>
          <w:gridBefore w:val="1"/>
          <w:wBefore w:w="21" w:type="pct"/>
        </w:trPr>
        <w:tc>
          <w:tcPr>
            <w:tcW w:w="2460" w:type="pct"/>
            <w:gridSpan w:val="4"/>
          </w:tcPr>
          <w:p w:rsidR="005D5A35" w:rsidRDefault="00DE56AE" w:rsidP="006A456E">
            <w:pPr>
              <w:pStyle w:val="Textpoznpodarou"/>
              <w:jc w:val="both"/>
            </w:pPr>
            <w:r>
              <w:rPr>
                <w:noProof/>
              </w:rPr>
              <w:pict>
                <v:shape id="_x0000_i1542" type="#_x0000_t75" style="width:231.75pt;height:168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">
                  <v:imagedata r:id="rId48" o:title=""/>
                  <o:lock v:ext="edit" aspectratio="f"/>
                </v:shape>
              </w:pict>
            </w:r>
          </w:p>
        </w:tc>
        <w:tc>
          <w:tcPr>
            <w:tcW w:w="2519" w:type="pct"/>
            <w:gridSpan w:val="2"/>
          </w:tcPr>
          <w:p w:rsidR="005D5A35" w:rsidRDefault="00DE56AE" w:rsidP="008F3CAE">
            <w:pPr>
              <w:pStyle w:val="Textpoznpodarou"/>
              <w:jc w:val="right"/>
            </w:pPr>
            <w:r>
              <w:rPr>
                <w:noProof/>
              </w:rPr>
              <w:pict>
                <v:shape id="_x0000_i1543" type="#_x0000_t75" style="width:239.25pt;height:168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">
                  <v:imagedata r:id="rId49" o:title="" cropbottom="-18f"/>
                  <o:lock v:ext="edit" aspectratio="f"/>
                </v:shape>
              </w:pict>
            </w:r>
          </w:p>
        </w:tc>
      </w:tr>
      <w:tr w:rsidR="008F3CAE" w:rsidTr="008F3CAE">
        <w:trPr>
          <w:gridBefore w:val="1"/>
          <w:wBefore w:w="21" w:type="pct"/>
        </w:trPr>
        <w:tc>
          <w:tcPr>
            <w:tcW w:w="4979" w:type="pct"/>
            <w:gridSpan w:val="6"/>
          </w:tcPr>
          <w:p w:rsidR="008F3CAE" w:rsidRDefault="000F0029" w:rsidP="008F3CAE">
            <w:pPr>
              <w:spacing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Zdroj</w:t>
            </w:r>
            <w:r w:rsidR="00DE2084">
              <w:rPr>
                <w:sz w:val="18"/>
                <w:szCs w:val="18"/>
              </w:rPr>
              <w:t>: ČSÚ, vlastní vý</w:t>
            </w:r>
            <w:r w:rsidR="008F3CAE" w:rsidRPr="006A456E">
              <w:rPr>
                <w:sz w:val="18"/>
                <w:szCs w:val="18"/>
              </w:rPr>
              <w:t>počty</w:t>
            </w:r>
          </w:p>
          <w:p w:rsidR="008F371B" w:rsidRDefault="008F371B" w:rsidP="008F3CAE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5D5A35" w:rsidRPr="00764561" w:rsidTr="008F3CAE">
        <w:tc>
          <w:tcPr>
            <w:tcW w:w="1042" w:type="pct"/>
            <w:gridSpan w:val="3"/>
          </w:tcPr>
          <w:p w:rsidR="005D5A35" w:rsidRDefault="005D5A35" w:rsidP="00FA57FD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Možné příčiny nepoměru mezi vysokým růstem zisků a slabým růstem mezd v roce 2014</w:t>
            </w:r>
          </w:p>
        </w:tc>
        <w:tc>
          <w:tcPr>
            <w:tcW w:w="139" w:type="pct"/>
          </w:tcPr>
          <w:p w:rsidR="005D5A35" w:rsidRDefault="005D5A35" w:rsidP="00FA57FD">
            <w:pPr>
              <w:pStyle w:val="Textpoznpodarou"/>
              <w:jc w:val="both"/>
            </w:pPr>
          </w:p>
        </w:tc>
        <w:tc>
          <w:tcPr>
            <w:tcW w:w="3819" w:type="pct"/>
            <w:gridSpan w:val="3"/>
          </w:tcPr>
          <w:p w:rsidR="005D5A35" w:rsidRDefault="005D5A35" w:rsidP="00394659">
            <w:pPr>
              <w:pStyle w:val="Textpoznpodarou"/>
              <w:jc w:val="both"/>
              <w:rPr>
                <w:i/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Zmíněný nepoměr mezi růstem zisků a růs</w:t>
            </w:r>
            <w:r w:rsidR="00354366">
              <w:rPr>
                <w:color w:val="000000"/>
                <w:spacing w:val="-2"/>
              </w:rPr>
              <w:t>tem mezd v roce 2014 lze zřejmě</w:t>
            </w:r>
            <w:r>
              <w:rPr>
                <w:color w:val="000000"/>
                <w:spacing w:val="-2"/>
              </w:rPr>
              <w:t xml:space="preserve"> vysvětlit jistou opatrností firem při navyšování mezd, kterou lze z pohledu předchozího vývoje akceptovat. Nefinanční podniky měly i jisté rezervy v zaměstnávání pracovníků - jejich kmenové počty narůstaly po recesi jen zvolna, byli více využíváni pracovníci najímaní přes agentury práce. To se začalo měnit spíše až v závěru roku 2014.</w:t>
            </w:r>
            <w:r w:rsidRPr="00764561">
              <w:rPr>
                <w:i/>
                <w:color w:val="000000"/>
                <w:spacing w:val="-2"/>
              </w:rPr>
              <w:t xml:space="preserve">  </w:t>
            </w:r>
          </w:p>
          <w:p w:rsidR="005D5A35" w:rsidRPr="00764561" w:rsidRDefault="005D5A35" w:rsidP="00394659">
            <w:pPr>
              <w:pStyle w:val="Textpoznpodarou"/>
              <w:jc w:val="both"/>
              <w:rPr>
                <w:i/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</w:t>
            </w:r>
          </w:p>
        </w:tc>
      </w:tr>
      <w:tr w:rsidR="005D5A35" w:rsidRPr="00764561" w:rsidTr="008F3CAE">
        <w:tc>
          <w:tcPr>
            <w:tcW w:w="1042" w:type="pct"/>
            <w:gridSpan w:val="3"/>
          </w:tcPr>
          <w:p w:rsidR="005D5A35" w:rsidRDefault="005D5A35" w:rsidP="00EF623C">
            <w:pP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Proporce mezi zisky v podobě hrubého provozního přebytku a</w:t>
            </w:r>
            <w:r w:rsidR="00EF623C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mzdami vyplácenými nefinančními podniky se snížila na nejnižší úroveň od roku 2007</w:t>
            </w:r>
          </w:p>
        </w:tc>
        <w:tc>
          <w:tcPr>
            <w:tcW w:w="139" w:type="pct"/>
          </w:tcPr>
          <w:p w:rsidR="005D5A35" w:rsidRDefault="005D5A35" w:rsidP="00FA57FD">
            <w:pPr>
              <w:pStyle w:val="Textpoznpodarou"/>
              <w:jc w:val="both"/>
            </w:pPr>
          </w:p>
        </w:tc>
        <w:tc>
          <w:tcPr>
            <w:tcW w:w="3819" w:type="pct"/>
            <w:gridSpan w:val="3"/>
          </w:tcPr>
          <w:p w:rsidR="005D5A35" w:rsidRDefault="005D5A35" w:rsidP="00FA57FD">
            <w:pPr>
              <w:pStyle w:val="Textpoznpodarou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Přesto však v důsledku odlišného vývoje mezd a zisků došlo k tomu, že proporce mezi nimi klesla na úroveň, která byla v případě hrubého provozního přebytku nejnižší od roku 2007- objem vyplacených mezd v nefinančních podnicích činil jen 79,5 % úrovně jejich hrubého provozního přebytku (graf</w:t>
            </w:r>
            <w:r w:rsidR="00B07F24">
              <w:rPr>
                <w:color w:val="000000"/>
                <w:spacing w:val="-2"/>
              </w:rPr>
              <w:t xml:space="preserve"> 37</w:t>
            </w:r>
            <w:r>
              <w:rPr>
                <w:color w:val="000000"/>
                <w:spacing w:val="-2"/>
              </w:rPr>
              <w:t>). Za roky 2010-2013 to bylo v průměru 86,2 %.</w:t>
            </w:r>
          </w:p>
          <w:p w:rsidR="005D5A35" w:rsidRPr="008F3CAE" w:rsidRDefault="005D5A35" w:rsidP="00FA57FD">
            <w:pPr>
              <w:pStyle w:val="Textpoznpodarou"/>
              <w:jc w:val="both"/>
              <w:rPr>
                <w:color w:val="000000"/>
                <w:spacing w:val="-2"/>
              </w:rPr>
            </w:pPr>
          </w:p>
          <w:p w:rsidR="005D5A35" w:rsidRPr="00394659" w:rsidRDefault="005D5A35" w:rsidP="008F3CAE">
            <w:pPr>
              <w:pStyle w:val="Textpoznpodarou"/>
              <w:jc w:val="both"/>
              <w:rPr>
                <w:color w:val="000000"/>
                <w:spacing w:val="-2"/>
              </w:rPr>
            </w:pPr>
            <w:r w:rsidRPr="008F3CAE">
              <w:rPr>
                <w:color w:val="000000"/>
              </w:rPr>
              <w:t>Vzhledem k podstatnému rozdílu mezi hrubým a čistým provozním přebytkem však</w:t>
            </w:r>
            <w:r w:rsidR="008F3CAE">
              <w:rPr>
                <w:color w:val="000000"/>
              </w:rPr>
              <w:t> </w:t>
            </w:r>
            <w:r w:rsidRPr="008F3CAE">
              <w:rPr>
                <w:color w:val="000000"/>
              </w:rPr>
              <w:t xml:space="preserve">objem mezd dosahoval v roce 2014 více než </w:t>
            </w:r>
            <w:proofErr w:type="spellStart"/>
            <w:r w:rsidRPr="008F3CAE">
              <w:rPr>
                <w:color w:val="000000"/>
              </w:rPr>
              <w:t>jedenapůlnásobku</w:t>
            </w:r>
            <w:proofErr w:type="spellEnd"/>
            <w:r w:rsidRPr="008F3CAE">
              <w:rPr>
                <w:color w:val="000000"/>
              </w:rPr>
              <w:t xml:space="preserve"> (153 %) čistého provozního přebytku. I to však byla proporce nižší než v průměru za roky 2010-2013 (177 %).  </w:t>
            </w:r>
          </w:p>
        </w:tc>
      </w:tr>
    </w:tbl>
    <w:p w:rsidR="005D5A35" w:rsidRDefault="005D5A35" w:rsidP="00386BD0"/>
    <w:p w:rsidR="008F3CAE" w:rsidRDefault="008F3CAE" w:rsidP="00386BD0"/>
    <w:p w:rsidR="008F3CAE" w:rsidRDefault="008F3CAE" w:rsidP="00386BD0"/>
    <w:p w:rsidR="008F3CAE" w:rsidRDefault="008F3CAE" w:rsidP="00386BD0"/>
    <w:p w:rsidR="008F3CAE" w:rsidRDefault="008F3CAE" w:rsidP="00386BD0"/>
    <w:p w:rsidR="008F3CAE" w:rsidRDefault="008F3CAE" w:rsidP="00386BD0"/>
    <w:p w:rsidR="008F3CAE" w:rsidRDefault="008F3CAE" w:rsidP="00386BD0"/>
    <w:p w:rsidR="008F3CAE" w:rsidRDefault="008F3CAE" w:rsidP="00386BD0"/>
    <w:p w:rsidR="008F3CAE" w:rsidRDefault="008F3CAE" w:rsidP="00386BD0"/>
    <w:sectPr w:rsidR="008F3CAE" w:rsidSect="00DE56AE">
      <w:headerReference w:type="even" r:id="rId50"/>
      <w:headerReference w:type="default" r:id="rId51"/>
      <w:footerReference w:type="even" r:id="rId52"/>
      <w:footerReference w:type="default" r:id="rId53"/>
      <w:type w:val="continuous"/>
      <w:pgSz w:w="11906" w:h="16838" w:code="9"/>
      <w:pgMar w:top="1134" w:right="1134" w:bottom="1418" w:left="1134" w:header="680" w:footer="680" w:gutter="0"/>
      <w:pgNumType w:start="3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234" w:rsidRDefault="00333234" w:rsidP="00E71A58">
      <w:r>
        <w:separator/>
      </w:r>
    </w:p>
  </w:endnote>
  <w:endnote w:type="continuationSeparator" w:id="0">
    <w:p w:rsidR="00333234" w:rsidRDefault="00333234" w:rsidP="00E71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234" w:rsidRDefault="00FE2BC2" w:rsidP="00357449">
    <w:pPr>
      <w:pStyle w:val="Zpat"/>
      <w:tabs>
        <w:tab w:val="clear" w:pos="4536"/>
        <w:tab w:val="clear" w:pos="9072"/>
        <w:tab w:val="center" w:pos="4820"/>
        <w:tab w:val="right" w:pos="9639"/>
      </w:tabs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4" o:spid="_x0000_s2050" type="#_x0000_t75" alt="Description: 3" style="position:absolute;margin-left:445.7pt;margin-top:-4.1pt;width:36.75pt;height:17.25pt;z-index:251657728;visibility:visible">
          <v:imagedata r:id="rId1" o:title=""/>
        </v:shape>
      </w:pict>
    </w:r>
    <w:r w:rsidRPr="005A21E0">
      <w:rPr>
        <w:rFonts w:ascii="Arial" w:hAnsi="Arial" w:cs="Arial"/>
        <w:sz w:val="16"/>
        <w:szCs w:val="16"/>
      </w:rPr>
      <w:fldChar w:fldCharType="begin"/>
    </w:r>
    <w:r w:rsidR="00333234" w:rsidRPr="005A21E0">
      <w:rPr>
        <w:rFonts w:ascii="Arial" w:hAnsi="Arial" w:cs="Arial"/>
        <w:sz w:val="16"/>
        <w:szCs w:val="16"/>
      </w:rPr>
      <w:instrText>PAGE   \* MERGEFORMAT</w:instrText>
    </w:r>
    <w:r w:rsidRPr="005A21E0">
      <w:rPr>
        <w:rFonts w:ascii="Arial" w:hAnsi="Arial" w:cs="Arial"/>
        <w:sz w:val="16"/>
        <w:szCs w:val="16"/>
      </w:rPr>
      <w:fldChar w:fldCharType="separate"/>
    </w:r>
    <w:r w:rsidR="00DE56AE">
      <w:rPr>
        <w:rFonts w:ascii="Arial" w:hAnsi="Arial" w:cs="Arial"/>
        <w:noProof/>
        <w:sz w:val="16"/>
        <w:szCs w:val="16"/>
      </w:rPr>
      <w:t>36</w:t>
    </w:r>
    <w:r w:rsidRPr="005A21E0">
      <w:rPr>
        <w:rFonts w:ascii="Arial" w:hAnsi="Arial" w:cs="Arial"/>
        <w:sz w:val="16"/>
        <w:szCs w:val="16"/>
      </w:rPr>
      <w:fldChar w:fldCharType="end"/>
    </w:r>
    <w:r w:rsidR="00333234">
      <w:rPr>
        <w:rFonts w:ascii="Arial" w:hAnsi="Arial" w:cs="Arial"/>
        <w:sz w:val="16"/>
        <w:szCs w:val="16"/>
      </w:rPr>
      <w:tab/>
      <w:t>2014</w:t>
    </w:r>
    <w:r w:rsidR="00333234">
      <w:tab/>
    </w:r>
    <w:r w:rsidR="00333234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234" w:rsidRDefault="00FE2BC2" w:rsidP="00357449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right" w:pos="9639"/>
      </w:tabs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Description: 3" style="position:absolute;margin-left:.3pt;margin-top:7.1pt;width:39pt;height:21pt;z-index:251658752;visibility:visible">
          <v:imagedata r:id="rId1" o:title=""/>
        </v:shape>
      </w:pict>
    </w:r>
    <w:r w:rsidR="00333234">
      <w:tab/>
    </w:r>
    <w:r w:rsidR="00333234">
      <w:tab/>
    </w:r>
    <w:r w:rsidR="00333234" w:rsidRPr="00DC5B3B">
      <w:t xml:space="preserve">                              </w:t>
    </w:r>
  </w:p>
  <w:p w:rsidR="00333234" w:rsidRPr="00223E00" w:rsidRDefault="00333234" w:rsidP="00357449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left" w:pos="9262"/>
        <w:tab w:val="left" w:pos="9495"/>
        <w:tab w:val="right" w:pos="9639"/>
      </w:tabs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2014</w:t>
    </w:r>
    <w:r>
      <w:rPr>
        <w:rFonts w:ascii="Arial" w:hAnsi="Arial" w:cs="Arial"/>
        <w:sz w:val="16"/>
        <w:szCs w:val="16"/>
      </w:rPr>
      <w:tab/>
    </w:r>
    <w:r w:rsidR="00FE2BC2" w:rsidRPr="00223E00">
      <w:rPr>
        <w:rFonts w:ascii="Arial" w:hAnsi="Arial" w:cs="Arial"/>
        <w:sz w:val="16"/>
        <w:szCs w:val="16"/>
      </w:rPr>
      <w:fldChar w:fldCharType="begin"/>
    </w:r>
    <w:r w:rsidRPr="00223E00">
      <w:rPr>
        <w:rFonts w:ascii="Arial" w:hAnsi="Arial" w:cs="Arial"/>
        <w:sz w:val="16"/>
        <w:szCs w:val="16"/>
      </w:rPr>
      <w:instrText xml:space="preserve"> PAGE   \* MERGEFORMAT </w:instrText>
    </w:r>
    <w:r w:rsidR="00FE2BC2" w:rsidRPr="00223E00">
      <w:rPr>
        <w:rFonts w:ascii="Arial" w:hAnsi="Arial" w:cs="Arial"/>
        <w:sz w:val="16"/>
        <w:szCs w:val="16"/>
      </w:rPr>
      <w:fldChar w:fldCharType="separate"/>
    </w:r>
    <w:r w:rsidR="00DE56AE">
      <w:rPr>
        <w:rFonts w:ascii="Arial" w:hAnsi="Arial" w:cs="Arial"/>
        <w:noProof/>
        <w:sz w:val="16"/>
        <w:szCs w:val="16"/>
      </w:rPr>
      <w:t>35</w:t>
    </w:r>
    <w:r w:rsidR="00FE2BC2" w:rsidRPr="00223E00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234" w:rsidRDefault="00333234" w:rsidP="00E71A58">
      <w:r>
        <w:separator/>
      </w:r>
    </w:p>
  </w:footnote>
  <w:footnote w:type="continuationSeparator" w:id="0">
    <w:p w:rsidR="00333234" w:rsidRDefault="00333234" w:rsidP="00E71A58">
      <w:r>
        <w:continuationSeparator/>
      </w:r>
    </w:p>
  </w:footnote>
  <w:footnote w:id="1">
    <w:p w:rsidR="00333234" w:rsidRDefault="00333234" w:rsidP="003A2708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D6524A">
        <w:rPr>
          <w:sz w:val="16"/>
          <w:szCs w:val="16"/>
        </w:rPr>
        <w:t>V logice věci jsou zcela centr</w:t>
      </w:r>
      <w:r>
        <w:rPr>
          <w:sz w:val="16"/>
          <w:szCs w:val="16"/>
        </w:rPr>
        <w:t>alizované, tj. se stoprocentním</w:t>
      </w:r>
      <w:r w:rsidRPr="00D6524A">
        <w:rPr>
          <w:sz w:val="16"/>
          <w:szCs w:val="16"/>
        </w:rPr>
        <w:t xml:space="preserve"> podílem ústřední vlády na výdajích celého vládního sektoru</w:t>
      </w:r>
      <w:r>
        <w:rPr>
          <w:sz w:val="16"/>
          <w:szCs w:val="16"/>
        </w:rPr>
        <w:t>,</w:t>
      </w:r>
      <w:r w:rsidRPr="00D6524A">
        <w:rPr>
          <w:sz w:val="16"/>
          <w:szCs w:val="16"/>
        </w:rPr>
        <w:t xml:space="preserve"> tyto položky struktury COFOG: </w:t>
      </w:r>
      <w:r>
        <w:rPr>
          <w:sz w:val="16"/>
          <w:szCs w:val="16"/>
        </w:rPr>
        <w:t>V</w:t>
      </w:r>
      <w:r w:rsidRPr="00D6524A">
        <w:rPr>
          <w:sz w:val="16"/>
          <w:szCs w:val="16"/>
        </w:rPr>
        <w:t xml:space="preserve">ojenská </w:t>
      </w:r>
      <w:r>
        <w:rPr>
          <w:sz w:val="16"/>
          <w:szCs w:val="16"/>
        </w:rPr>
        <w:t>obrana, V</w:t>
      </w:r>
      <w:r w:rsidRPr="00D6524A">
        <w:rPr>
          <w:sz w:val="16"/>
          <w:szCs w:val="16"/>
        </w:rPr>
        <w:t xml:space="preserve">ojenská zahraniční </w:t>
      </w:r>
      <w:r>
        <w:rPr>
          <w:sz w:val="16"/>
          <w:szCs w:val="16"/>
        </w:rPr>
        <w:t>pomoc, Z</w:t>
      </w:r>
      <w:r w:rsidRPr="00D6524A">
        <w:rPr>
          <w:sz w:val="16"/>
          <w:szCs w:val="16"/>
        </w:rPr>
        <w:t xml:space="preserve">ahraniční ekonomická pomoc, </w:t>
      </w:r>
      <w:r>
        <w:rPr>
          <w:sz w:val="16"/>
          <w:szCs w:val="16"/>
        </w:rPr>
        <w:t>S</w:t>
      </w:r>
      <w:r w:rsidRPr="00D6524A">
        <w:rPr>
          <w:sz w:val="16"/>
          <w:szCs w:val="16"/>
        </w:rPr>
        <w:t xml:space="preserve">oudy a státní zastupitelství, </w:t>
      </w:r>
      <w:r>
        <w:rPr>
          <w:sz w:val="16"/>
          <w:szCs w:val="16"/>
        </w:rPr>
        <w:t>V</w:t>
      </w:r>
      <w:r w:rsidRPr="00D6524A">
        <w:rPr>
          <w:sz w:val="16"/>
          <w:szCs w:val="16"/>
        </w:rPr>
        <w:t xml:space="preserve">ězeňská správa a vězeňský provoz, </w:t>
      </w:r>
      <w:r>
        <w:rPr>
          <w:sz w:val="16"/>
          <w:szCs w:val="16"/>
        </w:rPr>
        <w:t>E</w:t>
      </w:r>
      <w:r w:rsidRPr="00D6524A">
        <w:rPr>
          <w:sz w:val="16"/>
          <w:szCs w:val="16"/>
        </w:rPr>
        <w:t>konomická záležitosti,</w:t>
      </w:r>
      <w:r>
        <w:rPr>
          <w:sz w:val="16"/>
          <w:szCs w:val="16"/>
        </w:rPr>
        <w:t xml:space="preserve"> B</w:t>
      </w:r>
      <w:r w:rsidRPr="00D6524A">
        <w:rPr>
          <w:sz w:val="16"/>
          <w:szCs w:val="16"/>
        </w:rPr>
        <w:t xml:space="preserve">adatelský výzkum, </w:t>
      </w:r>
      <w:r>
        <w:rPr>
          <w:sz w:val="16"/>
          <w:szCs w:val="16"/>
        </w:rPr>
        <w:t>C</w:t>
      </w:r>
      <w:r w:rsidRPr="00D6524A">
        <w:rPr>
          <w:sz w:val="16"/>
          <w:szCs w:val="16"/>
        </w:rPr>
        <w:t>í</w:t>
      </w:r>
      <w:r>
        <w:rPr>
          <w:sz w:val="16"/>
          <w:szCs w:val="16"/>
        </w:rPr>
        <w:t>l</w:t>
      </w:r>
      <w:r w:rsidRPr="00D6524A">
        <w:rPr>
          <w:sz w:val="16"/>
          <w:szCs w:val="16"/>
        </w:rPr>
        <w:t>ený výzkum a vývoj v ekonomické oblasti, v oblasti všeobecných veřejných služeb, v oblasti veřejného pořádku, životního prostředí, zdravotnictví vzdělání a sociálních věcí</w:t>
      </w:r>
      <w:r>
        <w:rPr>
          <w:sz w:val="16"/>
          <w:szCs w:val="16"/>
        </w:rPr>
        <w:t xml:space="preserve">, Vzdělání </w:t>
      </w:r>
      <w:proofErr w:type="spellStart"/>
      <w:proofErr w:type="gramStart"/>
      <w:r>
        <w:rPr>
          <w:sz w:val="16"/>
          <w:szCs w:val="16"/>
        </w:rPr>
        <w:t>j.n</w:t>
      </w:r>
      <w:proofErr w:type="spellEnd"/>
      <w:r>
        <w:rPr>
          <w:sz w:val="16"/>
          <w:szCs w:val="16"/>
        </w:rPr>
        <w:t>.</w:t>
      </w:r>
      <w:proofErr w:type="gramEnd"/>
      <w:r>
        <w:rPr>
          <w:sz w:val="16"/>
          <w:szCs w:val="16"/>
        </w:rPr>
        <w:t xml:space="preserve"> a Veřejný pořádek a bezpečnost </w:t>
      </w:r>
      <w:proofErr w:type="spellStart"/>
      <w:r>
        <w:rPr>
          <w:sz w:val="16"/>
          <w:szCs w:val="16"/>
        </w:rPr>
        <w:t>j.n</w:t>
      </w:r>
      <w:proofErr w:type="spellEnd"/>
      <w:r>
        <w:rPr>
          <w:sz w:val="16"/>
          <w:szCs w:val="16"/>
        </w:rPr>
        <w:t>.</w:t>
      </w:r>
    </w:p>
  </w:footnote>
  <w:footnote w:id="2">
    <w:p w:rsidR="00333234" w:rsidRDefault="00333234" w:rsidP="00786DA5">
      <w:pPr>
        <w:pStyle w:val="Textpoznpodarou"/>
        <w:jc w:val="both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786DA5">
        <w:rPr>
          <w:sz w:val="16"/>
          <w:szCs w:val="16"/>
        </w:rPr>
        <w:t xml:space="preserve">Více viz </w:t>
      </w:r>
      <w:proofErr w:type="spellStart"/>
      <w:r w:rsidRPr="00786DA5">
        <w:rPr>
          <w:sz w:val="16"/>
          <w:szCs w:val="16"/>
        </w:rPr>
        <w:t>Rybáček</w:t>
      </w:r>
      <w:proofErr w:type="spellEnd"/>
      <w:r w:rsidRPr="00786DA5">
        <w:rPr>
          <w:sz w:val="16"/>
          <w:szCs w:val="16"/>
        </w:rPr>
        <w:t>, V.: Proč dluh klesá i při deficitech. Článek</w:t>
      </w:r>
      <w:r>
        <w:rPr>
          <w:sz w:val="16"/>
          <w:szCs w:val="16"/>
        </w:rPr>
        <w:t xml:space="preserve"> </w:t>
      </w:r>
      <w:r w:rsidRPr="00786DA5">
        <w:rPr>
          <w:sz w:val="16"/>
          <w:szCs w:val="16"/>
        </w:rPr>
        <w:t>v čas</w:t>
      </w:r>
      <w:r>
        <w:rPr>
          <w:sz w:val="16"/>
          <w:szCs w:val="16"/>
        </w:rPr>
        <w:t>opise Statistika a my. Ročník</w:t>
      </w:r>
      <w:r w:rsidRPr="00786DA5">
        <w:rPr>
          <w:sz w:val="16"/>
          <w:szCs w:val="16"/>
        </w:rPr>
        <w:t xml:space="preserve"> 5 – 05/2015, str. 23.</w:t>
      </w:r>
      <w:r>
        <w:rPr>
          <w:sz w:val="16"/>
          <w:szCs w:val="16"/>
        </w:rPr>
        <w:t xml:space="preserve"> </w:t>
      </w:r>
      <w:hyperlink r:id="rId1" w:history="1">
        <w:r w:rsidRPr="005202E0">
          <w:rPr>
            <w:rStyle w:val="Hypertextovodkaz"/>
            <w:sz w:val="16"/>
            <w:szCs w:val="16"/>
          </w:rPr>
          <w:t>http://www.statistikaamy.cz/2015/05/proc-dluh-klesa-i-pri-deficitech/</w:t>
        </w:r>
      </w:hyperlink>
    </w:p>
    <w:p w:rsidR="00333234" w:rsidRDefault="00333234" w:rsidP="00786DA5">
      <w:pPr>
        <w:pStyle w:val="Textpoznpodarou"/>
        <w:jc w:val="both"/>
      </w:pPr>
    </w:p>
  </w:footnote>
  <w:footnote w:id="3">
    <w:p w:rsidR="00333234" w:rsidRDefault="0033323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C4DDF">
        <w:rPr>
          <w:sz w:val="16"/>
          <w:szCs w:val="16"/>
        </w:rPr>
        <w:t>Sektor finančních institucí je z daného pohledu ve specifickém postavení, neboť je především poskytovatelem úvěrů.</w:t>
      </w:r>
    </w:p>
  </w:footnote>
  <w:footnote w:id="4">
    <w:p w:rsidR="00333234" w:rsidRDefault="00333234" w:rsidP="00F0676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34111">
        <w:rPr>
          <w:sz w:val="16"/>
          <w:szCs w:val="16"/>
        </w:rPr>
        <w:t xml:space="preserve">Pokud není uvedeno jinak, vycházejí data v této </w:t>
      </w:r>
      <w:proofErr w:type="spellStart"/>
      <w:r w:rsidRPr="00234111">
        <w:rPr>
          <w:sz w:val="16"/>
          <w:szCs w:val="16"/>
        </w:rPr>
        <w:t>subkapitole</w:t>
      </w:r>
      <w:proofErr w:type="spellEnd"/>
      <w:r w:rsidRPr="00234111">
        <w:rPr>
          <w:sz w:val="16"/>
          <w:szCs w:val="16"/>
        </w:rPr>
        <w:t xml:space="preserve"> z metodiky šestého Manuálu platební bilance BPM6</w:t>
      </w:r>
      <w:r>
        <w:rPr>
          <w:sz w:val="16"/>
          <w:szCs w:val="16"/>
        </w:rPr>
        <w:t>.</w:t>
      </w:r>
    </w:p>
  </w:footnote>
  <w:footnote w:id="5">
    <w:p w:rsidR="00333234" w:rsidRDefault="00333234" w:rsidP="00AC592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D6CFC">
        <w:rPr>
          <w:sz w:val="16"/>
          <w:szCs w:val="16"/>
        </w:rPr>
        <w:t>Bilance zboží podle CZ-CPA v národním pojetí.</w:t>
      </w:r>
      <w:r>
        <w:rPr>
          <w:sz w:val="16"/>
          <w:szCs w:val="16"/>
        </w:rPr>
        <w:t xml:space="preserve"> Vývoz v cenách FOB, dovoz v cenách CIF.</w:t>
      </w:r>
    </w:p>
  </w:footnote>
  <w:footnote w:id="6">
    <w:p w:rsidR="00333234" w:rsidRPr="00657665" w:rsidRDefault="00333234" w:rsidP="008F371B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657665">
        <w:rPr>
          <w:sz w:val="16"/>
          <w:szCs w:val="16"/>
        </w:rPr>
        <w:t>Obsahem důchodů z vlastnictví jsou úroky (výnosové či nákladové), rozdělované důchody společností (kam patří právě dividendy a také čerpání z důchodů kvazi společností), ostatní důchody z investic (týkající se pojištěnců, penzijních nároků anebo podílníků fondů kolektivního investování</w:t>
      </w:r>
      <w:r>
        <w:rPr>
          <w:sz w:val="16"/>
          <w:szCs w:val="16"/>
        </w:rPr>
        <w:t xml:space="preserve">) </w:t>
      </w:r>
      <w:r w:rsidRPr="00657665">
        <w:rPr>
          <w:sz w:val="16"/>
          <w:szCs w:val="16"/>
        </w:rPr>
        <w:t xml:space="preserve">a renta. </w:t>
      </w:r>
    </w:p>
  </w:footnote>
  <w:footnote w:id="7">
    <w:p w:rsidR="00333234" w:rsidRDefault="00333234" w:rsidP="008F371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11EF5">
        <w:rPr>
          <w:sz w:val="16"/>
          <w:szCs w:val="16"/>
        </w:rPr>
        <w:t>Podle struktury přímých zahraničních investic z platební bilance.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234" w:rsidRPr="00F5435A" w:rsidRDefault="00333234" w:rsidP="00F5435A">
    <w:pPr>
      <w:pStyle w:val="Zhlav"/>
      <w:tabs>
        <w:tab w:val="clear" w:pos="4536"/>
        <w:tab w:val="clear" w:pos="9072"/>
        <w:tab w:val="left" w:pos="-6379"/>
        <w:tab w:val="center" w:pos="4820"/>
        <w:tab w:val="right" w:pos="9639"/>
      </w:tabs>
      <w:rPr>
        <w:szCs w:val="16"/>
      </w:rPr>
    </w:pPr>
    <w:r>
      <w:rPr>
        <w:rFonts w:ascii="Arial" w:hAnsi="Arial" w:cs="Arial"/>
        <w:sz w:val="16"/>
        <w:szCs w:val="16"/>
      </w:rPr>
      <w:t>Tendence makroekonomického vývoje a kvality života v České republice v roce 2014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234" w:rsidRPr="00F5435A" w:rsidRDefault="00333234" w:rsidP="00F5435A">
    <w:pPr>
      <w:pStyle w:val="Zhlav"/>
      <w:tabs>
        <w:tab w:val="clear" w:pos="4536"/>
        <w:tab w:val="clear" w:pos="9072"/>
        <w:tab w:val="left" w:pos="-6379"/>
        <w:tab w:val="center" w:pos="4820"/>
        <w:tab w:val="right" w:pos="9639"/>
      </w:tabs>
      <w:rPr>
        <w:szCs w:val="16"/>
      </w:rPr>
    </w:pPr>
    <w:r>
      <w:rPr>
        <w:rFonts w:ascii="Arial" w:hAnsi="Arial" w:cs="Arial"/>
        <w:sz w:val="16"/>
        <w:szCs w:val="16"/>
      </w:rPr>
      <w:t>Tendence makroekonomického vývoje a kvality života v České republice v roce 2014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96BEF"/>
    <w:multiLevelType w:val="hybridMultilevel"/>
    <w:tmpl w:val="3B360A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A62B8"/>
    <w:multiLevelType w:val="multilevel"/>
    <w:tmpl w:val="DBE6868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EA7172B"/>
    <w:multiLevelType w:val="multilevel"/>
    <w:tmpl w:val="DE863A6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0BB57F8"/>
    <w:multiLevelType w:val="multilevel"/>
    <w:tmpl w:val="2074470E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502F6FA5"/>
    <w:multiLevelType w:val="hybridMultilevel"/>
    <w:tmpl w:val="0646F9CC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6F0669"/>
    <w:multiLevelType w:val="hybridMultilevel"/>
    <w:tmpl w:val="6B980916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42A32BF"/>
    <w:multiLevelType w:val="multilevel"/>
    <w:tmpl w:val="2C7C09C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7C550A0F"/>
    <w:multiLevelType w:val="hybridMultilevel"/>
    <w:tmpl w:val="A6E66A4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1024"/>
  <w:doNotTrackMoves/>
  <w:defaultTabStop w:val="708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70BD"/>
    <w:rsid w:val="00000E94"/>
    <w:rsid w:val="00003687"/>
    <w:rsid w:val="00003A9E"/>
    <w:rsid w:val="00003C43"/>
    <w:rsid w:val="000047B7"/>
    <w:rsid w:val="00004BDD"/>
    <w:rsid w:val="00006CF8"/>
    <w:rsid w:val="00007498"/>
    <w:rsid w:val="0000767A"/>
    <w:rsid w:val="000104B9"/>
    <w:rsid w:val="00010702"/>
    <w:rsid w:val="0001159B"/>
    <w:rsid w:val="000118F0"/>
    <w:rsid w:val="00011ABE"/>
    <w:rsid w:val="00014DB4"/>
    <w:rsid w:val="0001573E"/>
    <w:rsid w:val="00017315"/>
    <w:rsid w:val="000173CC"/>
    <w:rsid w:val="000178A6"/>
    <w:rsid w:val="00017F05"/>
    <w:rsid w:val="0002016D"/>
    <w:rsid w:val="000202B9"/>
    <w:rsid w:val="000202C6"/>
    <w:rsid w:val="00020946"/>
    <w:rsid w:val="000217F1"/>
    <w:rsid w:val="0002366A"/>
    <w:rsid w:val="00023777"/>
    <w:rsid w:val="00024887"/>
    <w:rsid w:val="00024CBA"/>
    <w:rsid w:val="000264DE"/>
    <w:rsid w:val="00026998"/>
    <w:rsid w:val="0003066A"/>
    <w:rsid w:val="00032838"/>
    <w:rsid w:val="00032879"/>
    <w:rsid w:val="00032C12"/>
    <w:rsid w:val="00034B90"/>
    <w:rsid w:val="000353D4"/>
    <w:rsid w:val="00035FC6"/>
    <w:rsid w:val="00036889"/>
    <w:rsid w:val="00037667"/>
    <w:rsid w:val="000411E1"/>
    <w:rsid w:val="000441DE"/>
    <w:rsid w:val="00045541"/>
    <w:rsid w:val="000458C6"/>
    <w:rsid w:val="0004694F"/>
    <w:rsid w:val="0004735A"/>
    <w:rsid w:val="0005077D"/>
    <w:rsid w:val="00050C11"/>
    <w:rsid w:val="00052172"/>
    <w:rsid w:val="000548AB"/>
    <w:rsid w:val="00054B1C"/>
    <w:rsid w:val="00055059"/>
    <w:rsid w:val="000553E4"/>
    <w:rsid w:val="00060A26"/>
    <w:rsid w:val="00061443"/>
    <w:rsid w:val="00062EC5"/>
    <w:rsid w:val="00063BCF"/>
    <w:rsid w:val="00064256"/>
    <w:rsid w:val="00064D80"/>
    <w:rsid w:val="000666E0"/>
    <w:rsid w:val="000706A4"/>
    <w:rsid w:val="000708EE"/>
    <w:rsid w:val="00072118"/>
    <w:rsid w:val="000727C7"/>
    <w:rsid w:val="00072F46"/>
    <w:rsid w:val="00073039"/>
    <w:rsid w:val="00073173"/>
    <w:rsid w:val="0007406D"/>
    <w:rsid w:val="0007602A"/>
    <w:rsid w:val="00076196"/>
    <w:rsid w:val="00076B48"/>
    <w:rsid w:val="000774C1"/>
    <w:rsid w:val="000779AC"/>
    <w:rsid w:val="0008193E"/>
    <w:rsid w:val="000821A7"/>
    <w:rsid w:val="00083803"/>
    <w:rsid w:val="000848F4"/>
    <w:rsid w:val="0008716A"/>
    <w:rsid w:val="00087634"/>
    <w:rsid w:val="00090F47"/>
    <w:rsid w:val="00091237"/>
    <w:rsid w:val="000920EC"/>
    <w:rsid w:val="00092505"/>
    <w:rsid w:val="00095ACB"/>
    <w:rsid w:val="00096B97"/>
    <w:rsid w:val="000A0F46"/>
    <w:rsid w:val="000A1183"/>
    <w:rsid w:val="000A13D1"/>
    <w:rsid w:val="000A2121"/>
    <w:rsid w:val="000A3D94"/>
    <w:rsid w:val="000A4B3E"/>
    <w:rsid w:val="000B1398"/>
    <w:rsid w:val="000B1CFE"/>
    <w:rsid w:val="000B210A"/>
    <w:rsid w:val="000B249B"/>
    <w:rsid w:val="000B3DB9"/>
    <w:rsid w:val="000B3F02"/>
    <w:rsid w:val="000B48E7"/>
    <w:rsid w:val="000B7663"/>
    <w:rsid w:val="000C0E2B"/>
    <w:rsid w:val="000C11D3"/>
    <w:rsid w:val="000C12F5"/>
    <w:rsid w:val="000C152B"/>
    <w:rsid w:val="000C3408"/>
    <w:rsid w:val="000C776C"/>
    <w:rsid w:val="000D2E41"/>
    <w:rsid w:val="000D5E7A"/>
    <w:rsid w:val="000D5FAA"/>
    <w:rsid w:val="000D65A4"/>
    <w:rsid w:val="000D6946"/>
    <w:rsid w:val="000D6AEF"/>
    <w:rsid w:val="000E0F3D"/>
    <w:rsid w:val="000E19A8"/>
    <w:rsid w:val="000E2776"/>
    <w:rsid w:val="000E2A8A"/>
    <w:rsid w:val="000E51B0"/>
    <w:rsid w:val="000E78D2"/>
    <w:rsid w:val="000F0029"/>
    <w:rsid w:val="000F2D72"/>
    <w:rsid w:val="000F3332"/>
    <w:rsid w:val="000F33EE"/>
    <w:rsid w:val="000F401E"/>
    <w:rsid w:val="000F5445"/>
    <w:rsid w:val="000F5E7A"/>
    <w:rsid w:val="000F67B2"/>
    <w:rsid w:val="00100014"/>
    <w:rsid w:val="00102756"/>
    <w:rsid w:val="00102D79"/>
    <w:rsid w:val="00102F02"/>
    <w:rsid w:val="00103834"/>
    <w:rsid w:val="001041B6"/>
    <w:rsid w:val="001070EA"/>
    <w:rsid w:val="0011002A"/>
    <w:rsid w:val="0011110A"/>
    <w:rsid w:val="001118AF"/>
    <w:rsid w:val="0011256E"/>
    <w:rsid w:val="001157D5"/>
    <w:rsid w:val="00116DB9"/>
    <w:rsid w:val="00121167"/>
    <w:rsid w:val="001214CE"/>
    <w:rsid w:val="00121C39"/>
    <w:rsid w:val="00123255"/>
    <w:rsid w:val="001242CF"/>
    <w:rsid w:val="001247F5"/>
    <w:rsid w:val="00124D2D"/>
    <w:rsid w:val="00126F9E"/>
    <w:rsid w:val="001306B1"/>
    <w:rsid w:val="001307BE"/>
    <w:rsid w:val="00130C8F"/>
    <w:rsid w:val="001314F2"/>
    <w:rsid w:val="001317DA"/>
    <w:rsid w:val="00131B66"/>
    <w:rsid w:val="0013254D"/>
    <w:rsid w:val="00132665"/>
    <w:rsid w:val="00132CF6"/>
    <w:rsid w:val="00133A3B"/>
    <w:rsid w:val="00133AAC"/>
    <w:rsid w:val="00136561"/>
    <w:rsid w:val="00136CE4"/>
    <w:rsid w:val="001400E1"/>
    <w:rsid w:val="001405FA"/>
    <w:rsid w:val="001425C3"/>
    <w:rsid w:val="00142F16"/>
    <w:rsid w:val="00143B81"/>
    <w:rsid w:val="00143E03"/>
    <w:rsid w:val="00143E93"/>
    <w:rsid w:val="00150943"/>
    <w:rsid w:val="00151AC0"/>
    <w:rsid w:val="00152046"/>
    <w:rsid w:val="0015232F"/>
    <w:rsid w:val="00154059"/>
    <w:rsid w:val="00156318"/>
    <w:rsid w:val="0015639A"/>
    <w:rsid w:val="00157931"/>
    <w:rsid w:val="00157990"/>
    <w:rsid w:val="0016081D"/>
    <w:rsid w:val="00161312"/>
    <w:rsid w:val="00161EDA"/>
    <w:rsid w:val="001620D2"/>
    <w:rsid w:val="001620FA"/>
    <w:rsid w:val="00162853"/>
    <w:rsid w:val="00162EB2"/>
    <w:rsid w:val="00163793"/>
    <w:rsid w:val="0016545C"/>
    <w:rsid w:val="0016560B"/>
    <w:rsid w:val="00165A85"/>
    <w:rsid w:val="001707DE"/>
    <w:rsid w:val="00170B04"/>
    <w:rsid w:val="00170F47"/>
    <w:rsid w:val="001714F2"/>
    <w:rsid w:val="00171672"/>
    <w:rsid w:val="00171D29"/>
    <w:rsid w:val="00171D2A"/>
    <w:rsid w:val="00173485"/>
    <w:rsid w:val="00173642"/>
    <w:rsid w:val="00174CE8"/>
    <w:rsid w:val="00174FFB"/>
    <w:rsid w:val="001764D8"/>
    <w:rsid w:val="00176A8F"/>
    <w:rsid w:val="0017789F"/>
    <w:rsid w:val="001779F0"/>
    <w:rsid w:val="001804ED"/>
    <w:rsid w:val="00181338"/>
    <w:rsid w:val="00181893"/>
    <w:rsid w:val="0018225A"/>
    <w:rsid w:val="00182981"/>
    <w:rsid w:val="00184CF9"/>
    <w:rsid w:val="00185010"/>
    <w:rsid w:val="00186164"/>
    <w:rsid w:val="00186915"/>
    <w:rsid w:val="0018724F"/>
    <w:rsid w:val="001874CF"/>
    <w:rsid w:val="00187C76"/>
    <w:rsid w:val="00190D9B"/>
    <w:rsid w:val="00194331"/>
    <w:rsid w:val="0019492D"/>
    <w:rsid w:val="0019505A"/>
    <w:rsid w:val="00195444"/>
    <w:rsid w:val="001962A3"/>
    <w:rsid w:val="001971D0"/>
    <w:rsid w:val="0019731C"/>
    <w:rsid w:val="001A0075"/>
    <w:rsid w:val="001A250D"/>
    <w:rsid w:val="001A2BDB"/>
    <w:rsid w:val="001A2D19"/>
    <w:rsid w:val="001A443A"/>
    <w:rsid w:val="001A511C"/>
    <w:rsid w:val="001A552F"/>
    <w:rsid w:val="001A5DA4"/>
    <w:rsid w:val="001A7C15"/>
    <w:rsid w:val="001A7CD1"/>
    <w:rsid w:val="001B0AF0"/>
    <w:rsid w:val="001B1D89"/>
    <w:rsid w:val="001B2964"/>
    <w:rsid w:val="001B3110"/>
    <w:rsid w:val="001B44BC"/>
    <w:rsid w:val="001B4721"/>
    <w:rsid w:val="001B51F8"/>
    <w:rsid w:val="001B6545"/>
    <w:rsid w:val="001B666A"/>
    <w:rsid w:val="001B681B"/>
    <w:rsid w:val="001B74FB"/>
    <w:rsid w:val="001B77A1"/>
    <w:rsid w:val="001B7C99"/>
    <w:rsid w:val="001C0422"/>
    <w:rsid w:val="001C0E0E"/>
    <w:rsid w:val="001C1219"/>
    <w:rsid w:val="001C3178"/>
    <w:rsid w:val="001C357A"/>
    <w:rsid w:val="001C38BC"/>
    <w:rsid w:val="001C3A37"/>
    <w:rsid w:val="001C4384"/>
    <w:rsid w:val="001C573E"/>
    <w:rsid w:val="001C65FF"/>
    <w:rsid w:val="001C6B05"/>
    <w:rsid w:val="001C6E5E"/>
    <w:rsid w:val="001C70BF"/>
    <w:rsid w:val="001D234F"/>
    <w:rsid w:val="001D3651"/>
    <w:rsid w:val="001D47E5"/>
    <w:rsid w:val="001D5088"/>
    <w:rsid w:val="001D54E7"/>
    <w:rsid w:val="001D584C"/>
    <w:rsid w:val="001D66C1"/>
    <w:rsid w:val="001D77D5"/>
    <w:rsid w:val="001E03A3"/>
    <w:rsid w:val="001E0533"/>
    <w:rsid w:val="001E0BE1"/>
    <w:rsid w:val="001E0C65"/>
    <w:rsid w:val="001E23E3"/>
    <w:rsid w:val="001E33B9"/>
    <w:rsid w:val="001E387A"/>
    <w:rsid w:val="001E3DA4"/>
    <w:rsid w:val="001E48E5"/>
    <w:rsid w:val="001E4A25"/>
    <w:rsid w:val="001E561F"/>
    <w:rsid w:val="001E684C"/>
    <w:rsid w:val="001E701C"/>
    <w:rsid w:val="001E7C03"/>
    <w:rsid w:val="001F02AF"/>
    <w:rsid w:val="001F037F"/>
    <w:rsid w:val="001F0406"/>
    <w:rsid w:val="001F0EC9"/>
    <w:rsid w:val="001F274B"/>
    <w:rsid w:val="001F28F4"/>
    <w:rsid w:val="001F3C55"/>
    <w:rsid w:val="001F3C79"/>
    <w:rsid w:val="001F3E68"/>
    <w:rsid w:val="001F3E96"/>
    <w:rsid w:val="001F4597"/>
    <w:rsid w:val="001F55D7"/>
    <w:rsid w:val="001F7A31"/>
    <w:rsid w:val="00200D15"/>
    <w:rsid w:val="002029EF"/>
    <w:rsid w:val="00203074"/>
    <w:rsid w:val="00205103"/>
    <w:rsid w:val="00207730"/>
    <w:rsid w:val="00210400"/>
    <w:rsid w:val="00210CC2"/>
    <w:rsid w:val="00210F5B"/>
    <w:rsid w:val="00211036"/>
    <w:rsid w:val="00211262"/>
    <w:rsid w:val="002113A7"/>
    <w:rsid w:val="00211636"/>
    <w:rsid w:val="00211AC9"/>
    <w:rsid w:val="00212A98"/>
    <w:rsid w:val="0021355B"/>
    <w:rsid w:val="00214ED2"/>
    <w:rsid w:val="002155A9"/>
    <w:rsid w:val="002156B9"/>
    <w:rsid w:val="002200D8"/>
    <w:rsid w:val="002205F2"/>
    <w:rsid w:val="0022080E"/>
    <w:rsid w:val="0022139E"/>
    <w:rsid w:val="0022160A"/>
    <w:rsid w:val="0022272B"/>
    <w:rsid w:val="00222A99"/>
    <w:rsid w:val="00223667"/>
    <w:rsid w:val="00223678"/>
    <w:rsid w:val="00223E00"/>
    <w:rsid w:val="00223F33"/>
    <w:rsid w:val="00224911"/>
    <w:rsid w:val="002252E0"/>
    <w:rsid w:val="002255F6"/>
    <w:rsid w:val="00226466"/>
    <w:rsid w:val="00227993"/>
    <w:rsid w:val="0023229C"/>
    <w:rsid w:val="00232351"/>
    <w:rsid w:val="002329C3"/>
    <w:rsid w:val="00233472"/>
    <w:rsid w:val="00234111"/>
    <w:rsid w:val="00234280"/>
    <w:rsid w:val="002350E3"/>
    <w:rsid w:val="00235AFB"/>
    <w:rsid w:val="00236443"/>
    <w:rsid w:val="00237819"/>
    <w:rsid w:val="00240A5B"/>
    <w:rsid w:val="00241C02"/>
    <w:rsid w:val="00242569"/>
    <w:rsid w:val="0024261F"/>
    <w:rsid w:val="002436BA"/>
    <w:rsid w:val="00243E3B"/>
    <w:rsid w:val="002441B6"/>
    <w:rsid w:val="002444ED"/>
    <w:rsid w:val="00244A15"/>
    <w:rsid w:val="00244D40"/>
    <w:rsid w:val="0024620F"/>
    <w:rsid w:val="00246AE9"/>
    <w:rsid w:val="0024799E"/>
    <w:rsid w:val="0025186A"/>
    <w:rsid w:val="00251879"/>
    <w:rsid w:val="00251D59"/>
    <w:rsid w:val="00252FDC"/>
    <w:rsid w:val="00253719"/>
    <w:rsid w:val="002544F5"/>
    <w:rsid w:val="002547A6"/>
    <w:rsid w:val="0025540B"/>
    <w:rsid w:val="002555ED"/>
    <w:rsid w:val="002601FC"/>
    <w:rsid w:val="00260FA6"/>
    <w:rsid w:val="00261E29"/>
    <w:rsid w:val="00261E5B"/>
    <w:rsid w:val="00263470"/>
    <w:rsid w:val="00263733"/>
    <w:rsid w:val="002641A7"/>
    <w:rsid w:val="002650C1"/>
    <w:rsid w:val="00265536"/>
    <w:rsid w:val="00266591"/>
    <w:rsid w:val="00266F3E"/>
    <w:rsid w:val="0027227B"/>
    <w:rsid w:val="00272464"/>
    <w:rsid w:val="002727EA"/>
    <w:rsid w:val="00273DCD"/>
    <w:rsid w:val="00274291"/>
    <w:rsid w:val="00276CFE"/>
    <w:rsid w:val="00277071"/>
    <w:rsid w:val="0027786C"/>
    <w:rsid w:val="00281416"/>
    <w:rsid w:val="00283D2E"/>
    <w:rsid w:val="00284F79"/>
    <w:rsid w:val="002852C6"/>
    <w:rsid w:val="00285CD3"/>
    <w:rsid w:val="0028686A"/>
    <w:rsid w:val="00286E66"/>
    <w:rsid w:val="00290910"/>
    <w:rsid w:val="002911C8"/>
    <w:rsid w:val="002919B5"/>
    <w:rsid w:val="00293441"/>
    <w:rsid w:val="00293FEA"/>
    <w:rsid w:val="0029493E"/>
    <w:rsid w:val="00296C2E"/>
    <w:rsid w:val="002A1B05"/>
    <w:rsid w:val="002A2083"/>
    <w:rsid w:val="002A3BD5"/>
    <w:rsid w:val="002A4277"/>
    <w:rsid w:val="002A43A2"/>
    <w:rsid w:val="002A4612"/>
    <w:rsid w:val="002A4FBE"/>
    <w:rsid w:val="002A5263"/>
    <w:rsid w:val="002A659A"/>
    <w:rsid w:val="002A6821"/>
    <w:rsid w:val="002A6841"/>
    <w:rsid w:val="002A74D2"/>
    <w:rsid w:val="002B28A4"/>
    <w:rsid w:val="002B342C"/>
    <w:rsid w:val="002B36C8"/>
    <w:rsid w:val="002B3DAF"/>
    <w:rsid w:val="002B7240"/>
    <w:rsid w:val="002B798E"/>
    <w:rsid w:val="002B79A0"/>
    <w:rsid w:val="002B7EC1"/>
    <w:rsid w:val="002C055E"/>
    <w:rsid w:val="002C43BD"/>
    <w:rsid w:val="002C5261"/>
    <w:rsid w:val="002C6091"/>
    <w:rsid w:val="002C69FA"/>
    <w:rsid w:val="002D0562"/>
    <w:rsid w:val="002D1B5A"/>
    <w:rsid w:val="002D22B5"/>
    <w:rsid w:val="002D3EE3"/>
    <w:rsid w:val="002D5E94"/>
    <w:rsid w:val="002D632D"/>
    <w:rsid w:val="002D7CA9"/>
    <w:rsid w:val="002E02A1"/>
    <w:rsid w:val="002E1C6A"/>
    <w:rsid w:val="002E1DE4"/>
    <w:rsid w:val="002E2CE4"/>
    <w:rsid w:val="002E7C20"/>
    <w:rsid w:val="002F1DB9"/>
    <w:rsid w:val="002F33F7"/>
    <w:rsid w:val="002F33FB"/>
    <w:rsid w:val="002F3C26"/>
    <w:rsid w:val="002F46A9"/>
    <w:rsid w:val="002F47F3"/>
    <w:rsid w:val="002F7C73"/>
    <w:rsid w:val="00300B28"/>
    <w:rsid w:val="00300E9F"/>
    <w:rsid w:val="00301357"/>
    <w:rsid w:val="003016B0"/>
    <w:rsid w:val="00301D04"/>
    <w:rsid w:val="00303FCA"/>
    <w:rsid w:val="003046B3"/>
    <w:rsid w:val="00304771"/>
    <w:rsid w:val="003048B8"/>
    <w:rsid w:val="00305736"/>
    <w:rsid w:val="00306C5B"/>
    <w:rsid w:val="0030780B"/>
    <w:rsid w:val="003078E0"/>
    <w:rsid w:val="003103DA"/>
    <w:rsid w:val="0031223A"/>
    <w:rsid w:val="00312C3D"/>
    <w:rsid w:val="00314331"/>
    <w:rsid w:val="00316C55"/>
    <w:rsid w:val="00317C76"/>
    <w:rsid w:val="00320214"/>
    <w:rsid w:val="003209D6"/>
    <w:rsid w:val="0032109A"/>
    <w:rsid w:val="0032214F"/>
    <w:rsid w:val="00322164"/>
    <w:rsid w:val="003229E0"/>
    <w:rsid w:val="003247BB"/>
    <w:rsid w:val="00324F61"/>
    <w:rsid w:val="0032513D"/>
    <w:rsid w:val="00326251"/>
    <w:rsid w:val="0032697E"/>
    <w:rsid w:val="00327290"/>
    <w:rsid w:val="00327DEE"/>
    <w:rsid w:val="00331BAC"/>
    <w:rsid w:val="003329CF"/>
    <w:rsid w:val="003329F3"/>
    <w:rsid w:val="00332E05"/>
    <w:rsid w:val="00333234"/>
    <w:rsid w:val="0033352E"/>
    <w:rsid w:val="00333690"/>
    <w:rsid w:val="00333D20"/>
    <w:rsid w:val="003340EF"/>
    <w:rsid w:val="00334A49"/>
    <w:rsid w:val="00334C45"/>
    <w:rsid w:val="00335BB0"/>
    <w:rsid w:val="0033627B"/>
    <w:rsid w:val="00336EAA"/>
    <w:rsid w:val="003406BD"/>
    <w:rsid w:val="00343D5B"/>
    <w:rsid w:val="00343F84"/>
    <w:rsid w:val="00344135"/>
    <w:rsid w:val="00347DF6"/>
    <w:rsid w:val="00350B0A"/>
    <w:rsid w:val="00350DED"/>
    <w:rsid w:val="00351A67"/>
    <w:rsid w:val="00351B63"/>
    <w:rsid w:val="00352B72"/>
    <w:rsid w:val="00352D04"/>
    <w:rsid w:val="00352E57"/>
    <w:rsid w:val="00353A57"/>
    <w:rsid w:val="00353E12"/>
    <w:rsid w:val="003541B0"/>
    <w:rsid w:val="00354366"/>
    <w:rsid w:val="00355885"/>
    <w:rsid w:val="0035605E"/>
    <w:rsid w:val="00357449"/>
    <w:rsid w:val="00360712"/>
    <w:rsid w:val="00361918"/>
    <w:rsid w:val="0036238B"/>
    <w:rsid w:val="0036282B"/>
    <w:rsid w:val="00365680"/>
    <w:rsid w:val="003657F3"/>
    <w:rsid w:val="00365A32"/>
    <w:rsid w:val="00370362"/>
    <w:rsid w:val="00370C57"/>
    <w:rsid w:val="003723F7"/>
    <w:rsid w:val="00374B10"/>
    <w:rsid w:val="00374F1E"/>
    <w:rsid w:val="00375F77"/>
    <w:rsid w:val="00376DEC"/>
    <w:rsid w:val="00377A5A"/>
    <w:rsid w:val="00380E04"/>
    <w:rsid w:val="00382658"/>
    <w:rsid w:val="00384D8F"/>
    <w:rsid w:val="00385D98"/>
    <w:rsid w:val="00385EC5"/>
    <w:rsid w:val="0038634F"/>
    <w:rsid w:val="00386BD0"/>
    <w:rsid w:val="0039066E"/>
    <w:rsid w:val="0039073D"/>
    <w:rsid w:val="00391689"/>
    <w:rsid w:val="00391C95"/>
    <w:rsid w:val="0039268B"/>
    <w:rsid w:val="00393241"/>
    <w:rsid w:val="00394659"/>
    <w:rsid w:val="00395378"/>
    <w:rsid w:val="00396593"/>
    <w:rsid w:val="00396DAC"/>
    <w:rsid w:val="003A0214"/>
    <w:rsid w:val="003A098C"/>
    <w:rsid w:val="003A0D5B"/>
    <w:rsid w:val="003A180C"/>
    <w:rsid w:val="003A1D17"/>
    <w:rsid w:val="003A1D74"/>
    <w:rsid w:val="003A2708"/>
    <w:rsid w:val="003A2B4D"/>
    <w:rsid w:val="003A2D2B"/>
    <w:rsid w:val="003A30EF"/>
    <w:rsid w:val="003A3B1C"/>
    <w:rsid w:val="003A478C"/>
    <w:rsid w:val="003A49F1"/>
    <w:rsid w:val="003A4F82"/>
    <w:rsid w:val="003A5525"/>
    <w:rsid w:val="003A6B38"/>
    <w:rsid w:val="003B0002"/>
    <w:rsid w:val="003B1109"/>
    <w:rsid w:val="003B1454"/>
    <w:rsid w:val="003B2E63"/>
    <w:rsid w:val="003B3189"/>
    <w:rsid w:val="003B3932"/>
    <w:rsid w:val="003B39C4"/>
    <w:rsid w:val="003B3A9D"/>
    <w:rsid w:val="003B4102"/>
    <w:rsid w:val="003B4442"/>
    <w:rsid w:val="003B5031"/>
    <w:rsid w:val="003B50F0"/>
    <w:rsid w:val="003B5A32"/>
    <w:rsid w:val="003B6105"/>
    <w:rsid w:val="003B6C43"/>
    <w:rsid w:val="003B7F51"/>
    <w:rsid w:val="003C03C7"/>
    <w:rsid w:val="003C04C4"/>
    <w:rsid w:val="003C0CB8"/>
    <w:rsid w:val="003C20E8"/>
    <w:rsid w:val="003C26F4"/>
    <w:rsid w:val="003C383F"/>
    <w:rsid w:val="003C4852"/>
    <w:rsid w:val="003C6715"/>
    <w:rsid w:val="003C6F0F"/>
    <w:rsid w:val="003C7D80"/>
    <w:rsid w:val="003D030B"/>
    <w:rsid w:val="003D34B4"/>
    <w:rsid w:val="003D3600"/>
    <w:rsid w:val="003D3825"/>
    <w:rsid w:val="003D4760"/>
    <w:rsid w:val="003D4E62"/>
    <w:rsid w:val="003E0663"/>
    <w:rsid w:val="003E133F"/>
    <w:rsid w:val="003E193E"/>
    <w:rsid w:val="003E31B2"/>
    <w:rsid w:val="003E41E3"/>
    <w:rsid w:val="003E59FD"/>
    <w:rsid w:val="003E68BC"/>
    <w:rsid w:val="003E699C"/>
    <w:rsid w:val="003E69F3"/>
    <w:rsid w:val="003E7136"/>
    <w:rsid w:val="003E782E"/>
    <w:rsid w:val="003E7A0B"/>
    <w:rsid w:val="003E7B05"/>
    <w:rsid w:val="003F2B0A"/>
    <w:rsid w:val="003F313C"/>
    <w:rsid w:val="003F37FC"/>
    <w:rsid w:val="003F3FC2"/>
    <w:rsid w:val="003F49A6"/>
    <w:rsid w:val="003F4E1F"/>
    <w:rsid w:val="003F5098"/>
    <w:rsid w:val="003F5568"/>
    <w:rsid w:val="003F5A95"/>
    <w:rsid w:val="003F6D19"/>
    <w:rsid w:val="004000D5"/>
    <w:rsid w:val="00401716"/>
    <w:rsid w:val="00401B7F"/>
    <w:rsid w:val="00401CA8"/>
    <w:rsid w:val="00402C25"/>
    <w:rsid w:val="00403598"/>
    <w:rsid w:val="00403697"/>
    <w:rsid w:val="004050D7"/>
    <w:rsid w:val="00405E1A"/>
    <w:rsid w:val="00407373"/>
    <w:rsid w:val="004078BD"/>
    <w:rsid w:val="00410132"/>
    <w:rsid w:val="004109BF"/>
    <w:rsid w:val="0041187E"/>
    <w:rsid w:val="004123BE"/>
    <w:rsid w:val="00414CE5"/>
    <w:rsid w:val="00416673"/>
    <w:rsid w:val="004168FC"/>
    <w:rsid w:val="004170FE"/>
    <w:rsid w:val="00417C5B"/>
    <w:rsid w:val="00420A35"/>
    <w:rsid w:val="0042160D"/>
    <w:rsid w:val="004223D7"/>
    <w:rsid w:val="00422776"/>
    <w:rsid w:val="0042681B"/>
    <w:rsid w:val="00426CEE"/>
    <w:rsid w:val="004274DD"/>
    <w:rsid w:val="0043068A"/>
    <w:rsid w:val="004306E0"/>
    <w:rsid w:val="00431862"/>
    <w:rsid w:val="004329BE"/>
    <w:rsid w:val="00434FA3"/>
    <w:rsid w:val="00435D30"/>
    <w:rsid w:val="004360E1"/>
    <w:rsid w:val="00436125"/>
    <w:rsid w:val="0043752B"/>
    <w:rsid w:val="00437C76"/>
    <w:rsid w:val="00442AAC"/>
    <w:rsid w:val="004441A0"/>
    <w:rsid w:val="004443BF"/>
    <w:rsid w:val="00446892"/>
    <w:rsid w:val="00450C30"/>
    <w:rsid w:val="00451A03"/>
    <w:rsid w:val="00455ECA"/>
    <w:rsid w:val="00460164"/>
    <w:rsid w:val="004601C1"/>
    <w:rsid w:val="0046039A"/>
    <w:rsid w:val="00461977"/>
    <w:rsid w:val="00461A44"/>
    <w:rsid w:val="004629FD"/>
    <w:rsid w:val="00463F4D"/>
    <w:rsid w:val="004643C6"/>
    <w:rsid w:val="00465019"/>
    <w:rsid w:val="0046613F"/>
    <w:rsid w:val="0046655D"/>
    <w:rsid w:val="00466B34"/>
    <w:rsid w:val="00467606"/>
    <w:rsid w:val="0046765E"/>
    <w:rsid w:val="004676E2"/>
    <w:rsid w:val="004701B6"/>
    <w:rsid w:val="00470CC7"/>
    <w:rsid w:val="00470CCA"/>
    <w:rsid w:val="00470F69"/>
    <w:rsid w:val="00471EDD"/>
    <w:rsid w:val="0047400C"/>
    <w:rsid w:val="004749D9"/>
    <w:rsid w:val="00476D29"/>
    <w:rsid w:val="00477A06"/>
    <w:rsid w:val="00477EAF"/>
    <w:rsid w:val="00477EE0"/>
    <w:rsid w:val="004801DD"/>
    <w:rsid w:val="00480FAB"/>
    <w:rsid w:val="0048139F"/>
    <w:rsid w:val="004827FE"/>
    <w:rsid w:val="00483ABA"/>
    <w:rsid w:val="00486283"/>
    <w:rsid w:val="004879E9"/>
    <w:rsid w:val="004902E2"/>
    <w:rsid w:val="00490988"/>
    <w:rsid w:val="00491218"/>
    <w:rsid w:val="00493362"/>
    <w:rsid w:val="00493907"/>
    <w:rsid w:val="00494D91"/>
    <w:rsid w:val="00494FA0"/>
    <w:rsid w:val="00495C38"/>
    <w:rsid w:val="00495D8B"/>
    <w:rsid w:val="00496C2F"/>
    <w:rsid w:val="0049740D"/>
    <w:rsid w:val="004A269A"/>
    <w:rsid w:val="004A29F2"/>
    <w:rsid w:val="004A30FB"/>
    <w:rsid w:val="004A35DD"/>
    <w:rsid w:val="004A37D3"/>
    <w:rsid w:val="004A48EE"/>
    <w:rsid w:val="004A5864"/>
    <w:rsid w:val="004A5865"/>
    <w:rsid w:val="004A5972"/>
    <w:rsid w:val="004A6C74"/>
    <w:rsid w:val="004A77DF"/>
    <w:rsid w:val="004B0295"/>
    <w:rsid w:val="004B040D"/>
    <w:rsid w:val="004B3CB7"/>
    <w:rsid w:val="004B3D55"/>
    <w:rsid w:val="004B55B7"/>
    <w:rsid w:val="004B6337"/>
    <w:rsid w:val="004B7046"/>
    <w:rsid w:val="004C00A6"/>
    <w:rsid w:val="004C0BBB"/>
    <w:rsid w:val="004C3867"/>
    <w:rsid w:val="004C3A73"/>
    <w:rsid w:val="004C4CD0"/>
    <w:rsid w:val="004C57B5"/>
    <w:rsid w:val="004C5C25"/>
    <w:rsid w:val="004C5EFF"/>
    <w:rsid w:val="004C6CFF"/>
    <w:rsid w:val="004C6ED6"/>
    <w:rsid w:val="004C70DC"/>
    <w:rsid w:val="004C7268"/>
    <w:rsid w:val="004D0211"/>
    <w:rsid w:val="004D1AEF"/>
    <w:rsid w:val="004D1C9C"/>
    <w:rsid w:val="004D504B"/>
    <w:rsid w:val="004D536E"/>
    <w:rsid w:val="004D5A97"/>
    <w:rsid w:val="004D726E"/>
    <w:rsid w:val="004E0040"/>
    <w:rsid w:val="004E1494"/>
    <w:rsid w:val="004E18BB"/>
    <w:rsid w:val="004E4116"/>
    <w:rsid w:val="004E4A75"/>
    <w:rsid w:val="004E4AC0"/>
    <w:rsid w:val="004E541A"/>
    <w:rsid w:val="004E5A5C"/>
    <w:rsid w:val="004E5B4E"/>
    <w:rsid w:val="004E5FE8"/>
    <w:rsid w:val="004E762E"/>
    <w:rsid w:val="004E76D6"/>
    <w:rsid w:val="004E7AF6"/>
    <w:rsid w:val="004F03A7"/>
    <w:rsid w:val="004F06F5"/>
    <w:rsid w:val="004F146A"/>
    <w:rsid w:val="004F191F"/>
    <w:rsid w:val="004F2A73"/>
    <w:rsid w:val="004F2D3A"/>
    <w:rsid w:val="004F33A0"/>
    <w:rsid w:val="004F447D"/>
    <w:rsid w:val="004F4C28"/>
    <w:rsid w:val="004F5CC5"/>
    <w:rsid w:val="004F7D36"/>
    <w:rsid w:val="005016AC"/>
    <w:rsid w:val="00501ABE"/>
    <w:rsid w:val="0050286E"/>
    <w:rsid w:val="00504FF6"/>
    <w:rsid w:val="005058A8"/>
    <w:rsid w:val="00505923"/>
    <w:rsid w:val="00510189"/>
    <w:rsid w:val="005108C0"/>
    <w:rsid w:val="00511873"/>
    <w:rsid w:val="0051266C"/>
    <w:rsid w:val="00512F27"/>
    <w:rsid w:val="00513818"/>
    <w:rsid w:val="00513B7E"/>
    <w:rsid w:val="00513C6F"/>
    <w:rsid w:val="00514474"/>
    <w:rsid w:val="005172F4"/>
    <w:rsid w:val="005202E0"/>
    <w:rsid w:val="005215EF"/>
    <w:rsid w:val="00521CC7"/>
    <w:rsid w:val="00522CB5"/>
    <w:rsid w:val="005231C6"/>
    <w:rsid w:val="00525137"/>
    <w:rsid w:val="005251DD"/>
    <w:rsid w:val="0053017A"/>
    <w:rsid w:val="00530492"/>
    <w:rsid w:val="00530FEF"/>
    <w:rsid w:val="00532AB1"/>
    <w:rsid w:val="00532C18"/>
    <w:rsid w:val="005339BC"/>
    <w:rsid w:val="00534675"/>
    <w:rsid w:val="00535359"/>
    <w:rsid w:val="005357A2"/>
    <w:rsid w:val="00535A51"/>
    <w:rsid w:val="00535BCB"/>
    <w:rsid w:val="00535EF0"/>
    <w:rsid w:val="00537171"/>
    <w:rsid w:val="0053734B"/>
    <w:rsid w:val="005378BB"/>
    <w:rsid w:val="00537AFD"/>
    <w:rsid w:val="00537CB4"/>
    <w:rsid w:val="00540A0C"/>
    <w:rsid w:val="00540BBC"/>
    <w:rsid w:val="005426C1"/>
    <w:rsid w:val="005431DC"/>
    <w:rsid w:val="00544EA1"/>
    <w:rsid w:val="00544EBB"/>
    <w:rsid w:val="005513D5"/>
    <w:rsid w:val="005523B9"/>
    <w:rsid w:val="00552887"/>
    <w:rsid w:val="00553225"/>
    <w:rsid w:val="00553D09"/>
    <w:rsid w:val="005545E0"/>
    <w:rsid w:val="00554865"/>
    <w:rsid w:val="00554E57"/>
    <w:rsid w:val="005550E9"/>
    <w:rsid w:val="00555182"/>
    <w:rsid w:val="00561CBF"/>
    <w:rsid w:val="00562749"/>
    <w:rsid w:val="00562DE9"/>
    <w:rsid w:val="005638A5"/>
    <w:rsid w:val="00566381"/>
    <w:rsid w:val="0056667C"/>
    <w:rsid w:val="00566A03"/>
    <w:rsid w:val="00566C62"/>
    <w:rsid w:val="005718E3"/>
    <w:rsid w:val="00572DA2"/>
    <w:rsid w:val="00572EA7"/>
    <w:rsid w:val="00574240"/>
    <w:rsid w:val="0057459E"/>
    <w:rsid w:val="00574F14"/>
    <w:rsid w:val="00575CDC"/>
    <w:rsid w:val="0058053D"/>
    <w:rsid w:val="00580E2E"/>
    <w:rsid w:val="00582178"/>
    <w:rsid w:val="00582677"/>
    <w:rsid w:val="00583078"/>
    <w:rsid w:val="00583D5B"/>
    <w:rsid w:val="00583FFD"/>
    <w:rsid w:val="00587CCD"/>
    <w:rsid w:val="00590528"/>
    <w:rsid w:val="005908AE"/>
    <w:rsid w:val="0059176E"/>
    <w:rsid w:val="00591A22"/>
    <w:rsid w:val="005925A8"/>
    <w:rsid w:val="00593152"/>
    <w:rsid w:val="00593CA3"/>
    <w:rsid w:val="00594161"/>
    <w:rsid w:val="005947A6"/>
    <w:rsid w:val="00594969"/>
    <w:rsid w:val="00594EAA"/>
    <w:rsid w:val="00596A83"/>
    <w:rsid w:val="00596C5E"/>
    <w:rsid w:val="005977BA"/>
    <w:rsid w:val="00597827"/>
    <w:rsid w:val="0059787F"/>
    <w:rsid w:val="00597C5E"/>
    <w:rsid w:val="005A08BD"/>
    <w:rsid w:val="005A1CEC"/>
    <w:rsid w:val="005A21E0"/>
    <w:rsid w:val="005A33A1"/>
    <w:rsid w:val="005A54EE"/>
    <w:rsid w:val="005A5884"/>
    <w:rsid w:val="005A6E4A"/>
    <w:rsid w:val="005A7500"/>
    <w:rsid w:val="005B1BDB"/>
    <w:rsid w:val="005B310D"/>
    <w:rsid w:val="005B3247"/>
    <w:rsid w:val="005B3409"/>
    <w:rsid w:val="005B34D1"/>
    <w:rsid w:val="005B4A14"/>
    <w:rsid w:val="005B55C6"/>
    <w:rsid w:val="005B6AFE"/>
    <w:rsid w:val="005B7B12"/>
    <w:rsid w:val="005C1D5E"/>
    <w:rsid w:val="005C2412"/>
    <w:rsid w:val="005C3F9F"/>
    <w:rsid w:val="005C4A94"/>
    <w:rsid w:val="005C53CB"/>
    <w:rsid w:val="005C59F6"/>
    <w:rsid w:val="005C760A"/>
    <w:rsid w:val="005C7F1E"/>
    <w:rsid w:val="005D1508"/>
    <w:rsid w:val="005D1AF2"/>
    <w:rsid w:val="005D4067"/>
    <w:rsid w:val="005D5802"/>
    <w:rsid w:val="005D5A35"/>
    <w:rsid w:val="005D5B8F"/>
    <w:rsid w:val="005D5D32"/>
    <w:rsid w:val="005D6CFC"/>
    <w:rsid w:val="005D73E2"/>
    <w:rsid w:val="005E0D10"/>
    <w:rsid w:val="005E1E4B"/>
    <w:rsid w:val="005E24EF"/>
    <w:rsid w:val="005E362D"/>
    <w:rsid w:val="005E492C"/>
    <w:rsid w:val="005E4BAA"/>
    <w:rsid w:val="005E5B56"/>
    <w:rsid w:val="005E6B78"/>
    <w:rsid w:val="005F2F28"/>
    <w:rsid w:val="005F4057"/>
    <w:rsid w:val="005F4088"/>
    <w:rsid w:val="005F4CFA"/>
    <w:rsid w:val="005F6119"/>
    <w:rsid w:val="00600A3D"/>
    <w:rsid w:val="0060107A"/>
    <w:rsid w:val="0060154D"/>
    <w:rsid w:val="00601AFF"/>
    <w:rsid w:val="00602D1D"/>
    <w:rsid w:val="006038F7"/>
    <w:rsid w:val="00604307"/>
    <w:rsid w:val="0060487F"/>
    <w:rsid w:val="006059EB"/>
    <w:rsid w:val="00606B93"/>
    <w:rsid w:val="006118AA"/>
    <w:rsid w:val="00612CCA"/>
    <w:rsid w:val="00614460"/>
    <w:rsid w:val="006148B8"/>
    <w:rsid w:val="006153E3"/>
    <w:rsid w:val="006158DF"/>
    <w:rsid w:val="00616CD8"/>
    <w:rsid w:val="00617D2D"/>
    <w:rsid w:val="00617D83"/>
    <w:rsid w:val="00617F45"/>
    <w:rsid w:val="0062002F"/>
    <w:rsid w:val="00620AC5"/>
    <w:rsid w:val="00621575"/>
    <w:rsid w:val="006215FC"/>
    <w:rsid w:val="0062290D"/>
    <w:rsid w:val="00624093"/>
    <w:rsid w:val="00626CE6"/>
    <w:rsid w:val="00627CE0"/>
    <w:rsid w:val="00630F66"/>
    <w:rsid w:val="0063332A"/>
    <w:rsid w:val="006347F9"/>
    <w:rsid w:val="00634C90"/>
    <w:rsid w:val="00635E79"/>
    <w:rsid w:val="0063756F"/>
    <w:rsid w:val="006404A7"/>
    <w:rsid w:val="006407F3"/>
    <w:rsid w:val="00640C2B"/>
    <w:rsid w:val="00642977"/>
    <w:rsid w:val="00643175"/>
    <w:rsid w:val="00644C5B"/>
    <w:rsid w:val="006451E4"/>
    <w:rsid w:val="006460B8"/>
    <w:rsid w:val="00651D5D"/>
    <w:rsid w:val="006520C7"/>
    <w:rsid w:val="006530B8"/>
    <w:rsid w:val="006535D6"/>
    <w:rsid w:val="00655F7D"/>
    <w:rsid w:val="00657E87"/>
    <w:rsid w:val="00660206"/>
    <w:rsid w:val="00660265"/>
    <w:rsid w:val="00660457"/>
    <w:rsid w:val="00660E1E"/>
    <w:rsid w:val="00663662"/>
    <w:rsid w:val="006637B1"/>
    <w:rsid w:val="00664C40"/>
    <w:rsid w:val="00665D67"/>
    <w:rsid w:val="00665D77"/>
    <w:rsid w:val="006660CD"/>
    <w:rsid w:val="00667556"/>
    <w:rsid w:val="006676D0"/>
    <w:rsid w:val="00667C83"/>
    <w:rsid w:val="00670300"/>
    <w:rsid w:val="006710C9"/>
    <w:rsid w:val="00671437"/>
    <w:rsid w:val="00675120"/>
    <w:rsid w:val="00675E37"/>
    <w:rsid w:val="00676E82"/>
    <w:rsid w:val="00680292"/>
    <w:rsid w:val="0068260E"/>
    <w:rsid w:val="0068373D"/>
    <w:rsid w:val="00683BFE"/>
    <w:rsid w:val="0068416C"/>
    <w:rsid w:val="00685E66"/>
    <w:rsid w:val="0068672C"/>
    <w:rsid w:val="00686B72"/>
    <w:rsid w:val="00686D87"/>
    <w:rsid w:val="00690A09"/>
    <w:rsid w:val="00693FEA"/>
    <w:rsid w:val="006945DF"/>
    <w:rsid w:val="00694B93"/>
    <w:rsid w:val="00695170"/>
    <w:rsid w:val="00695BEF"/>
    <w:rsid w:val="006960D6"/>
    <w:rsid w:val="00696AA5"/>
    <w:rsid w:val="006977F6"/>
    <w:rsid w:val="00697A13"/>
    <w:rsid w:val="006A0436"/>
    <w:rsid w:val="006A109C"/>
    <w:rsid w:val="006A23BA"/>
    <w:rsid w:val="006A2B36"/>
    <w:rsid w:val="006A3B4D"/>
    <w:rsid w:val="006A456E"/>
    <w:rsid w:val="006A672B"/>
    <w:rsid w:val="006B05C6"/>
    <w:rsid w:val="006B0BC1"/>
    <w:rsid w:val="006B2EE3"/>
    <w:rsid w:val="006B3F8A"/>
    <w:rsid w:val="006B5CA3"/>
    <w:rsid w:val="006B6A7E"/>
    <w:rsid w:val="006B78D8"/>
    <w:rsid w:val="006C090F"/>
    <w:rsid w:val="006C113F"/>
    <w:rsid w:val="006C2A26"/>
    <w:rsid w:val="006C38DD"/>
    <w:rsid w:val="006C4BB5"/>
    <w:rsid w:val="006C5561"/>
    <w:rsid w:val="006C5577"/>
    <w:rsid w:val="006C559A"/>
    <w:rsid w:val="006C58FA"/>
    <w:rsid w:val="006D042D"/>
    <w:rsid w:val="006D06EF"/>
    <w:rsid w:val="006D090F"/>
    <w:rsid w:val="006D15EB"/>
    <w:rsid w:val="006D1D8E"/>
    <w:rsid w:val="006D41A6"/>
    <w:rsid w:val="006D61F6"/>
    <w:rsid w:val="006D6AF7"/>
    <w:rsid w:val="006E157B"/>
    <w:rsid w:val="006E15CB"/>
    <w:rsid w:val="006E1F4C"/>
    <w:rsid w:val="006E279A"/>
    <w:rsid w:val="006E2964"/>
    <w:rsid w:val="006E2F3F"/>
    <w:rsid w:val="006E313B"/>
    <w:rsid w:val="006E32B9"/>
    <w:rsid w:val="006E442A"/>
    <w:rsid w:val="006E5875"/>
    <w:rsid w:val="006E5CFD"/>
    <w:rsid w:val="006E5F51"/>
    <w:rsid w:val="006E6701"/>
    <w:rsid w:val="006E73B9"/>
    <w:rsid w:val="006F1E27"/>
    <w:rsid w:val="006F2BEE"/>
    <w:rsid w:val="006F3708"/>
    <w:rsid w:val="006F38BB"/>
    <w:rsid w:val="006F3E6B"/>
    <w:rsid w:val="006F4A59"/>
    <w:rsid w:val="006F4D1E"/>
    <w:rsid w:val="006F756C"/>
    <w:rsid w:val="006F75D2"/>
    <w:rsid w:val="007004E0"/>
    <w:rsid w:val="00700C69"/>
    <w:rsid w:val="007014C7"/>
    <w:rsid w:val="00701F7D"/>
    <w:rsid w:val="00702D6F"/>
    <w:rsid w:val="007054B9"/>
    <w:rsid w:val="007058F0"/>
    <w:rsid w:val="00705D98"/>
    <w:rsid w:val="00706E5E"/>
    <w:rsid w:val="00707891"/>
    <w:rsid w:val="007115E4"/>
    <w:rsid w:val="00711EF1"/>
    <w:rsid w:val="0071229A"/>
    <w:rsid w:val="007146CC"/>
    <w:rsid w:val="00720FA2"/>
    <w:rsid w:val="007211F5"/>
    <w:rsid w:val="0072459F"/>
    <w:rsid w:val="00724666"/>
    <w:rsid w:val="007253C1"/>
    <w:rsid w:val="00725534"/>
    <w:rsid w:val="00726043"/>
    <w:rsid w:val="0072704A"/>
    <w:rsid w:val="00730AE8"/>
    <w:rsid w:val="00734321"/>
    <w:rsid w:val="007351BA"/>
    <w:rsid w:val="007363A9"/>
    <w:rsid w:val="00736EB6"/>
    <w:rsid w:val="00740652"/>
    <w:rsid w:val="00740F02"/>
    <w:rsid w:val="00740FEC"/>
    <w:rsid w:val="00741493"/>
    <w:rsid w:val="007426B3"/>
    <w:rsid w:val="007426FD"/>
    <w:rsid w:val="00744376"/>
    <w:rsid w:val="007449EA"/>
    <w:rsid w:val="007457CF"/>
    <w:rsid w:val="00746DD9"/>
    <w:rsid w:val="00750310"/>
    <w:rsid w:val="0075057A"/>
    <w:rsid w:val="00751771"/>
    <w:rsid w:val="00751EA2"/>
    <w:rsid w:val="00752180"/>
    <w:rsid w:val="007521A1"/>
    <w:rsid w:val="0075245C"/>
    <w:rsid w:val="0075315D"/>
    <w:rsid w:val="00754253"/>
    <w:rsid w:val="007558D3"/>
    <w:rsid w:val="00755D3A"/>
    <w:rsid w:val="00755E71"/>
    <w:rsid w:val="007563E7"/>
    <w:rsid w:val="00756B64"/>
    <w:rsid w:val="00760141"/>
    <w:rsid w:val="007609C6"/>
    <w:rsid w:val="007610A0"/>
    <w:rsid w:val="007620F2"/>
    <w:rsid w:val="00764561"/>
    <w:rsid w:val="00764664"/>
    <w:rsid w:val="007655B1"/>
    <w:rsid w:val="007657B9"/>
    <w:rsid w:val="00765CCE"/>
    <w:rsid w:val="007674C6"/>
    <w:rsid w:val="00771236"/>
    <w:rsid w:val="00772F26"/>
    <w:rsid w:val="00774665"/>
    <w:rsid w:val="00774782"/>
    <w:rsid w:val="00776527"/>
    <w:rsid w:val="00780B8F"/>
    <w:rsid w:val="00781834"/>
    <w:rsid w:val="00781FA0"/>
    <w:rsid w:val="007821DB"/>
    <w:rsid w:val="00782818"/>
    <w:rsid w:val="007835F2"/>
    <w:rsid w:val="00784C4A"/>
    <w:rsid w:val="0078561F"/>
    <w:rsid w:val="00786303"/>
    <w:rsid w:val="00786DA5"/>
    <w:rsid w:val="00787432"/>
    <w:rsid w:val="007879F2"/>
    <w:rsid w:val="007910AE"/>
    <w:rsid w:val="00791CF8"/>
    <w:rsid w:val="00793BAE"/>
    <w:rsid w:val="00794E0A"/>
    <w:rsid w:val="00796187"/>
    <w:rsid w:val="00796642"/>
    <w:rsid w:val="007977D7"/>
    <w:rsid w:val="00797AD0"/>
    <w:rsid w:val="007A0F38"/>
    <w:rsid w:val="007A155D"/>
    <w:rsid w:val="007A2C57"/>
    <w:rsid w:val="007A327B"/>
    <w:rsid w:val="007A4606"/>
    <w:rsid w:val="007A69E3"/>
    <w:rsid w:val="007A7353"/>
    <w:rsid w:val="007B3DCC"/>
    <w:rsid w:val="007B4518"/>
    <w:rsid w:val="007B5031"/>
    <w:rsid w:val="007B5182"/>
    <w:rsid w:val="007B573F"/>
    <w:rsid w:val="007B6FDA"/>
    <w:rsid w:val="007B7A79"/>
    <w:rsid w:val="007C4691"/>
    <w:rsid w:val="007C471B"/>
    <w:rsid w:val="007C55AE"/>
    <w:rsid w:val="007C6BAA"/>
    <w:rsid w:val="007C7BEA"/>
    <w:rsid w:val="007D2051"/>
    <w:rsid w:val="007D2AD8"/>
    <w:rsid w:val="007D2C47"/>
    <w:rsid w:val="007D44C3"/>
    <w:rsid w:val="007D4885"/>
    <w:rsid w:val="007D7588"/>
    <w:rsid w:val="007E0F4B"/>
    <w:rsid w:val="007E1E50"/>
    <w:rsid w:val="007E386C"/>
    <w:rsid w:val="007E6455"/>
    <w:rsid w:val="007E770F"/>
    <w:rsid w:val="007E7E61"/>
    <w:rsid w:val="007F0845"/>
    <w:rsid w:val="007F141A"/>
    <w:rsid w:val="007F16F9"/>
    <w:rsid w:val="007F5F14"/>
    <w:rsid w:val="007F7B54"/>
    <w:rsid w:val="008005D7"/>
    <w:rsid w:val="00801FDD"/>
    <w:rsid w:val="0080255C"/>
    <w:rsid w:val="00803424"/>
    <w:rsid w:val="00804DDA"/>
    <w:rsid w:val="008056F7"/>
    <w:rsid w:val="008059A4"/>
    <w:rsid w:val="008064E9"/>
    <w:rsid w:val="0080798B"/>
    <w:rsid w:val="00807A2C"/>
    <w:rsid w:val="00810A52"/>
    <w:rsid w:val="00811257"/>
    <w:rsid w:val="0081187C"/>
    <w:rsid w:val="00811E24"/>
    <w:rsid w:val="00812E2B"/>
    <w:rsid w:val="00813A70"/>
    <w:rsid w:val="008155EA"/>
    <w:rsid w:val="00816259"/>
    <w:rsid w:val="0081645F"/>
    <w:rsid w:val="008178C2"/>
    <w:rsid w:val="008178CF"/>
    <w:rsid w:val="00817AE0"/>
    <w:rsid w:val="00817C98"/>
    <w:rsid w:val="00820C9F"/>
    <w:rsid w:val="00821FF6"/>
    <w:rsid w:val="00822495"/>
    <w:rsid w:val="0082409A"/>
    <w:rsid w:val="008241C2"/>
    <w:rsid w:val="008263CD"/>
    <w:rsid w:val="00827181"/>
    <w:rsid w:val="00827746"/>
    <w:rsid w:val="0083143E"/>
    <w:rsid w:val="0083159D"/>
    <w:rsid w:val="008334C5"/>
    <w:rsid w:val="008336D8"/>
    <w:rsid w:val="008339C4"/>
    <w:rsid w:val="008341A6"/>
    <w:rsid w:val="00834996"/>
    <w:rsid w:val="00834F0A"/>
    <w:rsid w:val="00834FAA"/>
    <w:rsid w:val="00835E23"/>
    <w:rsid w:val="00836086"/>
    <w:rsid w:val="008362FF"/>
    <w:rsid w:val="00841D9F"/>
    <w:rsid w:val="00842604"/>
    <w:rsid w:val="00843B81"/>
    <w:rsid w:val="00843D95"/>
    <w:rsid w:val="00843ECF"/>
    <w:rsid w:val="00846673"/>
    <w:rsid w:val="00846BD7"/>
    <w:rsid w:val="008518B7"/>
    <w:rsid w:val="0085281A"/>
    <w:rsid w:val="00853794"/>
    <w:rsid w:val="00853DA2"/>
    <w:rsid w:val="00853EAB"/>
    <w:rsid w:val="00853F4C"/>
    <w:rsid w:val="008545A1"/>
    <w:rsid w:val="00854865"/>
    <w:rsid w:val="008559FE"/>
    <w:rsid w:val="00855A99"/>
    <w:rsid w:val="00857339"/>
    <w:rsid w:val="00860288"/>
    <w:rsid w:val="008615C3"/>
    <w:rsid w:val="00862A7A"/>
    <w:rsid w:val="00863374"/>
    <w:rsid w:val="00863D9E"/>
    <w:rsid w:val="008665C1"/>
    <w:rsid w:val="008666C3"/>
    <w:rsid w:val="00867C4F"/>
    <w:rsid w:val="00867E29"/>
    <w:rsid w:val="008705E3"/>
    <w:rsid w:val="00870F2B"/>
    <w:rsid w:val="00871002"/>
    <w:rsid w:val="0087129A"/>
    <w:rsid w:val="008712FB"/>
    <w:rsid w:val="008715FE"/>
    <w:rsid w:val="00871782"/>
    <w:rsid w:val="008746E6"/>
    <w:rsid w:val="008752D2"/>
    <w:rsid w:val="00876086"/>
    <w:rsid w:val="008768D6"/>
    <w:rsid w:val="00876C5B"/>
    <w:rsid w:val="00877329"/>
    <w:rsid w:val="008775D1"/>
    <w:rsid w:val="008777BB"/>
    <w:rsid w:val="008852B1"/>
    <w:rsid w:val="0088555A"/>
    <w:rsid w:val="008866C2"/>
    <w:rsid w:val="0088733A"/>
    <w:rsid w:val="00887AEB"/>
    <w:rsid w:val="00891BE0"/>
    <w:rsid w:val="008945A1"/>
    <w:rsid w:val="00894A63"/>
    <w:rsid w:val="00895F20"/>
    <w:rsid w:val="0089668D"/>
    <w:rsid w:val="00896BDE"/>
    <w:rsid w:val="00897C0E"/>
    <w:rsid w:val="008A03E6"/>
    <w:rsid w:val="008A0861"/>
    <w:rsid w:val="008A0BB2"/>
    <w:rsid w:val="008A133B"/>
    <w:rsid w:val="008A1A90"/>
    <w:rsid w:val="008A1AB3"/>
    <w:rsid w:val="008A1D5C"/>
    <w:rsid w:val="008A3292"/>
    <w:rsid w:val="008A3A85"/>
    <w:rsid w:val="008A43E9"/>
    <w:rsid w:val="008A4CB1"/>
    <w:rsid w:val="008A5942"/>
    <w:rsid w:val="008A615E"/>
    <w:rsid w:val="008A632B"/>
    <w:rsid w:val="008A6BFE"/>
    <w:rsid w:val="008A7CE6"/>
    <w:rsid w:val="008B0683"/>
    <w:rsid w:val="008B06EF"/>
    <w:rsid w:val="008B0C8B"/>
    <w:rsid w:val="008B190E"/>
    <w:rsid w:val="008B1A8A"/>
    <w:rsid w:val="008B2CB6"/>
    <w:rsid w:val="008B7306"/>
    <w:rsid w:val="008B775F"/>
    <w:rsid w:val="008B7C02"/>
    <w:rsid w:val="008B7EF5"/>
    <w:rsid w:val="008B7F9E"/>
    <w:rsid w:val="008C0E88"/>
    <w:rsid w:val="008C1AA8"/>
    <w:rsid w:val="008C2717"/>
    <w:rsid w:val="008C2E5B"/>
    <w:rsid w:val="008C41F7"/>
    <w:rsid w:val="008C5FBF"/>
    <w:rsid w:val="008C6CB8"/>
    <w:rsid w:val="008C7815"/>
    <w:rsid w:val="008D0171"/>
    <w:rsid w:val="008D0FEC"/>
    <w:rsid w:val="008D0FF8"/>
    <w:rsid w:val="008D2811"/>
    <w:rsid w:val="008D2A16"/>
    <w:rsid w:val="008D2ECF"/>
    <w:rsid w:val="008D39A6"/>
    <w:rsid w:val="008D3F3D"/>
    <w:rsid w:val="008D49DC"/>
    <w:rsid w:val="008D53E3"/>
    <w:rsid w:val="008E30AD"/>
    <w:rsid w:val="008E31FF"/>
    <w:rsid w:val="008E33DD"/>
    <w:rsid w:val="008E517B"/>
    <w:rsid w:val="008E6113"/>
    <w:rsid w:val="008E6AB3"/>
    <w:rsid w:val="008E6AD3"/>
    <w:rsid w:val="008E71A6"/>
    <w:rsid w:val="008E77B6"/>
    <w:rsid w:val="008F032E"/>
    <w:rsid w:val="008F0F14"/>
    <w:rsid w:val="008F2B5D"/>
    <w:rsid w:val="008F371B"/>
    <w:rsid w:val="008F3A22"/>
    <w:rsid w:val="008F3CAE"/>
    <w:rsid w:val="008F41F7"/>
    <w:rsid w:val="008F471F"/>
    <w:rsid w:val="008F4FCE"/>
    <w:rsid w:val="008F79E1"/>
    <w:rsid w:val="008F7D28"/>
    <w:rsid w:val="009003A8"/>
    <w:rsid w:val="00900873"/>
    <w:rsid w:val="00901236"/>
    <w:rsid w:val="00902CBE"/>
    <w:rsid w:val="00902EFF"/>
    <w:rsid w:val="00903E06"/>
    <w:rsid w:val="00905425"/>
    <w:rsid w:val="009065B1"/>
    <w:rsid w:val="00910824"/>
    <w:rsid w:val="00910F93"/>
    <w:rsid w:val="00911F2B"/>
    <w:rsid w:val="00914426"/>
    <w:rsid w:val="00914EE3"/>
    <w:rsid w:val="00915DFE"/>
    <w:rsid w:val="00915F5B"/>
    <w:rsid w:val="0091675F"/>
    <w:rsid w:val="00917709"/>
    <w:rsid w:val="00917918"/>
    <w:rsid w:val="00917FD4"/>
    <w:rsid w:val="00920AC4"/>
    <w:rsid w:val="00921F14"/>
    <w:rsid w:val="009233EB"/>
    <w:rsid w:val="00923BAB"/>
    <w:rsid w:val="00923F10"/>
    <w:rsid w:val="009243A5"/>
    <w:rsid w:val="00925217"/>
    <w:rsid w:val="00925FDB"/>
    <w:rsid w:val="00926283"/>
    <w:rsid w:val="0093181C"/>
    <w:rsid w:val="009329C5"/>
    <w:rsid w:val="00932A93"/>
    <w:rsid w:val="009348E3"/>
    <w:rsid w:val="00934AE3"/>
    <w:rsid w:val="00935835"/>
    <w:rsid w:val="00935B60"/>
    <w:rsid w:val="009362AF"/>
    <w:rsid w:val="00937B11"/>
    <w:rsid w:val="00940F1F"/>
    <w:rsid w:val="00941250"/>
    <w:rsid w:val="00942629"/>
    <w:rsid w:val="0094427A"/>
    <w:rsid w:val="00945578"/>
    <w:rsid w:val="009459C5"/>
    <w:rsid w:val="00946D52"/>
    <w:rsid w:val="0094750F"/>
    <w:rsid w:val="0094760E"/>
    <w:rsid w:val="0095013A"/>
    <w:rsid w:val="00953AEF"/>
    <w:rsid w:val="009551E2"/>
    <w:rsid w:val="00955783"/>
    <w:rsid w:val="00955F37"/>
    <w:rsid w:val="009560B0"/>
    <w:rsid w:val="00957164"/>
    <w:rsid w:val="00957871"/>
    <w:rsid w:val="00960239"/>
    <w:rsid w:val="00964498"/>
    <w:rsid w:val="00965F36"/>
    <w:rsid w:val="0096650F"/>
    <w:rsid w:val="00967184"/>
    <w:rsid w:val="009700DB"/>
    <w:rsid w:val="009704BD"/>
    <w:rsid w:val="009712F3"/>
    <w:rsid w:val="00971C65"/>
    <w:rsid w:val="00972263"/>
    <w:rsid w:val="00972D8D"/>
    <w:rsid w:val="00973AAE"/>
    <w:rsid w:val="00974923"/>
    <w:rsid w:val="00974D48"/>
    <w:rsid w:val="00975655"/>
    <w:rsid w:val="009759B5"/>
    <w:rsid w:val="009773AE"/>
    <w:rsid w:val="00980621"/>
    <w:rsid w:val="00981EC7"/>
    <w:rsid w:val="00982072"/>
    <w:rsid w:val="0098358E"/>
    <w:rsid w:val="00983CBF"/>
    <w:rsid w:val="00983ECF"/>
    <w:rsid w:val="00984A20"/>
    <w:rsid w:val="00986485"/>
    <w:rsid w:val="00986745"/>
    <w:rsid w:val="00987109"/>
    <w:rsid w:val="0099012D"/>
    <w:rsid w:val="00996355"/>
    <w:rsid w:val="00996B72"/>
    <w:rsid w:val="00996E07"/>
    <w:rsid w:val="00997EEB"/>
    <w:rsid w:val="009A3909"/>
    <w:rsid w:val="009A4E12"/>
    <w:rsid w:val="009A4E89"/>
    <w:rsid w:val="009B052C"/>
    <w:rsid w:val="009B06E8"/>
    <w:rsid w:val="009B0EF2"/>
    <w:rsid w:val="009B1FDF"/>
    <w:rsid w:val="009B23A3"/>
    <w:rsid w:val="009B61D0"/>
    <w:rsid w:val="009B6FD3"/>
    <w:rsid w:val="009B70BD"/>
    <w:rsid w:val="009C2524"/>
    <w:rsid w:val="009C42CD"/>
    <w:rsid w:val="009C4DA1"/>
    <w:rsid w:val="009C7388"/>
    <w:rsid w:val="009C764D"/>
    <w:rsid w:val="009C7AE1"/>
    <w:rsid w:val="009D0355"/>
    <w:rsid w:val="009D0F98"/>
    <w:rsid w:val="009D1551"/>
    <w:rsid w:val="009D2859"/>
    <w:rsid w:val="009D3B5E"/>
    <w:rsid w:val="009D4173"/>
    <w:rsid w:val="009D5354"/>
    <w:rsid w:val="009D6095"/>
    <w:rsid w:val="009D6306"/>
    <w:rsid w:val="009D7385"/>
    <w:rsid w:val="009E0015"/>
    <w:rsid w:val="009E048A"/>
    <w:rsid w:val="009E16D0"/>
    <w:rsid w:val="009E1FBA"/>
    <w:rsid w:val="009E2C54"/>
    <w:rsid w:val="009E3710"/>
    <w:rsid w:val="009E3EB9"/>
    <w:rsid w:val="009E577B"/>
    <w:rsid w:val="009E7B1F"/>
    <w:rsid w:val="009F0A68"/>
    <w:rsid w:val="009F1131"/>
    <w:rsid w:val="009F18F2"/>
    <w:rsid w:val="009F19BA"/>
    <w:rsid w:val="009F3FD0"/>
    <w:rsid w:val="009F408C"/>
    <w:rsid w:val="009F41C4"/>
    <w:rsid w:val="009F4792"/>
    <w:rsid w:val="009F5846"/>
    <w:rsid w:val="009F7D77"/>
    <w:rsid w:val="00A0259C"/>
    <w:rsid w:val="00A030BD"/>
    <w:rsid w:val="00A0348B"/>
    <w:rsid w:val="00A10D66"/>
    <w:rsid w:val="00A117C1"/>
    <w:rsid w:val="00A11838"/>
    <w:rsid w:val="00A11C9D"/>
    <w:rsid w:val="00A127F7"/>
    <w:rsid w:val="00A13714"/>
    <w:rsid w:val="00A1420C"/>
    <w:rsid w:val="00A15AB6"/>
    <w:rsid w:val="00A2055B"/>
    <w:rsid w:val="00A2253C"/>
    <w:rsid w:val="00A23545"/>
    <w:rsid w:val="00A23A55"/>
    <w:rsid w:val="00A23E43"/>
    <w:rsid w:val="00A24F8C"/>
    <w:rsid w:val="00A25E57"/>
    <w:rsid w:val="00A262BF"/>
    <w:rsid w:val="00A271AD"/>
    <w:rsid w:val="00A276D5"/>
    <w:rsid w:val="00A30336"/>
    <w:rsid w:val="00A30529"/>
    <w:rsid w:val="00A30BB5"/>
    <w:rsid w:val="00A30E88"/>
    <w:rsid w:val="00A3128F"/>
    <w:rsid w:val="00A326D0"/>
    <w:rsid w:val="00A35287"/>
    <w:rsid w:val="00A35CB9"/>
    <w:rsid w:val="00A37441"/>
    <w:rsid w:val="00A378F8"/>
    <w:rsid w:val="00A40530"/>
    <w:rsid w:val="00A40B19"/>
    <w:rsid w:val="00A41F2C"/>
    <w:rsid w:val="00A424F8"/>
    <w:rsid w:val="00A44B0D"/>
    <w:rsid w:val="00A46826"/>
    <w:rsid w:val="00A46DE0"/>
    <w:rsid w:val="00A4778A"/>
    <w:rsid w:val="00A5067F"/>
    <w:rsid w:val="00A5104A"/>
    <w:rsid w:val="00A53936"/>
    <w:rsid w:val="00A55301"/>
    <w:rsid w:val="00A57B3C"/>
    <w:rsid w:val="00A602D9"/>
    <w:rsid w:val="00A6128E"/>
    <w:rsid w:val="00A62CE1"/>
    <w:rsid w:val="00A631FA"/>
    <w:rsid w:val="00A64143"/>
    <w:rsid w:val="00A64203"/>
    <w:rsid w:val="00A64348"/>
    <w:rsid w:val="00A651DB"/>
    <w:rsid w:val="00A66976"/>
    <w:rsid w:val="00A674E1"/>
    <w:rsid w:val="00A70FBC"/>
    <w:rsid w:val="00A721FB"/>
    <w:rsid w:val="00A72671"/>
    <w:rsid w:val="00A727BA"/>
    <w:rsid w:val="00A72D4B"/>
    <w:rsid w:val="00A732AE"/>
    <w:rsid w:val="00A74C7F"/>
    <w:rsid w:val="00A75744"/>
    <w:rsid w:val="00A75E40"/>
    <w:rsid w:val="00A77EB2"/>
    <w:rsid w:val="00A823B7"/>
    <w:rsid w:val="00A82A03"/>
    <w:rsid w:val="00A82B66"/>
    <w:rsid w:val="00A83B58"/>
    <w:rsid w:val="00A841AC"/>
    <w:rsid w:val="00A851B6"/>
    <w:rsid w:val="00A85332"/>
    <w:rsid w:val="00A85729"/>
    <w:rsid w:val="00A8574B"/>
    <w:rsid w:val="00A857C0"/>
    <w:rsid w:val="00A86068"/>
    <w:rsid w:val="00A872CE"/>
    <w:rsid w:val="00A90368"/>
    <w:rsid w:val="00A906AC"/>
    <w:rsid w:val="00A91893"/>
    <w:rsid w:val="00A96463"/>
    <w:rsid w:val="00A97E3F"/>
    <w:rsid w:val="00A97F75"/>
    <w:rsid w:val="00AA0A14"/>
    <w:rsid w:val="00AA23FB"/>
    <w:rsid w:val="00AA3855"/>
    <w:rsid w:val="00AA42AB"/>
    <w:rsid w:val="00AA559A"/>
    <w:rsid w:val="00AA7B05"/>
    <w:rsid w:val="00AB11AB"/>
    <w:rsid w:val="00AB2AF1"/>
    <w:rsid w:val="00AB440B"/>
    <w:rsid w:val="00AB5082"/>
    <w:rsid w:val="00AB50D4"/>
    <w:rsid w:val="00AB7037"/>
    <w:rsid w:val="00AB74C5"/>
    <w:rsid w:val="00AB76C0"/>
    <w:rsid w:val="00AB7DF2"/>
    <w:rsid w:val="00AC1E3F"/>
    <w:rsid w:val="00AC44CA"/>
    <w:rsid w:val="00AC4F18"/>
    <w:rsid w:val="00AC5926"/>
    <w:rsid w:val="00AD0B46"/>
    <w:rsid w:val="00AD186B"/>
    <w:rsid w:val="00AD2565"/>
    <w:rsid w:val="00AD27F2"/>
    <w:rsid w:val="00AD306C"/>
    <w:rsid w:val="00AD3424"/>
    <w:rsid w:val="00AD460D"/>
    <w:rsid w:val="00AD4F85"/>
    <w:rsid w:val="00AD59BB"/>
    <w:rsid w:val="00AD5D3A"/>
    <w:rsid w:val="00AD5D68"/>
    <w:rsid w:val="00AD6C73"/>
    <w:rsid w:val="00AD6D14"/>
    <w:rsid w:val="00AD7314"/>
    <w:rsid w:val="00AD799D"/>
    <w:rsid w:val="00AE06D0"/>
    <w:rsid w:val="00AE39DC"/>
    <w:rsid w:val="00AE6D73"/>
    <w:rsid w:val="00AE721E"/>
    <w:rsid w:val="00AE7968"/>
    <w:rsid w:val="00AF128B"/>
    <w:rsid w:val="00AF14DC"/>
    <w:rsid w:val="00AF2852"/>
    <w:rsid w:val="00AF2E94"/>
    <w:rsid w:val="00AF3225"/>
    <w:rsid w:val="00AF518B"/>
    <w:rsid w:val="00AF5275"/>
    <w:rsid w:val="00AF5F15"/>
    <w:rsid w:val="00AF6367"/>
    <w:rsid w:val="00AF648D"/>
    <w:rsid w:val="00AF659A"/>
    <w:rsid w:val="00AF6A79"/>
    <w:rsid w:val="00AF6F70"/>
    <w:rsid w:val="00AF724E"/>
    <w:rsid w:val="00AF73A9"/>
    <w:rsid w:val="00AF74FD"/>
    <w:rsid w:val="00AF7C2D"/>
    <w:rsid w:val="00B01C2C"/>
    <w:rsid w:val="00B0231C"/>
    <w:rsid w:val="00B04828"/>
    <w:rsid w:val="00B06DC2"/>
    <w:rsid w:val="00B06EE6"/>
    <w:rsid w:val="00B07952"/>
    <w:rsid w:val="00B07F24"/>
    <w:rsid w:val="00B106D8"/>
    <w:rsid w:val="00B12609"/>
    <w:rsid w:val="00B13134"/>
    <w:rsid w:val="00B133F1"/>
    <w:rsid w:val="00B13619"/>
    <w:rsid w:val="00B155A3"/>
    <w:rsid w:val="00B15DCD"/>
    <w:rsid w:val="00B160A4"/>
    <w:rsid w:val="00B16102"/>
    <w:rsid w:val="00B174DD"/>
    <w:rsid w:val="00B17567"/>
    <w:rsid w:val="00B17E71"/>
    <w:rsid w:val="00B17FCE"/>
    <w:rsid w:val="00B17FDE"/>
    <w:rsid w:val="00B208FC"/>
    <w:rsid w:val="00B20C65"/>
    <w:rsid w:val="00B23632"/>
    <w:rsid w:val="00B2424E"/>
    <w:rsid w:val="00B24707"/>
    <w:rsid w:val="00B24E42"/>
    <w:rsid w:val="00B27293"/>
    <w:rsid w:val="00B274E0"/>
    <w:rsid w:val="00B27737"/>
    <w:rsid w:val="00B31336"/>
    <w:rsid w:val="00B3229E"/>
    <w:rsid w:val="00B326B3"/>
    <w:rsid w:val="00B32DDB"/>
    <w:rsid w:val="00B35BEA"/>
    <w:rsid w:val="00B37A71"/>
    <w:rsid w:val="00B41BE6"/>
    <w:rsid w:val="00B41D75"/>
    <w:rsid w:val="00B435EF"/>
    <w:rsid w:val="00B43871"/>
    <w:rsid w:val="00B457E7"/>
    <w:rsid w:val="00B47430"/>
    <w:rsid w:val="00B47436"/>
    <w:rsid w:val="00B47FCC"/>
    <w:rsid w:val="00B51604"/>
    <w:rsid w:val="00B52D2D"/>
    <w:rsid w:val="00B53BC1"/>
    <w:rsid w:val="00B56082"/>
    <w:rsid w:val="00B561A6"/>
    <w:rsid w:val="00B60C8D"/>
    <w:rsid w:val="00B61046"/>
    <w:rsid w:val="00B61F2D"/>
    <w:rsid w:val="00B62960"/>
    <w:rsid w:val="00B63A11"/>
    <w:rsid w:val="00B63FD0"/>
    <w:rsid w:val="00B64D5A"/>
    <w:rsid w:val="00B65845"/>
    <w:rsid w:val="00B65C84"/>
    <w:rsid w:val="00B6608F"/>
    <w:rsid w:val="00B662E3"/>
    <w:rsid w:val="00B66C89"/>
    <w:rsid w:val="00B71C2D"/>
    <w:rsid w:val="00B737C7"/>
    <w:rsid w:val="00B74317"/>
    <w:rsid w:val="00B7638C"/>
    <w:rsid w:val="00B765F3"/>
    <w:rsid w:val="00B76D1E"/>
    <w:rsid w:val="00B812F0"/>
    <w:rsid w:val="00B822D2"/>
    <w:rsid w:val="00B832DF"/>
    <w:rsid w:val="00B83DDF"/>
    <w:rsid w:val="00B848B8"/>
    <w:rsid w:val="00B84A41"/>
    <w:rsid w:val="00B84D57"/>
    <w:rsid w:val="00B856A2"/>
    <w:rsid w:val="00B85E2C"/>
    <w:rsid w:val="00B86748"/>
    <w:rsid w:val="00B87EDC"/>
    <w:rsid w:val="00B91EC9"/>
    <w:rsid w:val="00B924CA"/>
    <w:rsid w:val="00B93384"/>
    <w:rsid w:val="00B93A86"/>
    <w:rsid w:val="00B94417"/>
    <w:rsid w:val="00B95940"/>
    <w:rsid w:val="00B95EF8"/>
    <w:rsid w:val="00B95F50"/>
    <w:rsid w:val="00B96BD9"/>
    <w:rsid w:val="00B978CD"/>
    <w:rsid w:val="00BA00BE"/>
    <w:rsid w:val="00BA4B2A"/>
    <w:rsid w:val="00BB19EC"/>
    <w:rsid w:val="00BB2116"/>
    <w:rsid w:val="00BB2C53"/>
    <w:rsid w:val="00BB32DA"/>
    <w:rsid w:val="00BB3972"/>
    <w:rsid w:val="00BB3A54"/>
    <w:rsid w:val="00BB4E21"/>
    <w:rsid w:val="00BB5CEB"/>
    <w:rsid w:val="00BC1728"/>
    <w:rsid w:val="00BC2AB7"/>
    <w:rsid w:val="00BC4CE0"/>
    <w:rsid w:val="00BC5111"/>
    <w:rsid w:val="00BC54E1"/>
    <w:rsid w:val="00BC682B"/>
    <w:rsid w:val="00BC6A12"/>
    <w:rsid w:val="00BC6B04"/>
    <w:rsid w:val="00BD053B"/>
    <w:rsid w:val="00BD0B9B"/>
    <w:rsid w:val="00BD1F94"/>
    <w:rsid w:val="00BD3428"/>
    <w:rsid w:val="00BD366B"/>
    <w:rsid w:val="00BD3915"/>
    <w:rsid w:val="00BD56BC"/>
    <w:rsid w:val="00BD59D1"/>
    <w:rsid w:val="00BD5D91"/>
    <w:rsid w:val="00BD64E1"/>
    <w:rsid w:val="00BD6615"/>
    <w:rsid w:val="00BD6D50"/>
    <w:rsid w:val="00BE0261"/>
    <w:rsid w:val="00BE09E4"/>
    <w:rsid w:val="00BE0DB0"/>
    <w:rsid w:val="00BE1C59"/>
    <w:rsid w:val="00BE3F09"/>
    <w:rsid w:val="00BE572B"/>
    <w:rsid w:val="00BE670A"/>
    <w:rsid w:val="00BE6906"/>
    <w:rsid w:val="00BE6AAB"/>
    <w:rsid w:val="00BE795E"/>
    <w:rsid w:val="00BF18F4"/>
    <w:rsid w:val="00BF1A69"/>
    <w:rsid w:val="00BF1B37"/>
    <w:rsid w:val="00BF1D58"/>
    <w:rsid w:val="00BF36F6"/>
    <w:rsid w:val="00BF3BC8"/>
    <w:rsid w:val="00BF3DF1"/>
    <w:rsid w:val="00BF4C31"/>
    <w:rsid w:val="00BF59A0"/>
    <w:rsid w:val="00BF6C56"/>
    <w:rsid w:val="00BF6DE7"/>
    <w:rsid w:val="00C00F20"/>
    <w:rsid w:val="00C0165A"/>
    <w:rsid w:val="00C020FE"/>
    <w:rsid w:val="00C03388"/>
    <w:rsid w:val="00C034E6"/>
    <w:rsid w:val="00C0353A"/>
    <w:rsid w:val="00C0784A"/>
    <w:rsid w:val="00C104F3"/>
    <w:rsid w:val="00C10982"/>
    <w:rsid w:val="00C10FAE"/>
    <w:rsid w:val="00C12A69"/>
    <w:rsid w:val="00C12B35"/>
    <w:rsid w:val="00C150BE"/>
    <w:rsid w:val="00C15A0C"/>
    <w:rsid w:val="00C15DCB"/>
    <w:rsid w:val="00C16198"/>
    <w:rsid w:val="00C20744"/>
    <w:rsid w:val="00C20C4D"/>
    <w:rsid w:val="00C21937"/>
    <w:rsid w:val="00C21D46"/>
    <w:rsid w:val="00C21F94"/>
    <w:rsid w:val="00C222A1"/>
    <w:rsid w:val="00C2250A"/>
    <w:rsid w:val="00C23D22"/>
    <w:rsid w:val="00C243B5"/>
    <w:rsid w:val="00C24E77"/>
    <w:rsid w:val="00C25608"/>
    <w:rsid w:val="00C2732D"/>
    <w:rsid w:val="00C273C6"/>
    <w:rsid w:val="00C27913"/>
    <w:rsid w:val="00C300C6"/>
    <w:rsid w:val="00C30530"/>
    <w:rsid w:val="00C3252C"/>
    <w:rsid w:val="00C336F4"/>
    <w:rsid w:val="00C34FDE"/>
    <w:rsid w:val="00C35C16"/>
    <w:rsid w:val="00C408C3"/>
    <w:rsid w:val="00C41233"/>
    <w:rsid w:val="00C41463"/>
    <w:rsid w:val="00C417ED"/>
    <w:rsid w:val="00C41A72"/>
    <w:rsid w:val="00C42294"/>
    <w:rsid w:val="00C4365E"/>
    <w:rsid w:val="00C4549D"/>
    <w:rsid w:val="00C45C2B"/>
    <w:rsid w:val="00C476C5"/>
    <w:rsid w:val="00C503B0"/>
    <w:rsid w:val="00C511C2"/>
    <w:rsid w:val="00C53D82"/>
    <w:rsid w:val="00C53F31"/>
    <w:rsid w:val="00C540C9"/>
    <w:rsid w:val="00C553F5"/>
    <w:rsid w:val="00C559DD"/>
    <w:rsid w:val="00C57FA7"/>
    <w:rsid w:val="00C60696"/>
    <w:rsid w:val="00C615F1"/>
    <w:rsid w:val="00C61627"/>
    <w:rsid w:val="00C640C6"/>
    <w:rsid w:val="00C64E60"/>
    <w:rsid w:val="00C657A4"/>
    <w:rsid w:val="00C662C1"/>
    <w:rsid w:val="00C6736C"/>
    <w:rsid w:val="00C67B02"/>
    <w:rsid w:val="00C708C0"/>
    <w:rsid w:val="00C71247"/>
    <w:rsid w:val="00C72261"/>
    <w:rsid w:val="00C72CFC"/>
    <w:rsid w:val="00C7315B"/>
    <w:rsid w:val="00C732D0"/>
    <w:rsid w:val="00C74002"/>
    <w:rsid w:val="00C7548A"/>
    <w:rsid w:val="00C75C7E"/>
    <w:rsid w:val="00C76D8E"/>
    <w:rsid w:val="00C77833"/>
    <w:rsid w:val="00C80C9B"/>
    <w:rsid w:val="00C8335E"/>
    <w:rsid w:val="00C84605"/>
    <w:rsid w:val="00C84CE3"/>
    <w:rsid w:val="00C84FE8"/>
    <w:rsid w:val="00C85705"/>
    <w:rsid w:val="00C860F2"/>
    <w:rsid w:val="00C86F05"/>
    <w:rsid w:val="00C87626"/>
    <w:rsid w:val="00C90CF4"/>
    <w:rsid w:val="00C91C19"/>
    <w:rsid w:val="00C929A0"/>
    <w:rsid w:val="00C93389"/>
    <w:rsid w:val="00C93679"/>
    <w:rsid w:val="00C937DB"/>
    <w:rsid w:val="00C93A94"/>
    <w:rsid w:val="00C94519"/>
    <w:rsid w:val="00C94E83"/>
    <w:rsid w:val="00C9531C"/>
    <w:rsid w:val="00C97768"/>
    <w:rsid w:val="00CA0CDD"/>
    <w:rsid w:val="00CA140F"/>
    <w:rsid w:val="00CA37CA"/>
    <w:rsid w:val="00CA3CB2"/>
    <w:rsid w:val="00CA3D39"/>
    <w:rsid w:val="00CA4232"/>
    <w:rsid w:val="00CA6BA1"/>
    <w:rsid w:val="00CA6CD5"/>
    <w:rsid w:val="00CB0414"/>
    <w:rsid w:val="00CB0C6E"/>
    <w:rsid w:val="00CB2150"/>
    <w:rsid w:val="00CB28EE"/>
    <w:rsid w:val="00CB3ACB"/>
    <w:rsid w:val="00CB3ECF"/>
    <w:rsid w:val="00CB43A7"/>
    <w:rsid w:val="00CB43BC"/>
    <w:rsid w:val="00CB5996"/>
    <w:rsid w:val="00CB5B25"/>
    <w:rsid w:val="00CB7452"/>
    <w:rsid w:val="00CB7A5E"/>
    <w:rsid w:val="00CB7D09"/>
    <w:rsid w:val="00CC2642"/>
    <w:rsid w:val="00CC2E15"/>
    <w:rsid w:val="00CC30FE"/>
    <w:rsid w:val="00CC3908"/>
    <w:rsid w:val="00CC3C77"/>
    <w:rsid w:val="00CC4DDF"/>
    <w:rsid w:val="00CC52A7"/>
    <w:rsid w:val="00CC62AD"/>
    <w:rsid w:val="00CD2B3C"/>
    <w:rsid w:val="00CD30F6"/>
    <w:rsid w:val="00CD4823"/>
    <w:rsid w:val="00CD4AD9"/>
    <w:rsid w:val="00CD4B29"/>
    <w:rsid w:val="00CD5242"/>
    <w:rsid w:val="00CD6EF1"/>
    <w:rsid w:val="00CD6FC4"/>
    <w:rsid w:val="00CE090E"/>
    <w:rsid w:val="00CE21C7"/>
    <w:rsid w:val="00CE57D8"/>
    <w:rsid w:val="00CE617A"/>
    <w:rsid w:val="00CE7E17"/>
    <w:rsid w:val="00CF1152"/>
    <w:rsid w:val="00CF27AC"/>
    <w:rsid w:val="00CF28C2"/>
    <w:rsid w:val="00CF316F"/>
    <w:rsid w:val="00CF3E37"/>
    <w:rsid w:val="00CF42BD"/>
    <w:rsid w:val="00CF50FC"/>
    <w:rsid w:val="00CF51EC"/>
    <w:rsid w:val="00CF6CD7"/>
    <w:rsid w:val="00D0037A"/>
    <w:rsid w:val="00D00DAF"/>
    <w:rsid w:val="00D00F76"/>
    <w:rsid w:val="00D017EC"/>
    <w:rsid w:val="00D01CDA"/>
    <w:rsid w:val="00D02200"/>
    <w:rsid w:val="00D02924"/>
    <w:rsid w:val="00D036AB"/>
    <w:rsid w:val="00D040DD"/>
    <w:rsid w:val="00D04A11"/>
    <w:rsid w:val="00D04E1B"/>
    <w:rsid w:val="00D05207"/>
    <w:rsid w:val="00D06438"/>
    <w:rsid w:val="00D06FB4"/>
    <w:rsid w:val="00D1067C"/>
    <w:rsid w:val="00D136D4"/>
    <w:rsid w:val="00D1391B"/>
    <w:rsid w:val="00D13ECF"/>
    <w:rsid w:val="00D14148"/>
    <w:rsid w:val="00D142E5"/>
    <w:rsid w:val="00D1611E"/>
    <w:rsid w:val="00D16E69"/>
    <w:rsid w:val="00D17F4F"/>
    <w:rsid w:val="00D205A9"/>
    <w:rsid w:val="00D217EE"/>
    <w:rsid w:val="00D22468"/>
    <w:rsid w:val="00D2282B"/>
    <w:rsid w:val="00D24DA0"/>
    <w:rsid w:val="00D25220"/>
    <w:rsid w:val="00D2620E"/>
    <w:rsid w:val="00D26579"/>
    <w:rsid w:val="00D26923"/>
    <w:rsid w:val="00D26B20"/>
    <w:rsid w:val="00D27856"/>
    <w:rsid w:val="00D279D3"/>
    <w:rsid w:val="00D30740"/>
    <w:rsid w:val="00D30788"/>
    <w:rsid w:val="00D309A7"/>
    <w:rsid w:val="00D309E7"/>
    <w:rsid w:val="00D31075"/>
    <w:rsid w:val="00D31311"/>
    <w:rsid w:val="00D31445"/>
    <w:rsid w:val="00D31932"/>
    <w:rsid w:val="00D32D31"/>
    <w:rsid w:val="00D34225"/>
    <w:rsid w:val="00D35A48"/>
    <w:rsid w:val="00D378CC"/>
    <w:rsid w:val="00D4042C"/>
    <w:rsid w:val="00D42312"/>
    <w:rsid w:val="00D43998"/>
    <w:rsid w:val="00D45046"/>
    <w:rsid w:val="00D45EEE"/>
    <w:rsid w:val="00D4615E"/>
    <w:rsid w:val="00D478E2"/>
    <w:rsid w:val="00D47948"/>
    <w:rsid w:val="00D52401"/>
    <w:rsid w:val="00D5264C"/>
    <w:rsid w:val="00D52EC9"/>
    <w:rsid w:val="00D547BA"/>
    <w:rsid w:val="00D54BC4"/>
    <w:rsid w:val="00D5561E"/>
    <w:rsid w:val="00D55626"/>
    <w:rsid w:val="00D556BC"/>
    <w:rsid w:val="00D5626D"/>
    <w:rsid w:val="00D56C22"/>
    <w:rsid w:val="00D5718D"/>
    <w:rsid w:val="00D57C38"/>
    <w:rsid w:val="00D60277"/>
    <w:rsid w:val="00D62536"/>
    <w:rsid w:val="00D62901"/>
    <w:rsid w:val="00D6470C"/>
    <w:rsid w:val="00D64853"/>
    <w:rsid w:val="00D64B04"/>
    <w:rsid w:val="00D64CB5"/>
    <w:rsid w:val="00D64E9A"/>
    <w:rsid w:val="00D6524A"/>
    <w:rsid w:val="00D65B29"/>
    <w:rsid w:val="00D65C09"/>
    <w:rsid w:val="00D66CBA"/>
    <w:rsid w:val="00D66D48"/>
    <w:rsid w:val="00D70E41"/>
    <w:rsid w:val="00D712E0"/>
    <w:rsid w:val="00D72379"/>
    <w:rsid w:val="00D73256"/>
    <w:rsid w:val="00D73A30"/>
    <w:rsid w:val="00D74A6A"/>
    <w:rsid w:val="00D74C65"/>
    <w:rsid w:val="00D74E76"/>
    <w:rsid w:val="00D75DC2"/>
    <w:rsid w:val="00D76F27"/>
    <w:rsid w:val="00D81703"/>
    <w:rsid w:val="00D82462"/>
    <w:rsid w:val="00D85A88"/>
    <w:rsid w:val="00D868CE"/>
    <w:rsid w:val="00D87D8D"/>
    <w:rsid w:val="00D90C1E"/>
    <w:rsid w:val="00D922B8"/>
    <w:rsid w:val="00D93A51"/>
    <w:rsid w:val="00D93F09"/>
    <w:rsid w:val="00D97BB8"/>
    <w:rsid w:val="00DA0C01"/>
    <w:rsid w:val="00DA24BD"/>
    <w:rsid w:val="00DA3FF9"/>
    <w:rsid w:val="00DA4AF6"/>
    <w:rsid w:val="00DA5CAB"/>
    <w:rsid w:val="00DA7613"/>
    <w:rsid w:val="00DB016E"/>
    <w:rsid w:val="00DB01A2"/>
    <w:rsid w:val="00DB06E9"/>
    <w:rsid w:val="00DB0BA5"/>
    <w:rsid w:val="00DB31DE"/>
    <w:rsid w:val="00DB378E"/>
    <w:rsid w:val="00DB3CFB"/>
    <w:rsid w:val="00DB3E9D"/>
    <w:rsid w:val="00DB47B9"/>
    <w:rsid w:val="00DB4FB8"/>
    <w:rsid w:val="00DB4FEB"/>
    <w:rsid w:val="00DB5104"/>
    <w:rsid w:val="00DB53CE"/>
    <w:rsid w:val="00DB549D"/>
    <w:rsid w:val="00DB7969"/>
    <w:rsid w:val="00DC00D7"/>
    <w:rsid w:val="00DC0BB4"/>
    <w:rsid w:val="00DC257F"/>
    <w:rsid w:val="00DC344C"/>
    <w:rsid w:val="00DC408A"/>
    <w:rsid w:val="00DC5B3B"/>
    <w:rsid w:val="00DC5B54"/>
    <w:rsid w:val="00DC6796"/>
    <w:rsid w:val="00DC78DF"/>
    <w:rsid w:val="00DD0821"/>
    <w:rsid w:val="00DD0E32"/>
    <w:rsid w:val="00DD1A36"/>
    <w:rsid w:val="00DD2130"/>
    <w:rsid w:val="00DD28A1"/>
    <w:rsid w:val="00DD3532"/>
    <w:rsid w:val="00DD373E"/>
    <w:rsid w:val="00DD57AD"/>
    <w:rsid w:val="00DE009B"/>
    <w:rsid w:val="00DE200E"/>
    <w:rsid w:val="00DE2084"/>
    <w:rsid w:val="00DE2ED9"/>
    <w:rsid w:val="00DE319A"/>
    <w:rsid w:val="00DE4D6E"/>
    <w:rsid w:val="00DE56AE"/>
    <w:rsid w:val="00DE5CC4"/>
    <w:rsid w:val="00DF053A"/>
    <w:rsid w:val="00DF0DC3"/>
    <w:rsid w:val="00DF4A7C"/>
    <w:rsid w:val="00DF4F01"/>
    <w:rsid w:val="00DF5343"/>
    <w:rsid w:val="00DF5578"/>
    <w:rsid w:val="00DF6134"/>
    <w:rsid w:val="00DF6619"/>
    <w:rsid w:val="00DF7FEC"/>
    <w:rsid w:val="00E01149"/>
    <w:rsid w:val="00E01C0E"/>
    <w:rsid w:val="00E026C3"/>
    <w:rsid w:val="00E03B27"/>
    <w:rsid w:val="00E03BFF"/>
    <w:rsid w:val="00E03E80"/>
    <w:rsid w:val="00E04694"/>
    <w:rsid w:val="00E04A40"/>
    <w:rsid w:val="00E05B2B"/>
    <w:rsid w:val="00E05DDE"/>
    <w:rsid w:val="00E07F05"/>
    <w:rsid w:val="00E10497"/>
    <w:rsid w:val="00E127E1"/>
    <w:rsid w:val="00E13411"/>
    <w:rsid w:val="00E13688"/>
    <w:rsid w:val="00E144D2"/>
    <w:rsid w:val="00E15346"/>
    <w:rsid w:val="00E1629D"/>
    <w:rsid w:val="00E20525"/>
    <w:rsid w:val="00E215EA"/>
    <w:rsid w:val="00E22B14"/>
    <w:rsid w:val="00E22DF1"/>
    <w:rsid w:val="00E244A4"/>
    <w:rsid w:val="00E24619"/>
    <w:rsid w:val="00E25223"/>
    <w:rsid w:val="00E2575A"/>
    <w:rsid w:val="00E2612E"/>
    <w:rsid w:val="00E268AC"/>
    <w:rsid w:val="00E30BEA"/>
    <w:rsid w:val="00E31764"/>
    <w:rsid w:val="00E337D9"/>
    <w:rsid w:val="00E34E4A"/>
    <w:rsid w:val="00E365B3"/>
    <w:rsid w:val="00E37188"/>
    <w:rsid w:val="00E37C45"/>
    <w:rsid w:val="00E40AAA"/>
    <w:rsid w:val="00E40D33"/>
    <w:rsid w:val="00E40FF2"/>
    <w:rsid w:val="00E416D9"/>
    <w:rsid w:val="00E41D90"/>
    <w:rsid w:val="00E41F2B"/>
    <w:rsid w:val="00E438CF"/>
    <w:rsid w:val="00E43C41"/>
    <w:rsid w:val="00E450CE"/>
    <w:rsid w:val="00E459D3"/>
    <w:rsid w:val="00E45A00"/>
    <w:rsid w:val="00E45CE7"/>
    <w:rsid w:val="00E4631F"/>
    <w:rsid w:val="00E47D22"/>
    <w:rsid w:val="00E513F8"/>
    <w:rsid w:val="00E522BB"/>
    <w:rsid w:val="00E571F2"/>
    <w:rsid w:val="00E57429"/>
    <w:rsid w:val="00E577FC"/>
    <w:rsid w:val="00E57D11"/>
    <w:rsid w:val="00E603A8"/>
    <w:rsid w:val="00E607E4"/>
    <w:rsid w:val="00E60B29"/>
    <w:rsid w:val="00E62F7C"/>
    <w:rsid w:val="00E635DD"/>
    <w:rsid w:val="00E648B9"/>
    <w:rsid w:val="00E6711F"/>
    <w:rsid w:val="00E6715B"/>
    <w:rsid w:val="00E70960"/>
    <w:rsid w:val="00E71983"/>
    <w:rsid w:val="00E71A58"/>
    <w:rsid w:val="00E73C92"/>
    <w:rsid w:val="00E744C3"/>
    <w:rsid w:val="00E760AD"/>
    <w:rsid w:val="00E767BA"/>
    <w:rsid w:val="00E7724B"/>
    <w:rsid w:val="00E77B8A"/>
    <w:rsid w:val="00E8216E"/>
    <w:rsid w:val="00E82428"/>
    <w:rsid w:val="00E836A0"/>
    <w:rsid w:val="00E84B50"/>
    <w:rsid w:val="00E84F21"/>
    <w:rsid w:val="00E874D3"/>
    <w:rsid w:val="00E87A29"/>
    <w:rsid w:val="00E900D3"/>
    <w:rsid w:val="00E9077B"/>
    <w:rsid w:val="00E90AD8"/>
    <w:rsid w:val="00E910FB"/>
    <w:rsid w:val="00E921C7"/>
    <w:rsid w:val="00E92995"/>
    <w:rsid w:val="00E94612"/>
    <w:rsid w:val="00E94BE9"/>
    <w:rsid w:val="00E94C1F"/>
    <w:rsid w:val="00E94C99"/>
    <w:rsid w:val="00E94D06"/>
    <w:rsid w:val="00E95594"/>
    <w:rsid w:val="00E95797"/>
    <w:rsid w:val="00E9682F"/>
    <w:rsid w:val="00E96A8D"/>
    <w:rsid w:val="00E972BA"/>
    <w:rsid w:val="00E97535"/>
    <w:rsid w:val="00EA06CB"/>
    <w:rsid w:val="00EA0C68"/>
    <w:rsid w:val="00EA3EBE"/>
    <w:rsid w:val="00EA3FAC"/>
    <w:rsid w:val="00EA4153"/>
    <w:rsid w:val="00EA4370"/>
    <w:rsid w:val="00EA5CD6"/>
    <w:rsid w:val="00EA7135"/>
    <w:rsid w:val="00EA77C6"/>
    <w:rsid w:val="00EB0BFB"/>
    <w:rsid w:val="00EB1B8D"/>
    <w:rsid w:val="00EB20A0"/>
    <w:rsid w:val="00EB30B6"/>
    <w:rsid w:val="00EB4FA4"/>
    <w:rsid w:val="00EB5146"/>
    <w:rsid w:val="00EB5466"/>
    <w:rsid w:val="00EB55E9"/>
    <w:rsid w:val="00EB5641"/>
    <w:rsid w:val="00EB5846"/>
    <w:rsid w:val="00EB5CA9"/>
    <w:rsid w:val="00EB5ED4"/>
    <w:rsid w:val="00EB6537"/>
    <w:rsid w:val="00EB6A63"/>
    <w:rsid w:val="00EB6EF5"/>
    <w:rsid w:val="00EB70E1"/>
    <w:rsid w:val="00EB7EB5"/>
    <w:rsid w:val="00EC1F4E"/>
    <w:rsid w:val="00EC454B"/>
    <w:rsid w:val="00EC6153"/>
    <w:rsid w:val="00EC6972"/>
    <w:rsid w:val="00EC7F92"/>
    <w:rsid w:val="00ED0504"/>
    <w:rsid w:val="00ED0A79"/>
    <w:rsid w:val="00ED2CA5"/>
    <w:rsid w:val="00ED336F"/>
    <w:rsid w:val="00ED4F91"/>
    <w:rsid w:val="00ED54D6"/>
    <w:rsid w:val="00ED5726"/>
    <w:rsid w:val="00ED723D"/>
    <w:rsid w:val="00EE0384"/>
    <w:rsid w:val="00EE10AA"/>
    <w:rsid w:val="00EE1637"/>
    <w:rsid w:val="00EE3358"/>
    <w:rsid w:val="00EE3E78"/>
    <w:rsid w:val="00EE4318"/>
    <w:rsid w:val="00EE5E02"/>
    <w:rsid w:val="00EE617D"/>
    <w:rsid w:val="00EE61BF"/>
    <w:rsid w:val="00EE6748"/>
    <w:rsid w:val="00EE747C"/>
    <w:rsid w:val="00EF0E75"/>
    <w:rsid w:val="00EF10E5"/>
    <w:rsid w:val="00EF17BF"/>
    <w:rsid w:val="00EF1F5A"/>
    <w:rsid w:val="00EF385C"/>
    <w:rsid w:val="00EF466D"/>
    <w:rsid w:val="00EF4685"/>
    <w:rsid w:val="00EF4AB0"/>
    <w:rsid w:val="00EF5397"/>
    <w:rsid w:val="00EF623C"/>
    <w:rsid w:val="00F0129D"/>
    <w:rsid w:val="00F02E63"/>
    <w:rsid w:val="00F04811"/>
    <w:rsid w:val="00F0488C"/>
    <w:rsid w:val="00F0496E"/>
    <w:rsid w:val="00F04D10"/>
    <w:rsid w:val="00F058AB"/>
    <w:rsid w:val="00F05CBA"/>
    <w:rsid w:val="00F0625B"/>
    <w:rsid w:val="00F06769"/>
    <w:rsid w:val="00F07939"/>
    <w:rsid w:val="00F101FF"/>
    <w:rsid w:val="00F106E2"/>
    <w:rsid w:val="00F10A33"/>
    <w:rsid w:val="00F130A1"/>
    <w:rsid w:val="00F13374"/>
    <w:rsid w:val="00F15BEF"/>
    <w:rsid w:val="00F15F3F"/>
    <w:rsid w:val="00F16C0C"/>
    <w:rsid w:val="00F172BE"/>
    <w:rsid w:val="00F1776C"/>
    <w:rsid w:val="00F2037E"/>
    <w:rsid w:val="00F20EF6"/>
    <w:rsid w:val="00F2103E"/>
    <w:rsid w:val="00F214FC"/>
    <w:rsid w:val="00F23FFF"/>
    <w:rsid w:val="00F2441D"/>
    <w:rsid w:val="00F24F20"/>
    <w:rsid w:val="00F24FAA"/>
    <w:rsid w:val="00F25456"/>
    <w:rsid w:val="00F25568"/>
    <w:rsid w:val="00F26197"/>
    <w:rsid w:val="00F26426"/>
    <w:rsid w:val="00F26CF5"/>
    <w:rsid w:val="00F31F76"/>
    <w:rsid w:val="00F3364D"/>
    <w:rsid w:val="00F34509"/>
    <w:rsid w:val="00F35395"/>
    <w:rsid w:val="00F35ACD"/>
    <w:rsid w:val="00F36BF8"/>
    <w:rsid w:val="00F37760"/>
    <w:rsid w:val="00F378D9"/>
    <w:rsid w:val="00F37CC8"/>
    <w:rsid w:val="00F40185"/>
    <w:rsid w:val="00F403D1"/>
    <w:rsid w:val="00F4046E"/>
    <w:rsid w:val="00F41C50"/>
    <w:rsid w:val="00F42AF8"/>
    <w:rsid w:val="00F43921"/>
    <w:rsid w:val="00F4591F"/>
    <w:rsid w:val="00F45CB3"/>
    <w:rsid w:val="00F46FD1"/>
    <w:rsid w:val="00F4736B"/>
    <w:rsid w:val="00F47D05"/>
    <w:rsid w:val="00F50030"/>
    <w:rsid w:val="00F506B2"/>
    <w:rsid w:val="00F50854"/>
    <w:rsid w:val="00F51FC9"/>
    <w:rsid w:val="00F52B67"/>
    <w:rsid w:val="00F5435A"/>
    <w:rsid w:val="00F54B31"/>
    <w:rsid w:val="00F54FD3"/>
    <w:rsid w:val="00F55CC2"/>
    <w:rsid w:val="00F56CF5"/>
    <w:rsid w:val="00F56D14"/>
    <w:rsid w:val="00F61083"/>
    <w:rsid w:val="00F62807"/>
    <w:rsid w:val="00F631EA"/>
    <w:rsid w:val="00F636E3"/>
    <w:rsid w:val="00F63DDE"/>
    <w:rsid w:val="00F63FB7"/>
    <w:rsid w:val="00F6441A"/>
    <w:rsid w:val="00F64726"/>
    <w:rsid w:val="00F6561A"/>
    <w:rsid w:val="00F700C5"/>
    <w:rsid w:val="00F71BF5"/>
    <w:rsid w:val="00F727D5"/>
    <w:rsid w:val="00F72F44"/>
    <w:rsid w:val="00F739B6"/>
    <w:rsid w:val="00F73A0C"/>
    <w:rsid w:val="00F73C9E"/>
    <w:rsid w:val="00F771A5"/>
    <w:rsid w:val="00F80280"/>
    <w:rsid w:val="00F80EB9"/>
    <w:rsid w:val="00F81C3A"/>
    <w:rsid w:val="00F822CE"/>
    <w:rsid w:val="00F835FC"/>
    <w:rsid w:val="00F83E21"/>
    <w:rsid w:val="00F844AF"/>
    <w:rsid w:val="00F84E18"/>
    <w:rsid w:val="00F852E5"/>
    <w:rsid w:val="00F90487"/>
    <w:rsid w:val="00F90D12"/>
    <w:rsid w:val="00F90FA0"/>
    <w:rsid w:val="00F9250A"/>
    <w:rsid w:val="00F92B4F"/>
    <w:rsid w:val="00F942F1"/>
    <w:rsid w:val="00F95117"/>
    <w:rsid w:val="00F9668E"/>
    <w:rsid w:val="00FA05D7"/>
    <w:rsid w:val="00FA1C6C"/>
    <w:rsid w:val="00FA1C73"/>
    <w:rsid w:val="00FA309A"/>
    <w:rsid w:val="00FA51AB"/>
    <w:rsid w:val="00FA5557"/>
    <w:rsid w:val="00FA57FD"/>
    <w:rsid w:val="00FA5D63"/>
    <w:rsid w:val="00FA7644"/>
    <w:rsid w:val="00FB1324"/>
    <w:rsid w:val="00FB262B"/>
    <w:rsid w:val="00FB3C00"/>
    <w:rsid w:val="00FB3D7D"/>
    <w:rsid w:val="00FB56F1"/>
    <w:rsid w:val="00FB5FD4"/>
    <w:rsid w:val="00FB67DD"/>
    <w:rsid w:val="00FB67F3"/>
    <w:rsid w:val="00FB6D5D"/>
    <w:rsid w:val="00FC0AF4"/>
    <w:rsid w:val="00FC0D8A"/>
    <w:rsid w:val="00FC0E5F"/>
    <w:rsid w:val="00FC26DB"/>
    <w:rsid w:val="00FC4660"/>
    <w:rsid w:val="00FC5454"/>
    <w:rsid w:val="00FC56DE"/>
    <w:rsid w:val="00FD1627"/>
    <w:rsid w:val="00FD38B4"/>
    <w:rsid w:val="00FD473D"/>
    <w:rsid w:val="00FD4B88"/>
    <w:rsid w:val="00FD57DE"/>
    <w:rsid w:val="00FD61C8"/>
    <w:rsid w:val="00FD63CE"/>
    <w:rsid w:val="00FD647C"/>
    <w:rsid w:val="00FD7D49"/>
    <w:rsid w:val="00FE0BA6"/>
    <w:rsid w:val="00FE11B6"/>
    <w:rsid w:val="00FE1251"/>
    <w:rsid w:val="00FE2A4F"/>
    <w:rsid w:val="00FE2BC2"/>
    <w:rsid w:val="00FE2F78"/>
    <w:rsid w:val="00FE375F"/>
    <w:rsid w:val="00FE44B3"/>
    <w:rsid w:val="00FE4FCB"/>
    <w:rsid w:val="00FE694F"/>
    <w:rsid w:val="00FF0B85"/>
    <w:rsid w:val="00FF1044"/>
    <w:rsid w:val="00FF21B9"/>
    <w:rsid w:val="00FF28E0"/>
    <w:rsid w:val="00FF2FB4"/>
    <w:rsid w:val="00FF30B3"/>
    <w:rsid w:val="00FF3DF3"/>
    <w:rsid w:val="00FF4027"/>
    <w:rsid w:val="00FF65DF"/>
    <w:rsid w:val="00FF7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71" w:unhideWhenUsed="0" w:qFormat="1"/>
  </w:latentStyles>
  <w:style w:type="paragraph" w:default="1" w:styleId="Normln">
    <w:name w:val="Normal"/>
    <w:qFormat/>
    <w:rsid w:val="005E492C"/>
    <w:pPr>
      <w:spacing w:line="288" w:lineRule="auto"/>
    </w:pPr>
    <w:rPr>
      <w:rFonts w:ascii="Arial" w:hAnsi="Arial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5E492C"/>
    <w:pPr>
      <w:keepNext/>
      <w:keepLines/>
      <w:spacing w:after="200"/>
      <w:outlineLvl w:val="0"/>
    </w:pPr>
    <w:rPr>
      <w:rFonts w:eastAsia="MS Gothic"/>
      <w:b/>
      <w:bCs/>
      <w:color w:val="71818C"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5E492C"/>
    <w:pPr>
      <w:keepNext/>
      <w:keepLines/>
      <w:outlineLvl w:val="1"/>
    </w:pPr>
    <w:rPr>
      <w:rFonts w:eastAsia="MS Gothic"/>
      <w:b/>
      <w:bCs/>
      <w:color w:val="71818C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5E492C"/>
    <w:pPr>
      <w:keepNext/>
      <w:keepLines/>
      <w:outlineLvl w:val="2"/>
    </w:pPr>
    <w:rPr>
      <w:rFonts w:eastAsia="MS Gothic"/>
      <w:b/>
      <w:bCs/>
      <w:color w:val="71818C"/>
      <w:sz w:val="24"/>
    </w:rPr>
  </w:style>
  <w:style w:type="paragraph" w:styleId="Nadpis4">
    <w:name w:val="heading 4"/>
    <w:basedOn w:val="Normln"/>
    <w:next w:val="Normln"/>
    <w:link w:val="Nadpis4Char"/>
    <w:uiPriority w:val="9"/>
    <w:qFormat/>
    <w:rsid w:val="005E492C"/>
    <w:pPr>
      <w:keepNext/>
      <w:keepLines/>
      <w:outlineLvl w:val="3"/>
    </w:pPr>
    <w:rPr>
      <w:rFonts w:eastAsia="MS Gothic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qFormat/>
    <w:rsid w:val="007521A1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qFormat/>
    <w:rsid w:val="007521A1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5E492C"/>
    <w:rPr>
      <w:rFonts w:ascii="Arial" w:eastAsia="MS Gothic" w:hAnsi="Arial" w:cs="Times New Roman"/>
      <w:b/>
      <w:color w:val="71818C"/>
      <w:sz w:val="28"/>
    </w:rPr>
  </w:style>
  <w:style w:type="character" w:customStyle="1" w:styleId="Nadpis2Char">
    <w:name w:val="Nadpis 2 Char"/>
    <w:basedOn w:val="Standardnpsmoodstavce"/>
    <w:link w:val="Nadpis2"/>
    <w:uiPriority w:val="9"/>
    <w:locked/>
    <w:rsid w:val="005E492C"/>
    <w:rPr>
      <w:rFonts w:ascii="Arial" w:eastAsia="MS Gothic" w:hAnsi="Arial" w:cs="Times New Roman"/>
      <w:b/>
      <w:color w:val="71818C"/>
      <w:sz w:val="26"/>
    </w:rPr>
  </w:style>
  <w:style w:type="character" w:customStyle="1" w:styleId="Nadpis3Char">
    <w:name w:val="Nadpis 3 Char"/>
    <w:basedOn w:val="Standardnpsmoodstavce"/>
    <w:link w:val="Nadpis3"/>
    <w:uiPriority w:val="9"/>
    <w:locked/>
    <w:rsid w:val="005E492C"/>
    <w:rPr>
      <w:rFonts w:ascii="Arial" w:eastAsia="MS Gothic" w:hAnsi="Arial" w:cs="Times New Roman"/>
      <w:b/>
      <w:color w:val="71818C"/>
      <w:sz w:val="24"/>
    </w:rPr>
  </w:style>
  <w:style w:type="character" w:customStyle="1" w:styleId="Nadpis4Char">
    <w:name w:val="Nadpis 4 Char"/>
    <w:basedOn w:val="Standardnpsmoodstavce"/>
    <w:link w:val="Nadpis4"/>
    <w:uiPriority w:val="9"/>
    <w:locked/>
    <w:rsid w:val="005E492C"/>
    <w:rPr>
      <w:rFonts w:ascii="Arial" w:eastAsia="MS Gothic" w:hAnsi="Arial" w:cs="Times New Roman"/>
      <w:b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sid w:val="007521A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locked/>
    <w:rsid w:val="007521A1"/>
    <w:rPr>
      <w:rFonts w:ascii="Calibri" w:hAnsi="Calibri" w:cs="Times New Roman"/>
      <w:b/>
      <w:bCs/>
      <w:sz w:val="22"/>
      <w:szCs w:val="22"/>
    </w:rPr>
  </w:style>
  <w:style w:type="character" w:styleId="Hypertextovodkaz">
    <w:name w:val="Hyperlink"/>
    <w:basedOn w:val="Standardnpsmoodstavce"/>
    <w:uiPriority w:val="99"/>
    <w:rsid w:val="00E71A58"/>
    <w:rPr>
      <w:rFonts w:cs="Times New Roman"/>
      <w:color w:val="0000FF"/>
      <w:u w:val="single"/>
    </w:rPr>
  </w:style>
  <w:style w:type="paragraph" w:customStyle="1" w:styleId="Styl1">
    <w:name w:val="Styl1"/>
    <w:rsid w:val="00E71A58"/>
    <w:pPr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styleId="Zhlav">
    <w:name w:val="header"/>
    <w:basedOn w:val="Normln"/>
    <w:link w:val="ZhlavChar"/>
    <w:rsid w:val="00E71A58"/>
    <w:pPr>
      <w:tabs>
        <w:tab w:val="center" w:pos="4536"/>
        <w:tab w:val="right" w:pos="9072"/>
      </w:tabs>
    </w:pPr>
    <w:rPr>
      <w:rFonts w:ascii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locked/>
    <w:rsid w:val="00E71A58"/>
    <w:rPr>
      <w:rFonts w:cs="Times New Roman"/>
    </w:rPr>
  </w:style>
  <w:style w:type="paragraph" w:styleId="Zpat">
    <w:name w:val="footer"/>
    <w:basedOn w:val="Normln"/>
    <w:link w:val="ZpatChar"/>
    <w:uiPriority w:val="99"/>
    <w:rsid w:val="00E71A58"/>
    <w:pPr>
      <w:tabs>
        <w:tab w:val="center" w:pos="4536"/>
        <w:tab w:val="right" w:pos="9072"/>
      </w:tabs>
    </w:pPr>
    <w:rPr>
      <w:rFonts w:ascii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E71A58"/>
    <w:rPr>
      <w:rFonts w:cs="Times New Roman"/>
    </w:rPr>
  </w:style>
  <w:style w:type="paragraph" w:styleId="Textbubliny">
    <w:name w:val="Balloon Text"/>
    <w:basedOn w:val="Normln"/>
    <w:link w:val="TextbublinyChar"/>
    <w:rsid w:val="00E71A58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E71A58"/>
    <w:rPr>
      <w:rFonts w:ascii="Tahoma" w:hAnsi="Tahoma" w:cs="Times New Roman"/>
      <w:sz w:val="16"/>
    </w:rPr>
  </w:style>
  <w:style w:type="paragraph" w:customStyle="1" w:styleId="Zkladnodstavec">
    <w:name w:val="[Základní odstavec]"/>
    <w:basedOn w:val="Normln"/>
    <w:link w:val="ZkladnodstavecChar"/>
    <w:uiPriority w:val="99"/>
    <w:rsid w:val="001714F2"/>
    <w:pPr>
      <w:autoSpaceDE w:val="0"/>
      <w:autoSpaceDN w:val="0"/>
      <w:adjustRightInd w:val="0"/>
      <w:textAlignment w:val="center"/>
    </w:pPr>
    <w:rPr>
      <w:rFonts w:ascii="Minion Pro" w:hAnsi="Minion Pro"/>
      <w:color w:val="000000"/>
      <w:sz w:val="24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5E492C"/>
    <w:pPr>
      <w:contextualSpacing/>
      <w:outlineLvl w:val="0"/>
    </w:pPr>
    <w:rPr>
      <w:rFonts w:eastAsia="MS Gothic"/>
      <w:b/>
      <w:caps/>
      <w:color w:val="71818C"/>
      <w:sz w:val="56"/>
      <w:szCs w:val="52"/>
    </w:rPr>
  </w:style>
  <w:style w:type="character" w:customStyle="1" w:styleId="NzevChar">
    <w:name w:val="Název Char"/>
    <w:basedOn w:val="Standardnpsmoodstavce"/>
    <w:link w:val="Nzev"/>
    <w:uiPriority w:val="10"/>
    <w:locked/>
    <w:rsid w:val="005E492C"/>
    <w:rPr>
      <w:rFonts w:ascii="Arial" w:eastAsia="MS Gothic" w:hAnsi="Arial" w:cs="Times New Roman"/>
      <w:b/>
      <w:caps/>
      <w:color w:val="71818C"/>
      <w:sz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5E492C"/>
    <w:pPr>
      <w:numPr>
        <w:ilvl w:val="1"/>
      </w:numPr>
    </w:pPr>
    <w:rPr>
      <w:rFonts w:eastAsia="MS Gothic"/>
      <w:b/>
      <w:iCs/>
      <w:color w:val="71818C"/>
      <w:sz w:val="28"/>
    </w:rPr>
  </w:style>
  <w:style w:type="character" w:customStyle="1" w:styleId="PodtitulChar">
    <w:name w:val="Podtitul Char"/>
    <w:basedOn w:val="Standardnpsmoodstavce"/>
    <w:link w:val="Podtitul"/>
    <w:uiPriority w:val="11"/>
    <w:locked/>
    <w:rsid w:val="005E492C"/>
    <w:rPr>
      <w:rFonts w:ascii="Arial" w:eastAsia="MS Gothic" w:hAnsi="Arial" w:cs="Times New Roman"/>
      <w:b/>
      <w:color w:val="71818C"/>
      <w:sz w:val="24"/>
    </w:rPr>
  </w:style>
  <w:style w:type="paragraph" w:customStyle="1" w:styleId="Bezmezer1">
    <w:name w:val="Bez mezer1"/>
    <w:aliases w:val="Bez zarážky"/>
    <w:link w:val="NoSpacingChar"/>
    <w:uiPriority w:val="1"/>
    <w:qFormat/>
    <w:rsid w:val="005E492C"/>
    <w:pPr>
      <w:spacing w:line="288" w:lineRule="auto"/>
    </w:pPr>
    <w:rPr>
      <w:rFonts w:ascii="Arial" w:hAnsi="Arial"/>
      <w:sz w:val="22"/>
      <w:szCs w:val="22"/>
    </w:rPr>
  </w:style>
  <w:style w:type="paragraph" w:customStyle="1" w:styleId="Box1">
    <w:name w:val="Box 1"/>
    <w:basedOn w:val="Zkladnodstavec"/>
    <w:next w:val="Normln"/>
    <w:qFormat/>
    <w:rsid w:val="005E492C"/>
    <w:pPr>
      <w:ind w:left="1134"/>
    </w:pPr>
    <w:rPr>
      <w:rFonts w:ascii="Arial" w:hAnsi="Arial" w:cs="Arial"/>
      <w:color w:val="71818C"/>
      <w:sz w:val="20"/>
    </w:rPr>
  </w:style>
  <w:style w:type="paragraph" w:customStyle="1" w:styleId="Box2">
    <w:name w:val="Box 2"/>
    <w:basedOn w:val="Zkladnodstavec"/>
    <w:link w:val="Box2Char"/>
    <w:rsid w:val="00010702"/>
    <w:pPr>
      <w:shd w:val="clear" w:color="auto" w:fill="CCC0D9"/>
      <w:tabs>
        <w:tab w:val="left" w:pos="9638"/>
      </w:tabs>
      <w:ind w:left="1134" w:right="-1"/>
      <w:jc w:val="both"/>
    </w:pPr>
    <w:rPr>
      <w:rFonts w:ascii="Arial" w:hAnsi="Arial"/>
      <w:b/>
    </w:rPr>
  </w:style>
  <w:style w:type="paragraph" w:customStyle="1" w:styleId="Box">
    <w:name w:val="Box"/>
    <w:next w:val="Normln"/>
    <w:link w:val="BoxChar"/>
    <w:qFormat/>
    <w:rsid w:val="005E492C"/>
    <w:pPr>
      <w:shd w:val="clear" w:color="auto" w:fill="EAECEE"/>
      <w:spacing w:line="288" w:lineRule="auto"/>
      <w:ind w:left="1134"/>
    </w:pPr>
    <w:rPr>
      <w:rFonts w:ascii="Arial" w:hAnsi="Arial"/>
      <w:color w:val="000000"/>
      <w:sz w:val="22"/>
      <w:szCs w:val="22"/>
    </w:rPr>
  </w:style>
  <w:style w:type="paragraph" w:customStyle="1" w:styleId="TL-Kontakty">
    <w:name w:val="TL - Kontakty"/>
    <w:next w:val="Normln"/>
    <w:link w:val="TL-KontaktyChar"/>
    <w:qFormat/>
    <w:rsid w:val="005E492C"/>
    <w:pPr>
      <w:spacing w:after="80"/>
    </w:pPr>
    <w:rPr>
      <w:rFonts w:ascii="Arial" w:hAnsi="Arial"/>
      <w:b/>
      <w:caps/>
      <w:color w:val="BD1B21"/>
      <w:sz w:val="22"/>
      <w:szCs w:val="22"/>
    </w:rPr>
  </w:style>
  <w:style w:type="character" w:customStyle="1" w:styleId="ZkladnodstavecChar">
    <w:name w:val="[Základní odstavec] Char"/>
    <w:link w:val="Zkladnodstavec"/>
    <w:uiPriority w:val="99"/>
    <w:locked/>
    <w:rsid w:val="006710C9"/>
    <w:rPr>
      <w:rFonts w:ascii="Minion Pro" w:hAnsi="Minion Pro"/>
      <w:color w:val="000000"/>
      <w:sz w:val="24"/>
    </w:rPr>
  </w:style>
  <w:style w:type="character" w:customStyle="1" w:styleId="Box2Char">
    <w:name w:val="Box 2 Char"/>
    <w:link w:val="Box2"/>
    <w:locked/>
    <w:rsid w:val="006710C9"/>
    <w:rPr>
      <w:rFonts w:ascii="Arial" w:hAnsi="Arial"/>
      <w:b/>
      <w:color w:val="000000"/>
      <w:sz w:val="24"/>
      <w:shd w:val="clear" w:color="auto" w:fill="CCC0D9"/>
    </w:rPr>
  </w:style>
  <w:style w:type="character" w:customStyle="1" w:styleId="BoxChar">
    <w:name w:val="Box Char"/>
    <w:link w:val="Box"/>
    <w:locked/>
    <w:rsid w:val="005E492C"/>
    <w:rPr>
      <w:rFonts w:ascii="Arial" w:hAnsi="Arial"/>
      <w:color w:val="000000"/>
      <w:sz w:val="22"/>
      <w:szCs w:val="22"/>
      <w:shd w:val="clear" w:color="auto" w:fill="EAECEE"/>
      <w:lang w:bidi="ar-SA"/>
    </w:rPr>
  </w:style>
  <w:style w:type="paragraph" w:customStyle="1" w:styleId="TL-Identifikace">
    <w:name w:val="TL - Identifikace"/>
    <w:next w:val="Normln"/>
    <w:link w:val="TL-IdentifikaceChar"/>
    <w:qFormat/>
    <w:rsid w:val="005E492C"/>
    <w:pPr>
      <w:spacing w:after="200" w:line="288" w:lineRule="auto"/>
    </w:pPr>
    <w:rPr>
      <w:rFonts w:ascii="Arial" w:hAnsi="Arial"/>
      <w:sz w:val="22"/>
      <w:szCs w:val="22"/>
    </w:rPr>
  </w:style>
  <w:style w:type="character" w:customStyle="1" w:styleId="TL-KontaktyChar">
    <w:name w:val="TL - Kontakty Char"/>
    <w:link w:val="TL-Kontakty"/>
    <w:locked/>
    <w:rsid w:val="005E492C"/>
    <w:rPr>
      <w:rFonts w:ascii="Arial" w:hAnsi="Arial"/>
      <w:b/>
      <w:caps/>
      <w:color w:val="BD1B21"/>
      <w:sz w:val="22"/>
      <w:szCs w:val="22"/>
      <w:lang w:bidi="ar-SA"/>
    </w:rPr>
  </w:style>
  <w:style w:type="character" w:customStyle="1" w:styleId="TL-IdentifikaceChar">
    <w:name w:val="TL - Identifikace Char"/>
    <w:link w:val="TL-Identifikace"/>
    <w:locked/>
    <w:rsid w:val="005E492C"/>
    <w:rPr>
      <w:rFonts w:ascii="Arial" w:hAnsi="Arial"/>
      <w:sz w:val="22"/>
      <w:szCs w:val="22"/>
      <w:lang w:bidi="ar-SA"/>
    </w:rPr>
  </w:style>
  <w:style w:type="paragraph" w:customStyle="1" w:styleId="3372873BB58A4DED866D2BE34882C06C">
    <w:name w:val="3372873BB58A4DED866D2BE34882C06C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233E5CD5853943F4BD7E8C4B124C0E1D">
    <w:name w:val="233E5CD5853943F4BD7E8C4B124C0E1D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D345FF3D873148C5AE3FBF3267827368">
    <w:name w:val="D345FF3D873148C5AE3FBF3267827368"/>
    <w:rsid w:val="00EE3E78"/>
    <w:pPr>
      <w:spacing w:after="200" w:line="276" w:lineRule="auto"/>
    </w:pPr>
    <w:rPr>
      <w:rFonts w:eastAsia="MS Mincho"/>
      <w:sz w:val="22"/>
      <w:szCs w:val="22"/>
    </w:rPr>
  </w:style>
  <w:style w:type="character" w:customStyle="1" w:styleId="NoSpacingChar">
    <w:name w:val="No Spacing Char"/>
    <w:aliases w:val="Bez zarážky Char"/>
    <w:link w:val="Bezmezer1"/>
    <w:uiPriority w:val="1"/>
    <w:locked/>
    <w:rsid w:val="005E492C"/>
    <w:rPr>
      <w:rFonts w:ascii="Arial" w:hAnsi="Arial"/>
      <w:sz w:val="22"/>
      <w:szCs w:val="22"/>
      <w:lang w:bidi="ar-SA"/>
    </w:rPr>
  </w:style>
  <w:style w:type="paragraph" w:customStyle="1" w:styleId="TL-identifikace-sted">
    <w:name w:val="TL - identifikace - střed"/>
    <w:basedOn w:val="Normln"/>
    <w:link w:val="TL-identifikace-stedChar"/>
    <w:qFormat/>
    <w:rsid w:val="005E492C"/>
    <w:pPr>
      <w:spacing w:after="200"/>
    </w:pPr>
    <w:rPr>
      <w:sz w:val="24"/>
      <w:szCs w:val="20"/>
    </w:rPr>
  </w:style>
  <w:style w:type="paragraph" w:customStyle="1" w:styleId="TL-Identifikace-dole">
    <w:name w:val="TL - Identifikace - dole"/>
    <w:basedOn w:val="Normln"/>
    <w:link w:val="TL-Identifikace-doleChar"/>
    <w:qFormat/>
    <w:rsid w:val="005E492C"/>
    <w:pPr>
      <w:spacing w:after="200"/>
    </w:pPr>
    <w:rPr>
      <w:szCs w:val="20"/>
      <w:lang w:eastAsia="ar-SA"/>
    </w:rPr>
  </w:style>
  <w:style w:type="character" w:customStyle="1" w:styleId="TL-identifikace-stedChar">
    <w:name w:val="TL - identifikace - střed Char"/>
    <w:link w:val="TL-identifikace-sted"/>
    <w:locked/>
    <w:rsid w:val="005E492C"/>
    <w:rPr>
      <w:rFonts w:ascii="Arial" w:hAnsi="Arial"/>
      <w:sz w:val="24"/>
    </w:rPr>
  </w:style>
  <w:style w:type="character" w:customStyle="1" w:styleId="TL-Identifikace-doleChar">
    <w:name w:val="TL - Identifikace - dole Char"/>
    <w:link w:val="TL-Identifikace-dole"/>
    <w:locked/>
    <w:rsid w:val="005E492C"/>
    <w:rPr>
      <w:rFonts w:ascii="Arial" w:hAnsi="Arial"/>
      <w:lang w:eastAsia="ar-SA" w:bidi="ar-SA"/>
    </w:rPr>
  </w:style>
  <w:style w:type="paragraph" w:styleId="Nadpisobsahu">
    <w:name w:val="TOC Heading"/>
    <w:basedOn w:val="Nadpis1"/>
    <w:next w:val="Normln"/>
    <w:uiPriority w:val="71"/>
    <w:qFormat/>
    <w:rsid w:val="007521A1"/>
    <w:pPr>
      <w:keepLines w:val="0"/>
      <w:spacing w:before="240" w:after="60"/>
      <w:outlineLvl w:val="9"/>
    </w:pPr>
    <w:rPr>
      <w:rFonts w:ascii="Cambria" w:eastAsia="Times New Roman" w:hAnsi="Cambria"/>
      <w:color w:val="auto"/>
      <w:kern w:val="32"/>
      <w:szCs w:val="32"/>
    </w:rPr>
  </w:style>
  <w:style w:type="paragraph" w:styleId="Obsah1">
    <w:name w:val="toc 1"/>
    <w:basedOn w:val="Normln"/>
    <w:next w:val="Normln"/>
    <w:autoRedefine/>
    <w:uiPriority w:val="39"/>
    <w:qFormat/>
    <w:rsid w:val="00E921C7"/>
    <w:pPr>
      <w:tabs>
        <w:tab w:val="left" w:pos="660"/>
        <w:tab w:val="right" w:leader="dot" w:pos="9628"/>
      </w:tabs>
      <w:spacing w:after="100" w:line="360" w:lineRule="auto"/>
      <w:jc w:val="both"/>
    </w:pPr>
    <w:rPr>
      <w:rFonts w:cs="Arial"/>
      <w:b/>
      <w:noProof/>
      <w:szCs w:val="20"/>
      <w:lang w:eastAsia="en-US"/>
    </w:rPr>
  </w:style>
  <w:style w:type="paragraph" w:styleId="Obsah2">
    <w:name w:val="toc 2"/>
    <w:basedOn w:val="Normln"/>
    <w:next w:val="Normln"/>
    <w:autoRedefine/>
    <w:uiPriority w:val="39"/>
    <w:rsid w:val="00D142E5"/>
    <w:pPr>
      <w:ind w:left="200"/>
    </w:pPr>
  </w:style>
  <w:style w:type="paragraph" w:styleId="Obsah3">
    <w:name w:val="toc 3"/>
    <w:basedOn w:val="Normln"/>
    <w:next w:val="Normln"/>
    <w:autoRedefine/>
    <w:uiPriority w:val="39"/>
    <w:rsid w:val="00D142E5"/>
    <w:pPr>
      <w:ind w:left="400"/>
    </w:pPr>
  </w:style>
  <w:style w:type="paragraph" w:styleId="Textpoznpodarou">
    <w:name w:val="footnote text"/>
    <w:aliases w:val="Text pozn. pod čarou_martin_ang"/>
    <w:basedOn w:val="Normln"/>
    <w:link w:val="TextpoznpodarouChar"/>
    <w:rsid w:val="00972263"/>
    <w:pPr>
      <w:spacing w:line="240" w:lineRule="auto"/>
    </w:pPr>
    <w:rPr>
      <w:szCs w:val="20"/>
    </w:rPr>
  </w:style>
  <w:style w:type="character" w:customStyle="1" w:styleId="TextpoznpodarouChar">
    <w:name w:val="Text pozn. pod čarou Char"/>
    <w:aliases w:val="Text pozn. pod čarou_martin_ang Char"/>
    <w:basedOn w:val="Standardnpsmoodstavce"/>
    <w:link w:val="Textpoznpodarou"/>
    <w:locked/>
    <w:rsid w:val="00972263"/>
    <w:rPr>
      <w:rFonts w:ascii="Arial" w:hAnsi="Arial" w:cs="Times New Roman"/>
    </w:rPr>
  </w:style>
  <w:style w:type="character" w:styleId="Znakapoznpodarou">
    <w:name w:val="footnote reference"/>
    <w:basedOn w:val="Standardnpsmoodstavce"/>
    <w:rsid w:val="00972263"/>
    <w:rPr>
      <w:rFonts w:cs="Times New Roman"/>
      <w:vertAlign w:val="superscript"/>
    </w:rPr>
  </w:style>
  <w:style w:type="paragraph" w:styleId="Rozvrendokumentu">
    <w:name w:val="Document Map"/>
    <w:basedOn w:val="Normln"/>
    <w:link w:val="RozvrendokumentuChar"/>
    <w:uiPriority w:val="99"/>
    <w:semiHidden/>
    <w:rsid w:val="00D5626D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locked/>
    <w:rsid w:val="00D5626D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E921C7"/>
    <w:rPr>
      <w:rFonts w:cs="Times New Roman"/>
      <w:b/>
      <w:bCs/>
    </w:rPr>
  </w:style>
  <w:style w:type="paragraph" w:styleId="Odstavecseseznamem">
    <w:name w:val="List Paragraph"/>
    <w:basedOn w:val="Normln"/>
    <w:uiPriority w:val="34"/>
    <w:qFormat/>
    <w:rsid w:val="0046039A"/>
    <w:pPr>
      <w:ind w:left="708"/>
    </w:pPr>
  </w:style>
  <w:style w:type="table" w:styleId="Mkatabulky">
    <w:name w:val="Table Grid"/>
    <w:basedOn w:val="Normlntabulka"/>
    <w:uiPriority w:val="59"/>
    <w:rsid w:val="000779A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1">
    <w:name w:val="Mřížka tabulky1"/>
    <w:uiPriority w:val="59"/>
    <w:rsid w:val="003D476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ledovanodkaz">
    <w:name w:val="FollowedHyperlink"/>
    <w:basedOn w:val="Standardnpsmoodstavce"/>
    <w:uiPriority w:val="99"/>
    <w:semiHidden/>
    <w:unhideWhenUsed/>
    <w:locked/>
    <w:rsid w:val="00B3133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46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6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6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46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446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6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6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46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6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46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46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6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465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4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emf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emf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emf"/><Relationship Id="rId44" Type="http://schemas.openxmlformats.org/officeDocument/2006/relationships/image" Target="media/image33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emf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atistikaamy.cz/2015/05/proc-dluh-klesa-i-pri-deficitech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OVA~1\AppData\Local\Temp\publikace%20bar_vicetematick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35417B-9081-4214-9395-59BBCAA59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bar_vicetematicke</Template>
  <TotalTime>18</TotalTime>
  <Pages>18</Pages>
  <Words>8465</Words>
  <Characters>46200</Characters>
  <Application>Microsoft Office Word</Application>
  <DocSecurity>0</DocSecurity>
  <Lines>385</Lines>
  <Paragraphs>109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54556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Dubská, Kučera, Kamenický</dc:creator>
  <cp:lastModifiedBy>Ing. Drahomíra Dubská, CSc.</cp:lastModifiedBy>
  <cp:revision>7</cp:revision>
  <cp:lastPrinted>2015-07-30T06:16:00Z</cp:lastPrinted>
  <dcterms:created xsi:type="dcterms:W3CDTF">2015-07-30T08:59:00Z</dcterms:created>
  <dcterms:modified xsi:type="dcterms:W3CDTF">2015-07-30T10:01:00Z</dcterms:modified>
</cp:coreProperties>
</file>