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176E1B" w:rsidRDefault="0097104F" w:rsidP="0097104F">
      <w:pPr>
        <w:jc w:val="both"/>
        <w:rPr>
          <w:rFonts w:cs="Arial"/>
        </w:rPr>
      </w:pPr>
      <w:r w:rsidRPr="00176E1B">
        <w:rPr>
          <w:rFonts w:cs="Arial"/>
        </w:rPr>
        <w:t xml:space="preserve">Ve spotřebních koších byl v rámci komplexní revize, která </w:t>
      </w:r>
      <w:r w:rsidR="0091747B" w:rsidRPr="00176E1B">
        <w:rPr>
          <w:rFonts w:cs="Arial"/>
        </w:rPr>
        <w:t>proběhla za jednotlivé cenové okruhy v roce 2017</w:t>
      </w:r>
      <w:r w:rsidRPr="00176E1B">
        <w:rPr>
          <w:rFonts w:cs="Arial"/>
        </w:rPr>
        <w:t xml:space="preserve">, proveden nový detailní výběr výrobků a služeb - cenových reprezentantů a konstruován nový váhový systém. </w:t>
      </w:r>
      <w:r w:rsidR="0091747B" w:rsidRPr="00176E1B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nahrazuje původní klasifikaci (CZ-COICOP – </w:t>
      </w:r>
      <w:proofErr w:type="spellStart"/>
      <w:r w:rsidR="0091747B" w:rsidRPr="00176E1B">
        <w:rPr>
          <w:rFonts w:cs="Arial"/>
        </w:rPr>
        <w:t>Classification</w:t>
      </w:r>
      <w:proofErr w:type="spellEnd"/>
      <w:r w:rsidR="0091747B" w:rsidRPr="00176E1B">
        <w:rPr>
          <w:rFonts w:cs="Arial"/>
        </w:rPr>
        <w:t xml:space="preserve"> </w:t>
      </w:r>
      <w:proofErr w:type="spellStart"/>
      <w:r w:rsidR="0091747B" w:rsidRPr="00176E1B">
        <w:rPr>
          <w:rFonts w:cs="Arial"/>
        </w:rPr>
        <w:t>of</w:t>
      </w:r>
      <w:proofErr w:type="spellEnd"/>
      <w:r w:rsidR="0091747B" w:rsidRPr="00176E1B">
        <w:rPr>
          <w:rFonts w:cs="Arial"/>
        </w:rPr>
        <w:t> </w:t>
      </w:r>
      <w:proofErr w:type="spellStart"/>
      <w:r w:rsidR="0091747B" w:rsidRPr="00176E1B">
        <w:rPr>
          <w:rFonts w:cs="Arial"/>
        </w:rPr>
        <w:t>Individual</w:t>
      </w:r>
      <w:proofErr w:type="spellEnd"/>
      <w:r w:rsidR="0091747B" w:rsidRPr="00176E1B">
        <w:rPr>
          <w:rFonts w:cs="Arial"/>
        </w:rPr>
        <w:t xml:space="preserve"> </w:t>
      </w:r>
      <w:proofErr w:type="spellStart"/>
      <w:r w:rsidR="0091747B" w:rsidRPr="00176E1B">
        <w:rPr>
          <w:rFonts w:cs="Arial"/>
        </w:rPr>
        <w:t>Consumption</w:t>
      </w:r>
      <w:proofErr w:type="spellEnd"/>
      <w:r w:rsidR="0091747B" w:rsidRPr="00176E1B">
        <w:rPr>
          <w:rFonts w:cs="Arial"/>
        </w:rPr>
        <w:t xml:space="preserve"> by </w:t>
      </w:r>
      <w:proofErr w:type="spellStart"/>
      <w:r w:rsidR="0091747B" w:rsidRPr="00176E1B">
        <w:rPr>
          <w:rFonts w:cs="Arial"/>
        </w:rPr>
        <w:t>Purpose</w:t>
      </w:r>
      <w:proofErr w:type="spellEnd"/>
      <w:r w:rsidR="0091747B" w:rsidRPr="00176E1B">
        <w:rPr>
          <w:rFonts w:cs="Arial"/>
        </w:rPr>
        <w:t xml:space="preserve">). Ta zavádí do spotřebního koše podrobnější členění, třídění výrobků a služeb do </w:t>
      </w:r>
      <w:r w:rsidR="0091747B" w:rsidRPr="00176E1B">
        <w:rPr>
          <w:rFonts w:cs="Arial"/>
          <w:b/>
        </w:rPr>
        <w:t>12 oddílů</w:t>
      </w:r>
      <w:r w:rsidR="0091747B" w:rsidRPr="00176E1B">
        <w:rPr>
          <w:rFonts w:cs="Arial"/>
        </w:rPr>
        <w:t xml:space="preserve"> zůstává zachováno. K této změně dochází dle nařízení Evropského parlamentu a Rady EU 2016/792. 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83610C">
        <w:rPr>
          <w:rFonts w:cs="Arial"/>
          <w:noProof/>
        </w:rPr>
        <w:t xml:space="preserve"> veškeré potraviny včetně nealkoholických nápojů.</w:t>
      </w:r>
    </w:p>
    <w:p w:rsidR="0097104F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176E1B">
        <w:rPr>
          <w:rFonts w:cs="Arial"/>
          <w:b/>
          <w:bCs/>
        </w:rPr>
        <w:t xml:space="preserve">Alkoholické nápoje, </w:t>
      </w:r>
      <w:r w:rsidR="0097104F" w:rsidRPr="00176E1B">
        <w:rPr>
          <w:rFonts w:cs="Arial"/>
          <w:b/>
          <w:bCs/>
        </w:rPr>
        <w:t>tabák</w:t>
      </w:r>
      <w:r w:rsidR="0097104F">
        <w:rPr>
          <w:rFonts w:cs="Arial"/>
          <w:b/>
          <w:bCs/>
        </w:rPr>
        <w:t xml:space="preserve"> </w:t>
      </w:r>
      <w:r w:rsidR="00176E1B">
        <w:rPr>
          <w:rFonts w:cs="Arial"/>
        </w:rPr>
        <w:t>–</w:t>
      </w:r>
      <w:r w:rsidR="0097104F">
        <w:rPr>
          <w:rFonts w:cs="Arial"/>
        </w:rPr>
        <w:t xml:space="preserve">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</w:t>
      </w:r>
      <w:r w:rsidR="00176E1B">
        <w:rPr>
          <w:rFonts w:cs="Arial"/>
        </w:rPr>
        <w:t>–</w:t>
      </w:r>
      <w:r>
        <w:rPr>
          <w:rFonts w:cs="Arial"/>
        </w:rPr>
        <w:t xml:space="preserve">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F3ED0">
        <w:rPr>
          <w:rFonts w:cs="Arial"/>
          <w:noProof/>
        </w:rPr>
        <w:t xml:space="preserve">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="00176E1B">
        <w:rPr>
          <w:rFonts w:cs="Arial"/>
          <w:noProof/>
        </w:rPr>
        <w:t xml:space="preserve"> – </w:t>
      </w:r>
      <w:r w:rsidRPr="00013567">
        <w:rPr>
          <w:rFonts w:cs="Arial"/>
          <w:noProof/>
        </w:rPr>
        <w:t>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13567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13567">
        <w:rPr>
          <w:rFonts w:cs="Arial"/>
          <w:noProof/>
        </w:rPr>
        <w:t xml:space="preserve">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 xml:space="preserve">robky, </w:t>
      </w:r>
      <w:r w:rsidR="009210A4" w:rsidRPr="006A77B2">
        <w:rPr>
          <w:rFonts w:cs="Arial"/>
          <w:noProof/>
        </w:rPr>
        <w:t>klenoty, hodinky, kožená galanterie</w:t>
      </w:r>
      <w:r w:rsidRPr="006A77B2">
        <w:rPr>
          <w:rFonts w:cs="Arial"/>
          <w:noProof/>
        </w:rPr>
        <w:t>, pojištění (osob, bytů, domů, automobilů), sociální a </w:t>
      </w:r>
      <w:r w:rsidR="00561F15" w:rsidRPr="006A77B2">
        <w:rPr>
          <w:rFonts w:cs="Arial"/>
          <w:noProof/>
        </w:rPr>
        <w:t>finanční služby, administrativní poplatky, právní služby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176E1B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</w:t>
            </w:r>
            <w:r w:rsidRPr="00176E1B">
              <w:rPr>
                <w:rFonts w:cs="Arial"/>
              </w:rPr>
              <w:t>Potraviny a nealkoholické nápoje</w:t>
            </w:r>
          </w:p>
          <w:p w:rsidR="0097104F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176E1B">
              <w:rPr>
                <w:rFonts w:cs="Arial"/>
              </w:rPr>
              <w:t xml:space="preserve"> 2. Alkoholické nápoje, t</w:t>
            </w:r>
            <w:r w:rsidR="0097104F" w:rsidRPr="00176E1B">
              <w:rPr>
                <w:rFonts w:cs="Arial"/>
              </w:rPr>
              <w:t>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10.Vzdělávání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11.Stravování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12.Ostatní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115262">
              <w:rPr>
                <w:rFonts w:cs="Arial"/>
              </w:rPr>
              <w:t>2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176E1B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>159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23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65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41</w:t>
            </w:r>
          </w:p>
          <w:p w:rsidR="0097104F" w:rsidRPr="00176E1B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79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18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8</w:t>
            </w:r>
            <w:r w:rsidR="00B023AE" w:rsidRPr="00176E1B">
              <w:rPr>
                <w:rFonts w:cs="Arial"/>
              </w:rPr>
              <w:t>7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 </w:t>
            </w:r>
            <w:r w:rsidR="00B023AE" w:rsidRPr="00176E1B">
              <w:rPr>
                <w:rFonts w:cs="Arial"/>
              </w:rPr>
              <w:t>8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>10</w:t>
            </w:r>
            <w:r w:rsidR="00B023AE" w:rsidRPr="00176E1B">
              <w:rPr>
                <w:rFonts w:cs="Arial"/>
              </w:rPr>
              <w:t>8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12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5</w:t>
            </w:r>
            <w:r w:rsidR="00B023AE" w:rsidRPr="00176E1B">
              <w:rPr>
                <w:rFonts w:cs="Arial"/>
              </w:rPr>
              <w:t>0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A77BC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176E1B">
        <w:t xml:space="preserve">V roce 2017 proběhla komplexní revize váhového systému. Váhy jsou od ledna roku 2018 zaktualizovány na základě výdajů domácností statistiky národních účtů  z roku 2016. Váhy pro detailní cenové reprezentanty jsou vypočteny dle údajů statistiky rodinných účtů z roku 2016 a dalších dostupných zdrojů a šetření. Od ledna roku 2018 jsou publikované cenové indexy vypočteny podle revidovaných </w:t>
      </w:r>
      <w:r w:rsidR="00542FE5" w:rsidRPr="00176E1B">
        <w:t>váhových</w:t>
      </w:r>
      <w:r w:rsidRPr="00176E1B">
        <w:t xml:space="preserve"> schémat.</w:t>
      </w:r>
      <w:r w:rsidRPr="009A77BC">
        <w:t xml:space="preserve"> 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176E1B">
        <w:rPr>
          <w:rFonts w:cs="Arial"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</w:t>
      </w:r>
      <w:r w:rsidRPr="00176E1B">
        <w:rPr>
          <w:rFonts w:cs="Arial"/>
        </w:rPr>
        <w:t xml:space="preserve">, </w:t>
      </w:r>
      <w:r w:rsidR="009A77BC" w:rsidRPr="00176E1B">
        <w:rPr>
          <w:rFonts w:cs="Arial"/>
        </w:rPr>
        <w:t xml:space="preserve">tj. </w:t>
      </w:r>
      <w:r w:rsidR="009A77BC" w:rsidRPr="00176E1B">
        <w:rPr>
          <w:rFonts w:cs="Arial"/>
          <w:bCs/>
        </w:rPr>
        <w:t>domácnosti s osobou v čele, která pobírá</w:t>
      </w:r>
      <w:r w:rsidR="009A77BC" w:rsidRPr="00176E1B">
        <w:rPr>
          <w:rFonts w:cs="Arial"/>
          <w:b/>
        </w:rPr>
        <w:t xml:space="preserve"> </w:t>
      </w:r>
      <w:r w:rsidR="009A77BC" w:rsidRPr="00176E1B">
        <w:rPr>
          <w:rFonts w:cs="Arial"/>
        </w:rPr>
        <w:t>jakýkoliv druh důchodu kromě sirotčího, a nepracuje buď vůbec, nebo má její pracovní činnost pouze omezený rozsah (</w:t>
      </w:r>
      <w:proofErr w:type="gramStart"/>
      <w:r w:rsidR="009A77BC" w:rsidRPr="00176E1B">
        <w:rPr>
          <w:rFonts w:cs="Arial"/>
        </w:rPr>
        <w:t>tzn.</w:t>
      </w:r>
      <w:proofErr w:type="gramEnd"/>
      <w:r w:rsidR="009A77BC" w:rsidRPr="00176E1B">
        <w:rPr>
          <w:rFonts w:cs="Arial"/>
        </w:rPr>
        <w:t xml:space="preserve"> příjmy z pracovní činnosti </w:t>
      </w:r>
      <w:proofErr w:type="gramStart"/>
      <w:r w:rsidR="009A77BC" w:rsidRPr="00176E1B">
        <w:rPr>
          <w:rFonts w:cs="Arial"/>
        </w:rPr>
        <w:t>nepřesáhnou</w:t>
      </w:r>
      <w:proofErr w:type="gramEnd"/>
      <w:r w:rsidR="009A77BC" w:rsidRPr="00176E1B">
        <w:rPr>
          <w:rFonts w:cs="Arial"/>
        </w:rPr>
        <w:t xml:space="preserve"> za rok 55 200 Kč); podmínka omezené ekonomické aktivity platí i pro ostatní členy domácnosti.</w:t>
      </w:r>
      <w:r w:rsidR="009A77BC">
        <w:rPr>
          <w:rFonts w:cs="Arial"/>
        </w:rPr>
        <w:t xml:space="preserve"> </w:t>
      </w: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25pt;height:42.1pt" o:ole="">
            <v:imagedata r:id="rId8" o:title=""/>
          </v:shape>
          <o:OLEObject Type="Embed" ProgID="Equation.3" ShapeID="_x0000_i1025" DrawAspect="Content" ObjectID="_1582971963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176E1B">
        <w:t xml:space="preserve">Od ledna 2018 došlo u cenových indexů ke změně cenového referenčního období z prosince 2015 na prosinec 2017. </w:t>
      </w:r>
      <w:r w:rsidRPr="00176E1B">
        <w:rPr>
          <w:rFonts w:cs="Arial"/>
          <w:iCs/>
          <w:szCs w:val="20"/>
        </w:rPr>
        <w:t xml:space="preserve"> Nově vypočítávané indexy o základu prosinec 2017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EC" w:rsidRDefault="005168EC" w:rsidP="00E71A58">
      <w:r>
        <w:separator/>
      </w:r>
    </w:p>
  </w:endnote>
  <w:endnote w:type="continuationSeparator" w:id="0">
    <w:p w:rsidR="005168EC" w:rsidRDefault="005168E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6E4FD3">
      <w:rPr>
        <w:szCs w:val="16"/>
      </w:rPr>
      <w:t>únor</w:t>
    </w:r>
    <w:r>
      <w:rPr>
        <w:rStyle w:val="ZpatChar"/>
        <w:szCs w:val="16"/>
      </w:rPr>
      <w:t xml:space="preserve"> 201</w:t>
    </w:r>
    <w:r w:rsidR="00F31A6C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6E4FD3">
      <w:rPr>
        <w:rStyle w:val="ZpatChar"/>
        <w:i/>
        <w:szCs w:val="16"/>
      </w:rPr>
      <w:t>Februa</w:t>
    </w:r>
    <w:r w:rsidR="00F31A6C">
      <w:rPr>
        <w:rStyle w:val="ZpatChar"/>
        <w:i/>
        <w:szCs w:val="16"/>
      </w:rPr>
      <w:t>ry</w:t>
    </w:r>
    <w:r>
      <w:rPr>
        <w:rStyle w:val="ZpatChar"/>
        <w:i/>
        <w:szCs w:val="16"/>
      </w:rPr>
      <w:t xml:space="preserve"> 201</w:t>
    </w:r>
    <w:r w:rsidR="00F31A6C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EC" w:rsidRDefault="005168EC" w:rsidP="00E71A58">
      <w:r>
        <w:separator/>
      </w:r>
    </w:p>
  </w:footnote>
  <w:footnote w:type="continuationSeparator" w:id="0">
    <w:p w:rsidR="005168EC" w:rsidRDefault="005168EC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5pt;height:10.8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17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34D6"/>
    <w:rsid w:val="00023D29"/>
    <w:rsid w:val="0002623C"/>
    <w:rsid w:val="00026389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07B7A"/>
    <w:rsid w:val="00115262"/>
    <w:rsid w:val="0012192F"/>
    <w:rsid w:val="00122F92"/>
    <w:rsid w:val="00125D69"/>
    <w:rsid w:val="001405FA"/>
    <w:rsid w:val="001425C3"/>
    <w:rsid w:val="00145914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438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16DAF"/>
    <w:rsid w:val="003205EC"/>
    <w:rsid w:val="003209D6"/>
    <w:rsid w:val="0032656E"/>
    <w:rsid w:val="00332190"/>
    <w:rsid w:val="00336925"/>
    <w:rsid w:val="00344668"/>
    <w:rsid w:val="003462D9"/>
    <w:rsid w:val="003505F5"/>
    <w:rsid w:val="003657F3"/>
    <w:rsid w:val="003818DC"/>
    <w:rsid w:val="003846A9"/>
    <w:rsid w:val="00385D98"/>
    <w:rsid w:val="00390FD1"/>
    <w:rsid w:val="003A2B4D"/>
    <w:rsid w:val="003A478C"/>
    <w:rsid w:val="003A5525"/>
    <w:rsid w:val="003A6B38"/>
    <w:rsid w:val="003B5A32"/>
    <w:rsid w:val="003C3490"/>
    <w:rsid w:val="003D0D6A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5802"/>
    <w:rsid w:val="005D5AE7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7F0CDC"/>
    <w:rsid w:val="007F3F1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3506"/>
    <w:rsid w:val="008D4DAD"/>
    <w:rsid w:val="008E2677"/>
    <w:rsid w:val="008E2C57"/>
    <w:rsid w:val="008E31FF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4AC8"/>
    <w:rsid w:val="0092597A"/>
    <w:rsid w:val="00930CFE"/>
    <w:rsid w:val="009376C3"/>
    <w:rsid w:val="00937AE2"/>
    <w:rsid w:val="0094427A"/>
    <w:rsid w:val="00956240"/>
    <w:rsid w:val="0097104F"/>
    <w:rsid w:val="00974923"/>
    <w:rsid w:val="00980D3D"/>
    <w:rsid w:val="00992CF3"/>
    <w:rsid w:val="009968D6"/>
    <w:rsid w:val="009970B5"/>
    <w:rsid w:val="009A1CAB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792B"/>
    <w:rsid w:val="00AD306C"/>
    <w:rsid w:val="00AE09B3"/>
    <w:rsid w:val="00AE1A83"/>
    <w:rsid w:val="00B00913"/>
    <w:rsid w:val="00B01593"/>
    <w:rsid w:val="00B023AE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3BE4"/>
    <w:rsid w:val="00E93820"/>
    <w:rsid w:val="00E94862"/>
    <w:rsid w:val="00E96E34"/>
    <w:rsid w:val="00EA0C68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C0E5F"/>
    <w:rsid w:val="00FC1A95"/>
    <w:rsid w:val="00FC56DE"/>
    <w:rsid w:val="00FC6095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D00C-1856-4CFD-AB41-52ADAE43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11</TotalTime>
  <Pages>1</Pages>
  <Words>1083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8</cp:revision>
  <cp:lastPrinted>2017-02-13T12:08:00Z</cp:lastPrinted>
  <dcterms:created xsi:type="dcterms:W3CDTF">2018-02-21T13:27:00Z</dcterms:created>
  <dcterms:modified xsi:type="dcterms:W3CDTF">2018-03-19T12:40:00Z</dcterms:modified>
</cp:coreProperties>
</file>