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60A2" w14:textId="77777777" w:rsidR="006B1AFC" w:rsidRPr="009110F7" w:rsidRDefault="006B1AFC" w:rsidP="009324EF">
      <w:pPr>
        <w:pStyle w:val="Nadpis1"/>
      </w:pPr>
      <w:bookmarkStart w:id="0" w:name="_Toc239947444"/>
      <w:bookmarkStart w:id="1" w:name="_Toc240366893"/>
      <w:bookmarkStart w:id="2" w:name="_Toc169258116"/>
      <w:bookmarkStart w:id="3" w:name="_Toc153531176"/>
      <w:bookmarkStart w:id="4" w:name="_Toc176767107"/>
      <w:bookmarkStart w:id="5" w:name="_Toc161914427"/>
      <w:bookmarkStart w:id="6" w:name="_Toc193366678"/>
      <w:bookmarkStart w:id="7" w:name="_Toc176767109"/>
      <w:bookmarkStart w:id="8" w:name="_Toc224903148"/>
      <w:bookmarkStart w:id="9" w:name="_Toc193366677"/>
      <w:r>
        <w:t>2. Souhrnná výkonnost</w:t>
      </w:r>
      <w:bookmarkEnd w:id="0"/>
      <w:bookmarkEnd w:id="1"/>
    </w:p>
    <w:tbl>
      <w:tblPr>
        <w:tblW w:w="9639" w:type="dxa"/>
        <w:tblInd w:w="-20" w:type="dxa"/>
        <w:tblLayout w:type="fixed"/>
        <w:tblCellMar>
          <w:left w:w="0" w:type="dxa"/>
          <w:right w:w="0" w:type="dxa"/>
        </w:tblCellMar>
        <w:tblLook w:val="00A0" w:firstRow="1" w:lastRow="0" w:firstColumn="1" w:lastColumn="0" w:noHBand="0" w:noVBand="0"/>
      </w:tblPr>
      <w:tblGrid>
        <w:gridCol w:w="1806"/>
        <w:gridCol w:w="210"/>
        <w:gridCol w:w="7623"/>
      </w:tblGrid>
      <w:tr w:rsidR="006B1AFC" w:rsidRPr="009110F7" w14:paraId="5AB0F875" w14:textId="77777777" w:rsidTr="003C4A79">
        <w:trPr>
          <w:trHeight w:val="145"/>
        </w:trPr>
        <w:tc>
          <w:tcPr>
            <w:tcW w:w="1806" w:type="dxa"/>
            <w:tcMar>
              <w:left w:w="0" w:type="dxa"/>
            </w:tcMar>
          </w:tcPr>
          <w:p w14:paraId="1BE8FB4C" w14:textId="77777777" w:rsidR="006B1AFC" w:rsidRDefault="006B1AFC" w:rsidP="003C4A79">
            <w:pPr>
              <w:pStyle w:val="Marginlie"/>
            </w:pPr>
            <w:r>
              <w:t>Mezičtvrtletní růst HDP ve 2. kvartálu zrychlil.</w:t>
            </w:r>
          </w:p>
        </w:tc>
        <w:tc>
          <w:tcPr>
            <w:tcW w:w="210" w:type="dxa"/>
            <w:tcMar>
              <w:left w:w="0" w:type="dxa"/>
            </w:tcMar>
          </w:tcPr>
          <w:p w14:paraId="53FD6148" w14:textId="77777777" w:rsidR="006B1AFC" w:rsidRDefault="006B1AFC" w:rsidP="003C4A79">
            <w:pPr>
              <w:pStyle w:val="Textpoznpodarou"/>
              <w:jc w:val="both"/>
              <w:rPr>
                <w:spacing w:val="-4"/>
              </w:rPr>
            </w:pPr>
          </w:p>
        </w:tc>
        <w:tc>
          <w:tcPr>
            <w:tcW w:w="7623" w:type="dxa"/>
            <w:tcMar>
              <w:left w:w="0" w:type="dxa"/>
            </w:tcMar>
          </w:tcPr>
          <w:p w14:paraId="3A89FCB8" w14:textId="77777777" w:rsidR="006B1AFC" w:rsidRPr="00014ED0" w:rsidRDefault="006B1AFC" w:rsidP="003C4A79">
            <w:pPr>
              <w:rPr>
                <w:spacing w:val="-2"/>
              </w:rPr>
            </w:pPr>
            <w:r>
              <w:rPr>
                <w:spacing w:val="-2"/>
              </w:rPr>
              <w:t>Česká ekonomika na výrazné zpomalení z 1. kvartálu navázala ve 2. čtvrtletí mírným posílením mezičtvrtletní dynamiky. Mezičtvrtletní přírůstek hrubého domácího produktu (HDP)</w:t>
            </w:r>
            <w:r w:rsidRPr="00014ED0">
              <w:rPr>
                <w:rStyle w:val="Znakapoznpodarou"/>
                <w:rFonts w:cs="Arial"/>
                <w:spacing w:val="-2"/>
              </w:rPr>
              <w:footnoteReference w:id="1"/>
            </w:r>
            <w:r>
              <w:rPr>
                <w:spacing w:val="-2"/>
              </w:rPr>
              <w:t xml:space="preserve"> ve 2. čtvrtletí zrychlil na 0,4 %, ale úrovní loňského roku nedosáhl. Tomuto oživení napomohla především zahraniční poptávka. Domácí poptávka v posledních dvou letech byla a zůstává klíčovým tahounem růstu HDP, ale v posledních dvou kvartálech se umenšil pozitivní vliv spotřeby, a naopak hlavní roli v růstu HDP převzalo oživení investiční aktivity. Ve směru mezičtvrtletního poklesu HDP ve 2. čtvrtletí působila změna zásob. Meziroční přírůstek HDP zvolnil na 1,9 %. Nejvíce podpořily meziroční růst HDP investice. Mírněji ale stále výrazně přispívala také spotřeba domácností a drobný příspěvek vykázala i spotřeba vládních institucí a zahraniční poptávka. Tyto příznivé vlivy kompenzovalo negativní působení změny zásob. </w:t>
            </w:r>
          </w:p>
        </w:tc>
      </w:tr>
      <w:tr w:rsidR="006B1AFC" w:rsidRPr="009110F7" w14:paraId="205B3877" w14:textId="77777777" w:rsidTr="003C4A79">
        <w:trPr>
          <w:trHeight w:val="170"/>
        </w:trPr>
        <w:tc>
          <w:tcPr>
            <w:tcW w:w="1806" w:type="dxa"/>
            <w:vMerge w:val="restart"/>
            <w:tcMar>
              <w:left w:w="0" w:type="dxa"/>
            </w:tcMar>
          </w:tcPr>
          <w:p w14:paraId="523883A2" w14:textId="77777777" w:rsidR="006B1AFC" w:rsidRDefault="006B1AFC" w:rsidP="003C4A79">
            <w:pPr>
              <w:pStyle w:val="Marginlie"/>
            </w:pPr>
          </w:p>
        </w:tc>
        <w:tc>
          <w:tcPr>
            <w:tcW w:w="210" w:type="dxa"/>
            <w:vMerge w:val="restart"/>
            <w:tcMar>
              <w:left w:w="0" w:type="dxa"/>
            </w:tcMar>
          </w:tcPr>
          <w:p w14:paraId="5D1EC39A" w14:textId="77777777" w:rsidR="006B1AFC" w:rsidRDefault="006B1AFC" w:rsidP="003C4A79">
            <w:pPr>
              <w:pStyle w:val="Textpoznpodarou"/>
              <w:jc w:val="both"/>
              <w:rPr>
                <w:spacing w:val="-4"/>
              </w:rPr>
            </w:pPr>
          </w:p>
        </w:tc>
        <w:tc>
          <w:tcPr>
            <w:tcW w:w="7623" w:type="dxa"/>
            <w:tcMar>
              <w:left w:w="0" w:type="dxa"/>
            </w:tcMar>
          </w:tcPr>
          <w:p w14:paraId="0042DE6A" w14:textId="77777777" w:rsidR="006B1AFC" w:rsidRPr="00D721B4" w:rsidRDefault="006B1AFC" w:rsidP="003C4A79">
            <w:pPr>
              <w:spacing w:after="0"/>
              <w:rPr>
                <w:b/>
                <w:bCs/>
              </w:rPr>
            </w:pPr>
            <w:r w:rsidRPr="00D721B4">
              <w:rPr>
                <w:b/>
                <w:szCs w:val="20"/>
              </w:rPr>
              <w:t>Graf č. </w:t>
            </w:r>
            <w:r>
              <w:rPr>
                <w:b/>
                <w:szCs w:val="20"/>
              </w:rPr>
              <w:t xml:space="preserve">1 </w:t>
            </w:r>
            <w:r w:rsidRPr="00D721B4">
              <w:rPr>
                <w:rFonts w:cs="Arial"/>
                <w:b/>
                <w:szCs w:val="20"/>
                <w:lang w:eastAsia="en-US"/>
              </w:rPr>
              <w:t xml:space="preserve">Příspěvky výdajových složek k reálné změně HDP* </w:t>
            </w:r>
            <w:r w:rsidRPr="00D721B4">
              <w:rPr>
                <w:rFonts w:cs="Arial"/>
                <w:bCs/>
                <w:szCs w:val="20"/>
                <w:lang w:eastAsia="en-US"/>
              </w:rPr>
              <w:t>(mez</w:t>
            </w:r>
            <w:r>
              <w:rPr>
                <w:rFonts w:cs="Arial"/>
                <w:bCs/>
                <w:szCs w:val="20"/>
                <w:lang w:eastAsia="en-US"/>
              </w:rPr>
              <w:t xml:space="preserve">ičtvrtletní </w:t>
            </w:r>
            <w:r w:rsidRPr="00D721B4">
              <w:rPr>
                <w:rFonts w:cs="Arial"/>
                <w:bCs/>
                <w:szCs w:val="20"/>
                <w:lang w:eastAsia="en-US"/>
              </w:rPr>
              <w:t>růst, příspěvky v p. b., HDP v</w:t>
            </w:r>
            <w:r>
              <w:rPr>
                <w:rFonts w:cs="Arial"/>
                <w:bCs/>
                <w:szCs w:val="20"/>
                <w:lang w:eastAsia="en-US"/>
              </w:rPr>
              <w:t> %</w:t>
            </w:r>
            <w:r w:rsidRPr="00D721B4">
              <w:rPr>
                <w:rFonts w:cs="Arial"/>
                <w:bCs/>
                <w:szCs w:val="20"/>
                <w:lang w:eastAsia="en-US"/>
              </w:rPr>
              <w:t>)</w:t>
            </w:r>
          </w:p>
        </w:tc>
      </w:tr>
      <w:tr w:rsidR="006B1AFC" w:rsidRPr="009110F7" w14:paraId="5ABA8C18" w14:textId="77777777" w:rsidTr="003C4A79">
        <w:tblPrEx>
          <w:tblCellMar>
            <w:left w:w="70" w:type="dxa"/>
            <w:right w:w="70" w:type="dxa"/>
          </w:tblCellMar>
        </w:tblPrEx>
        <w:trPr>
          <w:trHeight w:val="170"/>
        </w:trPr>
        <w:tc>
          <w:tcPr>
            <w:tcW w:w="1806" w:type="dxa"/>
            <w:vMerge/>
          </w:tcPr>
          <w:p w14:paraId="6691EA4C" w14:textId="77777777" w:rsidR="006B1AFC" w:rsidRPr="009110F7" w:rsidRDefault="006B1AFC" w:rsidP="003C4A79">
            <w:pPr>
              <w:pStyle w:val="Marginlie"/>
            </w:pPr>
          </w:p>
        </w:tc>
        <w:tc>
          <w:tcPr>
            <w:tcW w:w="210" w:type="dxa"/>
            <w:vMerge/>
          </w:tcPr>
          <w:p w14:paraId="06D64F43" w14:textId="77777777" w:rsidR="006B1AFC" w:rsidRPr="009110F7" w:rsidRDefault="006B1AFC" w:rsidP="003C4A79">
            <w:pPr>
              <w:pStyle w:val="Textpoznpodarou"/>
              <w:jc w:val="both"/>
              <w:rPr>
                <w:spacing w:val="-4"/>
              </w:rPr>
            </w:pPr>
          </w:p>
        </w:tc>
        <w:tc>
          <w:tcPr>
            <w:tcW w:w="7623" w:type="dxa"/>
          </w:tcPr>
          <w:p w14:paraId="66AB7529" w14:textId="77777777" w:rsidR="006B1AFC" w:rsidRPr="009110F7" w:rsidRDefault="006B1AFC" w:rsidP="003C4A79">
            <w:pPr>
              <w:spacing w:after="0"/>
            </w:pPr>
            <w:r>
              <w:rPr>
                <w:noProof/>
              </w:rPr>
              <w:drawing>
                <wp:inline distT="0" distB="0" distL="0" distR="0" wp14:anchorId="04487EE2" wp14:editId="441F34FF">
                  <wp:extent cx="4737600" cy="3420000"/>
                  <wp:effectExtent l="0" t="0" r="6350" b="0"/>
                  <wp:docPr id="795513378" name="Graf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6B1AFC" w:rsidRPr="009110F7" w14:paraId="0983659E" w14:textId="77777777" w:rsidTr="003C4A79">
        <w:trPr>
          <w:trHeight w:val="170"/>
        </w:trPr>
        <w:tc>
          <w:tcPr>
            <w:tcW w:w="1806" w:type="dxa"/>
            <w:vMerge/>
            <w:tcMar>
              <w:left w:w="0" w:type="dxa"/>
            </w:tcMar>
          </w:tcPr>
          <w:p w14:paraId="419D6BA1" w14:textId="77777777" w:rsidR="006B1AFC" w:rsidRPr="009110F7" w:rsidRDefault="006B1AFC" w:rsidP="003C4A79">
            <w:pPr>
              <w:pStyle w:val="Marginlie"/>
            </w:pPr>
          </w:p>
        </w:tc>
        <w:tc>
          <w:tcPr>
            <w:tcW w:w="210" w:type="dxa"/>
            <w:vMerge/>
            <w:tcMar>
              <w:left w:w="0" w:type="dxa"/>
            </w:tcMar>
          </w:tcPr>
          <w:p w14:paraId="4F36E371" w14:textId="77777777" w:rsidR="006B1AFC" w:rsidRPr="009110F7" w:rsidRDefault="006B1AFC" w:rsidP="003C4A79">
            <w:pPr>
              <w:pStyle w:val="Textpoznpodarou"/>
              <w:jc w:val="both"/>
              <w:rPr>
                <w:spacing w:val="-4"/>
              </w:rPr>
            </w:pPr>
          </w:p>
        </w:tc>
        <w:tc>
          <w:tcPr>
            <w:tcW w:w="7623" w:type="dxa"/>
            <w:tcMar>
              <w:left w:w="0" w:type="dxa"/>
            </w:tcMar>
          </w:tcPr>
          <w:p w14:paraId="07C04BBB" w14:textId="77777777" w:rsidR="006B1AFC" w:rsidRPr="00947786" w:rsidRDefault="006B1AFC" w:rsidP="003C4A79">
            <w:pPr>
              <w:spacing w:after="0"/>
              <w:rPr>
                <w:sz w:val="16"/>
                <w:szCs w:val="16"/>
              </w:rPr>
            </w:pPr>
            <w:r w:rsidRPr="00947786">
              <w:rPr>
                <w:sz w:val="16"/>
                <w:szCs w:val="16"/>
              </w:rPr>
              <w:t>Zdroj: ČSÚ</w:t>
            </w:r>
          </w:p>
          <w:p w14:paraId="77260B10" w14:textId="77777777" w:rsidR="006B1AFC" w:rsidRPr="00947786" w:rsidRDefault="006B1AFC" w:rsidP="003C4A79">
            <w:pPr>
              <w:spacing w:after="220"/>
              <w:rPr>
                <w:sz w:val="16"/>
                <w:szCs w:val="16"/>
              </w:rPr>
            </w:pPr>
            <w:r w:rsidRPr="00947786">
              <w:rPr>
                <w:sz w:val="16"/>
                <w:szCs w:val="16"/>
              </w:rPr>
              <w:t>* po vyloučení dovozu pro konečné užití</w:t>
            </w:r>
          </w:p>
        </w:tc>
      </w:tr>
      <w:tr w:rsidR="006B1AFC" w:rsidRPr="009110F7" w14:paraId="7D116E1D" w14:textId="77777777" w:rsidTr="003C4A79">
        <w:trPr>
          <w:trHeight w:val="145"/>
        </w:trPr>
        <w:tc>
          <w:tcPr>
            <w:tcW w:w="1806" w:type="dxa"/>
            <w:tcMar>
              <w:left w:w="0" w:type="dxa"/>
            </w:tcMar>
          </w:tcPr>
          <w:p w14:paraId="10DE1B2B" w14:textId="77777777" w:rsidR="006B1AFC" w:rsidRDefault="006B1AFC" w:rsidP="003C4A79">
            <w:pPr>
              <w:pStyle w:val="Marginlie"/>
            </w:pPr>
            <w:r>
              <w:t>Dynamika ekonomiky EU rovněž posílila.</w:t>
            </w:r>
          </w:p>
        </w:tc>
        <w:tc>
          <w:tcPr>
            <w:tcW w:w="210" w:type="dxa"/>
            <w:tcMar>
              <w:left w:w="0" w:type="dxa"/>
            </w:tcMar>
          </w:tcPr>
          <w:p w14:paraId="33C50003" w14:textId="77777777" w:rsidR="006B1AFC" w:rsidRDefault="006B1AFC" w:rsidP="003C4A79">
            <w:pPr>
              <w:pStyle w:val="Textpoznpodarou"/>
              <w:jc w:val="both"/>
              <w:rPr>
                <w:spacing w:val="-4"/>
              </w:rPr>
            </w:pPr>
          </w:p>
        </w:tc>
        <w:tc>
          <w:tcPr>
            <w:tcW w:w="7623" w:type="dxa"/>
            <w:tcMar>
              <w:left w:w="0" w:type="dxa"/>
            </w:tcMar>
          </w:tcPr>
          <w:p w14:paraId="279E4031" w14:textId="77777777" w:rsidR="006B1AFC" w:rsidRDefault="006B1AFC" w:rsidP="003C4A79">
            <w:r>
              <w:t>Také v Evropské unii po slabém začátku roku mezičtvrtletní růst HDP posílil a dosáhl ve 2. čtvrtletí 0,7 %</w:t>
            </w:r>
            <w:r>
              <w:rPr>
                <w:rStyle w:val="Znakapoznpodarou"/>
              </w:rPr>
              <w:footnoteReference w:id="2"/>
            </w:r>
            <w:r>
              <w:t xml:space="preserve">. Meziroční růst HDP v EU zrychlil na 1,4 %. Oživení mezičtvrtletního růstu v EU pozitivně ovlivnila především bilance zahraničního obchodu. Spotřeba a investice v EU rostly mírně, výrazně negativně naopak působila změna zásob. Posílení mezičtvrtletního růstu HDP bylo plošné – jen v Rakousku došlo k poklesu o 0,1 % a v Rumunsku, Belgii a Francii ve 2. čtvrtletí HDP stagnoval. Z velkých ekonomik EU nejvíce mezičtvrtletně vzrostlo Španělsko (0,7 %). Německá ekonomika si třetí kvartál v řadě udržovala mírný přírůstek (0,3 %). Ve 2. čtvrtletí zde k růstu přispěla téměř výhradně zahraniční poptávka. Mírně nad hranou stagnace se pohybovala dynamika HDP v Itálii (0,2 %). V rámci středoevropského prostoru nejvíce rostlo Polsko (1,0 %), kde mohutně rostly investice, ale dařilo se i spotřebě. </w:t>
            </w:r>
            <w:r>
              <w:lastRenderedPageBreak/>
              <w:t>Následovaly Maďarsko (0,5 %) a Česko. Na Slovensku pokračovala utlumená dynamika HDP (0,2 %).</w:t>
            </w:r>
          </w:p>
        </w:tc>
      </w:tr>
      <w:tr w:rsidR="006B1AFC" w:rsidRPr="009110F7" w14:paraId="5D89F123" w14:textId="77777777" w:rsidTr="003C4A79">
        <w:trPr>
          <w:trHeight w:val="170"/>
        </w:trPr>
        <w:tc>
          <w:tcPr>
            <w:tcW w:w="1806" w:type="dxa"/>
            <w:vMerge w:val="restart"/>
            <w:tcMar>
              <w:left w:w="0" w:type="dxa"/>
            </w:tcMar>
          </w:tcPr>
          <w:p w14:paraId="20BA5855" w14:textId="77777777" w:rsidR="006B1AFC" w:rsidRDefault="006B1AFC" w:rsidP="003C4A79">
            <w:pPr>
              <w:pStyle w:val="Marginlie"/>
            </w:pPr>
          </w:p>
        </w:tc>
        <w:tc>
          <w:tcPr>
            <w:tcW w:w="210" w:type="dxa"/>
            <w:vMerge w:val="restart"/>
            <w:tcMar>
              <w:left w:w="0" w:type="dxa"/>
            </w:tcMar>
          </w:tcPr>
          <w:p w14:paraId="27DB69DB" w14:textId="77777777" w:rsidR="006B1AFC" w:rsidRDefault="006B1AFC" w:rsidP="003C4A79">
            <w:pPr>
              <w:pStyle w:val="Textpoznpodarou"/>
              <w:jc w:val="both"/>
              <w:rPr>
                <w:spacing w:val="-4"/>
              </w:rPr>
            </w:pPr>
          </w:p>
        </w:tc>
        <w:tc>
          <w:tcPr>
            <w:tcW w:w="7623" w:type="dxa"/>
            <w:tcMar>
              <w:left w:w="0" w:type="dxa"/>
            </w:tcMar>
          </w:tcPr>
          <w:p w14:paraId="2778BA25" w14:textId="77777777" w:rsidR="006B1AFC" w:rsidRPr="00947786" w:rsidRDefault="006B1AFC" w:rsidP="003C4A79">
            <w:pPr>
              <w:spacing w:after="0"/>
              <w:rPr>
                <w:b/>
                <w:bCs/>
              </w:rPr>
            </w:pPr>
            <w:r>
              <w:rPr>
                <w:b/>
                <w:bCs/>
              </w:rPr>
              <w:t xml:space="preserve">Graf č. 2 Vývoj HDP v zemích EU ve 2. čtvrtletí 2026 </w:t>
            </w:r>
            <w:r w:rsidRPr="00562186">
              <w:t>(v %)</w:t>
            </w:r>
          </w:p>
        </w:tc>
      </w:tr>
      <w:tr w:rsidR="006B1AFC" w:rsidRPr="009110F7" w14:paraId="2DF02C39" w14:textId="77777777" w:rsidTr="003C4A79">
        <w:tblPrEx>
          <w:tblCellMar>
            <w:left w:w="70" w:type="dxa"/>
            <w:right w:w="70" w:type="dxa"/>
          </w:tblCellMar>
        </w:tblPrEx>
        <w:trPr>
          <w:trHeight w:val="170"/>
        </w:trPr>
        <w:tc>
          <w:tcPr>
            <w:tcW w:w="1806" w:type="dxa"/>
            <w:vMerge/>
          </w:tcPr>
          <w:p w14:paraId="0FF4A170" w14:textId="77777777" w:rsidR="006B1AFC" w:rsidRDefault="006B1AFC" w:rsidP="003C4A79">
            <w:pPr>
              <w:pStyle w:val="Marginlie"/>
            </w:pPr>
          </w:p>
        </w:tc>
        <w:tc>
          <w:tcPr>
            <w:tcW w:w="210" w:type="dxa"/>
            <w:vMerge/>
          </w:tcPr>
          <w:p w14:paraId="36E1F15F" w14:textId="77777777" w:rsidR="006B1AFC" w:rsidRDefault="006B1AFC" w:rsidP="003C4A79">
            <w:pPr>
              <w:pStyle w:val="Textpoznpodarou"/>
              <w:jc w:val="both"/>
              <w:rPr>
                <w:spacing w:val="-4"/>
              </w:rPr>
            </w:pPr>
          </w:p>
        </w:tc>
        <w:tc>
          <w:tcPr>
            <w:tcW w:w="7623" w:type="dxa"/>
          </w:tcPr>
          <w:p w14:paraId="14F59F62" w14:textId="77777777" w:rsidR="006B1AFC" w:rsidRDefault="006B1AFC" w:rsidP="003C4A79">
            <w:pPr>
              <w:spacing w:after="0"/>
            </w:pPr>
            <w:r>
              <w:rPr>
                <w:noProof/>
              </w:rPr>
              <w:drawing>
                <wp:inline distT="0" distB="0" distL="0" distR="0" wp14:anchorId="45E9B871" wp14:editId="61F029F2">
                  <wp:extent cx="4737600" cy="3420000"/>
                  <wp:effectExtent l="0" t="0" r="6350" b="0"/>
                  <wp:docPr id="1137296817" name="Graf 1">
                    <a:extLst xmlns:a="http://schemas.openxmlformats.org/drawingml/2006/main">
                      <a:ext uri="{FF2B5EF4-FFF2-40B4-BE49-F238E27FC236}">
                        <a16:creationId xmlns:a16="http://schemas.microsoft.com/office/drawing/2014/main" id="{8B686C90-D366-64D4-793D-60F329569B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6B1AFC" w:rsidRPr="009110F7" w14:paraId="0CBD4D28" w14:textId="77777777" w:rsidTr="003C4A79">
        <w:trPr>
          <w:trHeight w:val="170"/>
        </w:trPr>
        <w:tc>
          <w:tcPr>
            <w:tcW w:w="1806" w:type="dxa"/>
            <w:vMerge/>
            <w:tcMar>
              <w:left w:w="0" w:type="dxa"/>
            </w:tcMar>
          </w:tcPr>
          <w:p w14:paraId="71DD5454" w14:textId="77777777" w:rsidR="006B1AFC" w:rsidRDefault="006B1AFC" w:rsidP="003C4A79">
            <w:pPr>
              <w:pStyle w:val="Marginlie"/>
            </w:pPr>
          </w:p>
        </w:tc>
        <w:tc>
          <w:tcPr>
            <w:tcW w:w="210" w:type="dxa"/>
            <w:vMerge/>
            <w:tcMar>
              <w:left w:w="0" w:type="dxa"/>
            </w:tcMar>
          </w:tcPr>
          <w:p w14:paraId="52F9219C" w14:textId="77777777" w:rsidR="006B1AFC" w:rsidRDefault="006B1AFC" w:rsidP="003C4A79">
            <w:pPr>
              <w:pStyle w:val="Textpoznpodarou"/>
              <w:jc w:val="both"/>
              <w:rPr>
                <w:spacing w:val="-4"/>
              </w:rPr>
            </w:pPr>
          </w:p>
        </w:tc>
        <w:tc>
          <w:tcPr>
            <w:tcW w:w="7623" w:type="dxa"/>
            <w:tcMar>
              <w:left w:w="0" w:type="dxa"/>
            </w:tcMar>
          </w:tcPr>
          <w:p w14:paraId="3A8B4AB1" w14:textId="77777777" w:rsidR="006B1AFC" w:rsidRDefault="006B1AFC" w:rsidP="003C4A79">
            <w:r w:rsidRPr="00947786">
              <w:rPr>
                <w:sz w:val="16"/>
                <w:szCs w:val="16"/>
              </w:rPr>
              <w:t>Zdroj: ČSÚ</w:t>
            </w:r>
            <w:r>
              <w:t xml:space="preserve"> </w:t>
            </w:r>
          </w:p>
        </w:tc>
      </w:tr>
      <w:tr w:rsidR="006B1AFC" w:rsidRPr="009110F7" w14:paraId="314F7568" w14:textId="77777777" w:rsidTr="003C4A79">
        <w:trPr>
          <w:trHeight w:val="145"/>
        </w:trPr>
        <w:tc>
          <w:tcPr>
            <w:tcW w:w="1806" w:type="dxa"/>
            <w:tcMar>
              <w:left w:w="0" w:type="dxa"/>
            </w:tcMar>
          </w:tcPr>
          <w:p w14:paraId="5545BDBD" w14:textId="77777777" w:rsidR="006B1AFC" w:rsidRDefault="006B1AFC" w:rsidP="003C4A79">
            <w:pPr>
              <w:pStyle w:val="Marginlie"/>
            </w:pPr>
            <w:r>
              <w:t>Spotřeba domácností posílila.</w:t>
            </w:r>
          </w:p>
        </w:tc>
        <w:tc>
          <w:tcPr>
            <w:tcW w:w="210" w:type="dxa"/>
            <w:tcMar>
              <w:left w:w="0" w:type="dxa"/>
            </w:tcMar>
          </w:tcPr>
          <w:p w14:paraId="6F8CDD10" w14:textId="77777777" w:rsidR="006B1AFC" w:rsidRDefault="006B1AFC" w:rsidP="003C4A79">
            <w:pPr>
              <w:pStyle w:val="Textpoznpodarou"/>
              <w:jc w:val="both"/>
              <w:rPr>
                <w:spacing w:val="-4"/>
              </w:rPr>
            </w:pPr>
          </w:p>
        </w:tc>
        <w:tc>
          <w:tcPr>
            <w:tcW w:w="7623" w:type="dxa"/>
            <w:tcMar>
              <w:left w:w="0" w:type="dxa"/>
            </w:tcMar>
          </w:tcPr>
          <w:p w14:paraId="0A09B41D" w14:textId="77777777" w:rsidR="006B1AFC" w:rsidRPr="004B6F8C" w:rsidRDefault="006B1AFC" w:rsidP="003C4A79">
            <w:pPr>
              <w:rPr>
                <w:spacing w:val="-2"/>
              </w:rPr>
            </w:pPr>
            <w:r>
              <w:rPr>
                <w:spacing w:val="-2"/>
              </w:rPr>
              <w:t>Mezičtvrtletní růst výdajů na konečnou spotřebu ve 2. čtvrtletí zrychlil na 0,5 %. Přispěla k tomu zejména spotřeba domácností (0,5 %), zatímco u vládních institucí přírůstek setrval na hranici stagnace (0,1 %). Na rozdíl od předchozího kvartálu posílení růstu spotřeby domácností nebylo saturováno dovozem a plně tak přispělo k celkovému navýšení HDP. Meziroční tempo růstu spotřeby zvolnilo na 2,2 %. Méně se zvyšovala spotřeba domácností (2,7 %) i vládních institucí (1,0 %). Vývoj výdajů na spotřebu z hlediska trvanlivosti</w:t>
            </w:r>
            <w:r>
              <w:rPr>
                <w:rStyle w:val="Znakapoznpodarou"/>
              </w:rPr>
              <w:footnoteReference w:id="3"/>
            </w:r>
            <w:r>
              <w:rPr>
                <w:spacing w:val="-2"/>
              </w:rPr>
              <w:t xml:space="preserve"> ukázal na zrychlení v oblasti dlouhodobé spotřeby (mezičtvrtletní přírůstek 3,3 % a meziroční 6,8 %) a na solidní nárůst střednědobé spotřeby (mezičtvrtletně o 1,3 %, meziročně 5,8 %). Na pokles z 1. kvartálu navázaly mezičtvrtletním přírůstkem o 0,8 % a zrychlením meziročního nárůstu na 1,9 % výdaje na služby. Naproti tomu krátkodobá spotřeba mezičtvrtletně vzrostla jen o 0,2 % a meziroční přírůstek zde oslabil na 2,0 %.</w:t>
            </w:r>
          </w:p>
        </w:tc>
      </w:tr>
      <w:tr w:rsidR="006B1AFC" w:rsidRPr="009110F7" w14:paraId="7F5C88B6" w14:textId="77777777" w:rsidTr="003C4A79">
        <w:trPr>
          <w:trHeight w:val="145"/>
        </w:trPr>
        <w:tc>
          <w:tcPr>
            <w:tcW w:w="1806" w:type="dxa"/>
            <w:tcMar>
              <w:left w:w="0" w:type="dxa"/>
            </w:tcMar>
          </w:tcPr>
          <w:p w14:paraId="5057EB73" w14:textId="77777777" w:rsidR="006B1AFC" w:rsidRDefault="006B1AFC" w:rsidP="003C4A79">
            <w:pPr>
              <w:pStyle w:val="Marginlie"/>
            </w:pPr>
            <w:r>
              <w:t xml:space="preserve">Růst investiční aktivity zrychloval. </w:t>
            </w:r>
          </w:p>
        </w:tc>
        <w:tc>
          <w:tcPr>
            <w:tcW w:w="210" w:type="dxa"/>
            <w:tcMar>
              <w:left w:w="0" w:type="dxa"/>
            </w:tcMar>
          </w:tcPr>
          <w:p w14:paraId="57F07E5B" w14:textId="77777777" w:rsidR="006B1AFC" w:rsidRDefault="006B1AFC" w:rsidP="003C4A79">
            <w:pPr>
              <w:pStyle w:val="Textpoznpodarou"/>
              <w:jc w:val="both"/>
              <w:rPr>
                <w:spacing w:val="-4"/>
              </w:rPr>
            </w:pPr>
          </w:p>
        </w:tc>
        <w:tc>
          <w:tcPr>
            <w:tcW w:w="7623" w:type="dxa"/>
            <w:tcMar>
              <w:left w:w="0" w:type="dxa"/>
            </w:tcMar>
          </w:tcPr>
          <w:p w14:paraId="402C5242" w14:textId="77777777" w:rsidR="006B1AFC" w:rsidRDefault="006B1AFC" w:rsidP="003C4A79">
            <w:r>
              <w:rPr>
                <w:spacing w:val="-2"/>
              </w:rPr>
              <w:t>Výdaje na tvorbu hrubého kapitálu ve 2. kvartálu mezičtvrtletně reálně klesly o 2,1 % a jejich meziroční přírůstek zpomalil na 2,0 %. Šlo o první mezičtvrtletní propad od začátku roku 2024 a zcela se na něm podílela tvorba zásob</w:t>
            </w:r>
            <w:r>
              <w:rPr>
                <w:rStyle w:val="Znakapoznpodarou"/>
              </w:rPr>
              <w:footnoteReference w:id="4"/>
            </w:r>
            <w:r>
              <w:rPr>
                <w:spacing w:val="-2"/>
              </w:rPr>
              <w:t xml:space="preserve">. Naopak výdaje na tvorbu hrubého fixního kapitálu (investiční aktivita) mezičtvrtletně vzrostly o 1,5 % a prodloužily tak více než rok trvající sérii výrazných mezičtvrtletních nárůstů investic. Meziroční přírůstek investic ve 2. čtvrtletí posílil na 7,1 %. Mezičtvrtletní růst investiční aktivity z většiny podpořily výdaje na budovy a stavby. Po slabém 1. kvartálu totiž značně mezičtvrtletně posílily investice do obydlí (9,2 %) i ostatních budov a staveb (4,5 %). Vliv na mezičtvrtletní růst investic měly i produkty duševního vlastnictví (3,5 %) a jinak okrajová kategorie pěstované biologické zdroje (61,7 %). Naopak výdaje na dopravní prostředky a zařízení (−4,3 %) ani na ICT a ostatní stroje a zařízení (−7,8 %) nenavázaly na silnou mezičtvrtletní dynamiku z 1. kvartálu. Největší meziroční nárůst výdajů byl </w:t>
            </w:r>
            <w:r>
              <w:rPr>
                <w:spacing w:val="-2"/>
              </w:rPr>
              <w:lastRenderedPageBreak/>
              <w:t xml:space="preserve">zachycen u zmíněných pěstovaných biologických zdrojů (53,4 %), u dopravních prostředků a zařízení (16,9 %), ostatních budov a staveb (13,5 %) a obydlí (11,6 %). Mírně meziročně vzrostly také výdaje na produkty duševního vlastnictví (1,6 %). Jedinou kategorií, kde investice meziročně klesly, byly výdaje na ICT a ostatní stroje a zařízení (−3,5 %). </w:t>
            </w:r>
          </w:p>
        </w:tc>
      </w:tr>
      <w:tr w:rsidR="006B1AFC" w:rsidRPr="009110F7" w14:paraId="7C3B3388" w14:textId="77777777" w:rsidTr="003C4A79">
        <w:trPr>
          <w:trHeight w:val="154"/>
        </w:trPr>
        <w:tc>
          <w:tcPr>
            <w:tcW w:w="1806" w:type="dxa"/>
            <w:vMerge w:val="restart"/>
            <w:tcMar>
              <w:left w:w="0" w:type="dxa"/>
            </w:tcMar>
          </w:tcPr>
          <w:p w14:paraId="1BF5AD0C" w14:textId="77777777" w:rsidR="006B1AFC" w:rsidRDefault="006B1AFC" w:rsidP="003C4A79">
            <w:pPr>
              <w:pStyle w:val="Marginlie"/>
            </w:pPr>
          </w:p>
        </w:tc>
        <w:tc>
          <w:tcPr>
            <w:tcW w:w="210" w:type="dxa"/>
            <w:vMerge w:val="restart"/>
            <w:tcMar>
              <w:left w:w="0" w:type="dxa"/>
            </w:tcMar>
          </w:tcPr>
          <w:p w14:paraId="3AFC73CF" w14:textId="77777777" w:rsidR="006B1AFC" w:rsidRDefault="006B1AFC" w:rsidP="003C4A79">
            <w:pPr>
              <w:pStyle w:val="Textpoznpodarou"/>
              <w:jc w:val="both"/>
              <w:rPr>
                <w:spacing w:val="-4"/>
              </w:rPr>
            </w:pPr>
          </w:p>
        </w:tc>
        <w:tc>
          <w:tcPr>
            <w:tcW w:w="7623" w:type="dxa"/>
            <w:tcMar>
              <w:left w:w="0" w:type="dxa"/>
            </w:tcMar>
          </w:tcPr>
          <w:p w14:paraId="01F3ACDC" w14:textId="77777777" w:rsidR="006B1AFC" w:rsidRPr="009110F7" w:rsidRDefault="006B1AFC" w:rsidP="003C4A79">
            <w:pPr>
              <w:spacing w:after="0"/>
              <w:rPr>
                <w:rStyle w:val="Znakapoznpodarou"/>
              </w:rPr>
            </w:pPr>
            <w:r>
              <w:rPr>
                <w:b/>
                <w:bCs/>
              </w:rPr>
              <w:t xml:space="preserve">Graf. č. 3 </w:t>
            </w:r>
            <w:r w:rsidRPr="0040773B">
              <w:rPr>
                <w:b/>
                <w:bCs/>
              </w:rPr>
              <w:t>Struktura mezičtvrtletního růstu výdajů na tvorbu hrubého fixního kapitálu</w:t>
            </w:r>
            <w:r>
              <w:t xml:space="preserve"> (růst THFK v %, příspěvky v p. b.)</w:t>
            </w:r>
          </w:p>
        </w:tc>
      </w:tr>
      <w:tr w:rsidR="006B1AFC" w:rsidRPr="009110F7" w14:paraId="67B93312" w14:textId="77777777" w:rsidTr="003C4A79">
        <w:tblPrEx>
          <w:tblCellMar>
            <w:left w:w="70" w:type="dxa"/>
            <w:right w:w="70" w:type="dxa"/>
          </w:tblCellMar>
        </w:tblPrEx>
        <w:trPr>
          <w:trHeight w:val="154"/>
        </w:trPr>
        <w:tc>
          <w:tcPr>
            <w:tcW w:w="1806" w:type="dxa"/>
            <w:vMerge/>
          </w:tcPr>
          <w:p w14:paraId="0634F0C8" w14:textId="77777777" w:rsidR="006B1AFC" w:rsidRDefault="006B1AFC" w:rsidP="003C4A79">
            <w:pPr>
              <w:pStyle w:val="Marginlie"/>
            </w:pPr>
          </w:p>
        </w:tc>
        <w:tc>
          <w:tcPr>
            <w:tcW w:w="210" w:type="dxa"/>
            <w:vMerge/>
          </w:tcPr>
          <w:p w14:paraId="3805E353" w14:textId="77777777" w:rsidR="006B1AFC" w:rsidRDefault="006B1AFC" w:rsidP="003C4A79">
            <w:pPr>
              <w:pStyle w:val="Textpoznpodarou"/>
              <w:jc w:val="both"/>
              <w:rPr>
                <w:spacing w:val="-4"/>
              </w:rPr>
            </w:pPr>
          </w:p>
        </w:tc>
        <w:tc>
          <w:tcPr>
            <w:tcW w:w="7623" w:type="dxa"/>
          </w:tcPr>
          <w:p w14:paraId="54EEC99B" w14:textId="77777777" w:rsidR="006B1AFC" w:rsidRPr="009110F7" w:rsidRDefault="006B1AFC" w:rsidP="003C4A79">
            <w:pPr>
              <w:spacing w:after="0"/>
              <w:rPr>
                <w:rStyle w:val="Znakapoznpodarou"/>
              </w:rPr>
            </w:pPr>
            <w:r>
              <w:rPr>
                <w:noProof/>
              </w:rPr>
              <w:drawing>
                <wp:inline distT="0" distB="0" distL="0" distR="0" wp14:anchorId="198BA231" wp14:editId="2A1404EC">
                  <wp:extent cx="4737600" cy="3420000"/>
                  <wp:effectExtent l="0" t="0" r="6350" b="0"/>
                  <wp:docPr id="1398539040" name="Graf 1">
                    <a:extLst xmlns:a="http://schemas.openxmlformats.org/drawingml/2006/main">
                      <a:ext uri="{FF2B5EF4-FFF2-40B4-BE49-F238E27FC236}">
                        <a16:creationId xmlns:a16="http://schemas.microsoft.com/office/drawing/2014/main" id="{85F44D72-D079-690D-0F95-389286699F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6B1AFC" w:rsidRPr="009110F7" w14:paraId="04B3368C" w14:textId="77777777" w:rsidTr="003C4A79">
        <w:trPr>
          <w:trHeight w:val="154"/>
        </w:trPr>
        <w:tc>
          <w:tcPr>
            <w:tcW w:w="1806" w:type="dxa"/>
            <w:vMerge/>
            <w:tcMar>
              <w:left w:w="0" w:type="dxa"/>
            </w:tcMar>
          </w:tcPr>
          <w:p w14:paraId="46E92BBB" w14:textId="77777777" w:rsidR="006B1AFC" w:rsidRDefault="006B1AFC" w:rsidP="003C4A79">
            <w:pPr>
              <w:pStyle w:val="Marginlie"/>
            </w:pPr>
          </w:p>
        </w:tc>
        <w:tc>
          <w:tcPr>
            <w:tcW w:w="210" w:type="dxa"/>
            <w:vMerge/>
            <w:tcMar>
              <w:left w:w="0" w:type="dxa"/>
            </w:tcMar>
          </w:tcPr>
          <w:p w14:paraId="7A3F77E0" w14:textId="77777777" w:rsidR="006B1AFC" w:rsidRDefault="006B1AFC" w:rsidP="003C4A79">
            <w:pPr>
              <w:pStyle w:val="Textpoznpodarou"/>
              <w:jc w:val="both"/>
              <w:rPr>
                <w:spacing w:val="-4"/>
              </w:rPr>
            </w:pPr>
          </w:p>
        </w:tc>
        <w:tc>
          <w:tcPr>
            <w:tcW w:w="7623" w:type="dxa"/>
            <w:tcMar>
              <w:left w:w="0" w:type="dxa"/>
            </w:tcMar>
          </w:tcPr>
          <w:p w14:paraId="6FE6CF7F" w14:textId="77777777" w:rsidR="006B1AFC" w:rsidRPr="0079502C" w:rsidRDefault="006B1AFC" w:rsidP="003C4A79">
            <w:pPr>
              <w:rPr>
                <w:rStyle w:val="Znakapoznpodarou"/>
                <w:sz w:val="16"/>
                <w:szCs w:val="16"/>
              </w:rPr>
            </w:pPr>
            <w:r w:rsidRPr="0079502C">
              <w:rPr>
                <w:sz w:val="16"/>
                <w:szCs w:val="16"/>
              </w:rPr>
              <w:t>Zdroj: ČSÚ</w:t>
            </w:r>
          </w:p>
        </w:tc>
      </w:tr>
      <w:tr w:rsidR="00F3443C" w:rsidRPr="009110F7" w14:paraId="2CFE3A50" w14:textId="77777777" w:rsidTr="003C4A79">
        <w:trPr>
          <w:trHeight w:val="145"/>
        </w:trPr>
        <w:tc>
          <w:tcPr>
            <w:tcW w:w="1806" w:type="dxa"/>
            <w:tcMar>
              <w:left w:w="0" w:type="dxa"/>
            </w:tcMar>
          </w:tcPr>
          <w:p w14:paraId="6A4052A0" w14:textId="77777777" w:rsidR="00F3443C" w:rsidRDefault="00F3443C" w:rsidP="00F3443C">
            <w:pPr>
              <w:pStyle w:val="Marginlie"/>
            </w:pPr>
            <w:r>
              <w:t xml:space="preserve">Bilance zahraničního obchodu v běžných cenách se meziročně </w:t>
            </w:r>
            <w:r>
              <w:br/>
              <w:t>i mezičtvrtletně zhoršila.</w:t>
            </w:r>
          </w:p>
        </w:tc>
        <w:tc>
          <w:tcPr>
            <w:tcW w:w="210" w:type="dxa"/>
            <w:tcMar>
              <w:left w:w="0" w:type="dxa"/>
            </w:tcMar>
          </w:tcPr>
          <w:p w14:paraId="40AEC60D" w14:textId="77777777" w:rsidR="00F3443C" w:rsidRDefault="00F3443C" w:rsidP="00F3443C">
            <w:pPr>
              <w:pStyle w:val="Textpoznpodarou"/>
              <w:jc w:val="both"/>
              <w:rPr>
                <w:spacing w:val="-4"/>
              </w:rPr>
            </w:pPr>
          </w:p>
        </w:tc>
        <w:tc>
          <w:tcPr>
            <w:tcW w:w="7623" w:type="dxa"/>
            <w:tcMar>
              <w:left w:w="0" w:type="dxa"/>
            </w:tcMar>
          </w:tcPr>
          <w:p w14:paraId="0BF0B937" w14:textId="3864FEF8" w:rsidR="00F3443C" w:rsidRDefault="00F3443C" w:rsidP="00F3443C">
            <w:r>
              <w:t>Výrazně pozitivní působení zahraniční poptávky na mezičtvrtletní růst HDP bylo ve 2. čtvrtletí způsobeno posílením mezičtvrtletního růstu exportu zboží a služeb</w:t>
            </w:r>
            <w:r w:rsidRPr="009110F7">
              <w:rPr>
                <w:rStyle w:val="Znakapoznpodarou"/>
              </w:rPr>
              <w:footnoteReference w:id="5"/>
            </w:r>
            <w:r>
              <w:t xml:space="preserve"> na 0,9 % za současné stagnace dovozu. Oživení se týkalo především vývozu zboží (mezičtvrtletně 1,1 %), zatímco u služeb se export reálně nezměnil. Naproti tomu se mezičtvrtletní růst dovozu zboží zmírnil na 0,2 % a u služeb došlo k poklesu o 0,9 %. Meziroční růst exportu zboží a služeb zrychlil na 3,3 %. Navzdory oslabení přírůstku importu na 3,7 % ale meziroční dynamika vývozu za dovozem sedmý kvartál v řadě zaostala. Bilance zahraničního obchodu se zbožím a službami dosáhla ve 2. čtvrtletí přebytku 99,0 mld. korun. Kladné saldo se meziročně zhoršilo o 20,5 mld. korun, a to výhradně vlivem horšího výsledku zahraničního obchodu se zbožím (−23,5 mld.). Mezičtvrtletně se přebytek bilance snížil o 9,6 mld. korun a opět výhradně vlivem obchodu se zbožím (−10,1 mld.).</w:t>
            </w:r>
          </w:p>
        </w:tc>
      </w:tr>
      <w:tr w:rsidR="00F3443C" w:rsidRPr="009110F7" w14:paraId="7AE9B813" w14:textId="77777777" w:rsidTr="003C4A79">
        <w:trPr>
          <w:trHeight w:val="145"/>
        </w:trPr>
        <w:tc>
          <w:tcPr>
            <w:tcW w:w="1806" w:type="dxa"/>
            <w:tcMar>
              <w:left w:w="0" w:type="dxa"/>
            </w:tcMar>
          </w:tcPr>
          <w:p w14:paraId="300FE5E8" w14:textId="77777777" w:rsidR="00F3443C" w:rsidRDefault="00F3443C" w:rsidP="00F3443C">
            <w:pPr>
              <w:pStyle w:val="Marginlie"/>
            </w:pPr>
            <w:r>
              <w:t>K růstu nabídkové strany ekonomiky přispíval průmysl i služby.</w:t>
            </w:r>
          </w:p>
        </w:tc>
        <w:tc>
          <w:tcPr>
            <w:tcW w:w="210" w:type="dxa"/>
            <w:tcMar>
              <w:left w:w="0" w:type="dxa"/>
            </w:tcMar>
          </w:tcPr>
          <w:p w14:paraId="6CF3BCC3" w14:textId="77777777" w:rsidR="00F3443C" w:rsidRDefault="00F3443C" w:rsidP="00F3443C">
            <w:pPr>
              <w:pStyle w:val="Textpoznpodarou"/>
              <w:jc w:val="both"/>
              <w:rPr>
                <w:spacing w:val="-4"/>
              </w:rPr>
            </w:pPr>
          </w:p>
        </w:tc>
        <w:tc>
          <w:tcPr>
            <w:tcW w:w="7623" w:type="dxa"/>
            <w:tcMar>
              <w:left w:w="0" w:type="dxa"/>
            </w:tcMar>
          </w:tcPr>
          <w:p w14:paraId="5D9D699E" w14:textId="37CFCB73" w:rsidR="00F3443C" w:rsidRDefault="00F3443C" w:rsidP="00F3443C">
            <w:r>
              <w:t xml:space="preserve">I v případě hrubé přidané hodnoty (HPH) mezičtvrtletní přírůstek po zpomalení ze začátku roku zrychlil a dosáhl ve 2. kvartálu 0,4 %. Za oživením růstu HPH stál především vývoj v průmyslu, kde na pokles ze začátku roku sekce navázala výrazným přírůstkem (viz Tabulka č. 1). V samotném zpracovatelském průmyslu bylo oživení mírnější a k celkovému růstu HPH tak poměrně netypicky více přispěla odvětví mimo něj. Hlavním tahounem mezičtvrtletního růstu HPH nadále zůstaly služby, které si tuto roli drží více než dva roky. Ve 2. čtvrtletí mezičtvrtletní růst HPH podpořily především peněžnictví a pojišťovnictví, kde HPH ze všech sledovaných odvětví vzrostla nejvíce, </w:t>
            </w:r>
            <w:r>
              <w:lastRenderedPageBreak/>
              <w:t>dále činnosti v oblasti nemovitostí a rovněž mírně rostoucí, ale váhově významné uskupení obchod, doprava, ubytování a pohostinství. Mezičtvrtletní pokles byl zaznamenán v zemědělství, lesnictví a rybářství, ostatních činnostech a v informačních a komunikačních činnostech. Meziroční přírůstek HPH ve 2. čtvrtletí zmírnil na 1,8 %. S výjimkou zemědělství, lesnictví a rybářství hladinu loňského roku překonala všechna odvětví. K celkovému růstu HPH nejvíce přispěl průmysl a dále uskupení obchod, doprava, ubytování a pohostinství. Největší meziroční přírůstek HPH zaznamenalo peněžnictví a pojišťovnictví. Informační a komunikační činnosti v pořadí následovaly, ale dynamika odvětví od začátku letošního roku zpomalovala. Podobně zvolňovala meziroční dynamika také v ostatních činnostech.</w:t>
            </w:r>
          </w:p>
        </w:tc>
      </w:tr>
      <w:tr w:rsidR="006B1AFC" w:rsidRPr="009110F7" w14:paraId="72CE43AB" w14:textId="77777777" w:rsidTr="003C4A79">
        <w:trPr>
          <w:trHeight w:val="170"/>
        </w:trPr>
        <w:tc>
          <w:tcPr>
            <w:tcW w:w="1806" w:type="dxa"/>
            <w:vMerge w:val="restart"/>
            <w:tcMar>
              <w:left w:w="0" w:type="dxa"/>
            </w:tcMar>
          </w:tcPr>
          <w:p w14:paraId="73479D65" w14:textId="77777777" w:rsidR="006B1AFC" w:rsidRDefault="006B1AFC" w:rsidP="003C4A79">
            <w:pPr>
              <w:pStyle w:val="Marginlie"/>
            </w:pPr>
          </w:p>
        </w:tc>
        <w:tc>
          <w:tcPr>
            <w:tcW w:w="210" w:type="dxa"/>
            <w:vMerge w:val="restart"/>
            <w:tcMar>
              <w:left w:w="0" w:type="dxa"/>
            </w:tcMar>
          </w:tcPr>
          <w:p w14:paraId="1D6E2C7F" w14:textId="77777777" w:rsidR="006B1AFC" w:rsidRDefault="006B1AFC" w:rsidP="003C4A79">
            <w:pPr>
              <w:pStyle w:val="Textpoznpodarou"/>
              <w:jc w:val="both"/>
              <w:rPr>
                <w:spacing w:val="-4"/>
              </w:rPr>
            </w:pPr>
          </w:p>
        </w:tc>
        <w:tc>
          <w:tcPr>
            <w:tcW w:w="7623" w:type="dxa"/>
            <w:tcMar>
              <w:left w:w="0" w:type="dxa"/>
            </w:tcMar>
          </w:tcPr>
          <w:p w14:paraId="26ADC0E8" w14:textId="77777777" w:rsidR="006B1AFC" w:rsidRDefault="006B1AFC" w:rsidP="003C4A79">
            <w:pPr>
              <w:spacing w:after="0"/>
            </w:pPr>
            <w:r w:rsidRPr="00D721B4">
              <w:rPr>
                <w:b/>
                <w:szCs w:val="20"/>
              </w:rPr>
              <w:t>Graf č. </w:t>
            </w:r>
            <w:r>
              <w:rPr>
                <w:b/>
                <w:szCs w:val="20"/>
              </w:rPr>
              <w:t xml:space="preserve">4 </w:t>
            </w:r>
            <w:r w:rsidRPr="00D721B4">
              <w:rPr>
                <w:rFonts w:cs="Arial"/>
                <w:b/>
                <w:szCs w:val="20"/>
                <w:lang w:eastAsia="en-US"/>
              </w:rPr>
              <w:t xml:space="preserve">Příspěvky odvětví k reálné změně </w:t>
            </w:r>
            <w:r>
              <w:rPr>
                <w:rFonts w:cs="Arial"/>
                <w:b/>
                <w:szCs w:val="20"/>
                <w:lang w:eastAsia="en-US"/>
              </w:rPr>
              <w:t>hrubé přidané hodnoty</w:t>
            </w:r>
            <w:r w:rsidRPr="00D721B4">
              <w:rPr>
                <w:rFonts w:cs="Arial"/>
                <w:b/>
                <w:szCs w:val="20"/>
                <w:lang w:eastAsia="en-US"/>
              </w:rPr>
              <w:t xml:space="preserve"> </w:t>
            </w:r>
            <w:r w:rsidRPr="00D721B4">
              <w:rPr>
                <w:rFonts w:cs="Arial"/>
                <w:bCs/>
                <w:szCs w:val="20"/>
                <w:lang w:eastAsia="en-US"/>
              </w:rPr>
              <w:t>(mezi</w:t>
            </w:r>
            <w:r>
              <w:rPr>
                <w:rFonts w:cs="Arial"/>
                <w:bCs/>
                <w:szCs w:val="20"/>
                <w:lang w:eastAsia="en-US"/>
              </w:rPr>
              <w:t xml:space="preserve">čtvrtletní růst, </w:t>
            </w:r>
            <w:r w:rsidRPr="00D721B4">
              <w:rPr>
                <w:rFonts w:cs="Arial"/>
                <w:bCs/>
                <w:szCs w:val="20"/>
                <w:lang w:eastAsia="en-US"/>
              </w:rPr>
              <w:t>příspěvky v p. b., HPH v</w:t>
            </w:r>
            <w:r>
              <w:rPr>
                <w:rFonts w:cs="Arial"/>
                <w:bCs/>
                <w:szCs w:val="20"/>
                <w:lang w:eastAsia="en-US"/>
              </w:rPr>
              <w:t> %</w:t>
            </w:r>
            <w:r w:rsidRPr="00D721B4">
              <w:rPr>
                <w:rFonts w:cs="Arial"/>
                <w:bCs/>
                <w:szCs w:val="20"/>
                <w:lang w:eastAsia="en-US"/>
              </w:rPr>
              <w:t>)</w:t>
            </w:r>
          </w:p>
        </w:tc>
      </w:tr>
      <w:tr w:rsidR="006B1AFC" w:rsidRPr="009110F7" w14:paraId="688DEF83" w14:textId="77777777" w:rsidTr="003C4A79">
        <w:tblPrEx>
          <w:tblCellMar>
            <w:left w:w="70" w:type="dxa"/>
            <w:right w:w="70" w:type="dxa"/>
          </w:tblCellMar>
        </w:tblPrEx>
        <w:trPr>
          <w:trHeight w:val="170"/>
        </w:trPr>
        <w:tc>
          <w:tcPr>
            <w:tcW w:w="1806" w:type="dxa"/>
            <w:vMerge/>
          </w:tcPr>
          <w:p w14:paraId="6E06EA95" w14:textId="77777777" w:rsidR="006B1AFC" w:rsidRDefault="006B1AFC" w:rsidP="003C4A79">
            <w:pPr>
              <w:pStyle w:val="Marginlie"/>
            </w:pPr>
          </w:p>
        </w:tc>
        <w:tc>
          <w:tcPr>
            <w:tcW w:w="210" w:type="dxa"/>
            <w:vMerge/>
          </w:tcPr>
          <w:p w14:paraId="1A6252E3" w14:textId="77777777" w:rsidR="006B1AFC" w:rsidRDefault="006B1AFC" w:rsidP="003C4A79">
            <w:pPr>
              <w:pStyle w:val="Textpoznpodarou"/>
              <w:jc w:val="both"/>
              <w:rPr>
                <w:spacing w:val="-4"/>
              </w:rPr>
            </w:pPr>
          </w:p>
        </w:tc>
        <w:tc>
          <w:tcPr>
            <w:tcW w:w="7623" w:type="dxa"/>
          </w:tcPr>
          <w:p w14:paraId="49129293" w14:textId="77777777" w:rsidR="006B1AFC" w:rsidRDefault="006B1AFC" w:rsidP="003C4A79">
            <w:pPr>
              <w:spacing w:after="0"/>
            </w:pPr>
            <w:r>
              <w:rPr>
                <w:noProof/>
              </w:rPr>
              <w:drawing>
                <wp:inline distT="0" distB="0" distL="0" distR="0" wp14:anchorId="7259B721" wp14:editId="7FD70B4B">
                  <wp:extent cx="4737600" cy="3420000"/>
                  <wp:effectExtent l="0" t="0" r="6350" b="0"/>
                  <wp:docPr id="1732063483" name="Graf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6B1AFC" w:rsidRPr="009110F7" w14:paraId="6667426C" w14:textId="77777777" w:rsidTr="003C4A79">
        <w:trPr>
          <w:trHeight w:val="170"/>
        </w:trPr>
        <w:tc>
          <w:tcPr>
            <w:tcW w:w="1806" w:type="dxa"/>
            <w:vMerge/>
            <w:tcMar>
              <w:left w:w="0" w:type="dxa"/>
            </w:tcMar>
          </w:tcPr>
          <w:p w14:paraId="282A53D3" w14:textId="77777777" w:rsidR="006B1AFC" w:rsidRDefault="006B1AFC" w:rsidP="003C4A79">
            <w:pPr>
              <w:pStyle w:val="Marginlie"/>
            </w:pPr>
          </w:p>
        </w:tc>
        <w:tc>
          <w:tcPr>
            <w:tcW w:w="210" w:type="dxa"/>
            <w:vMerge/>
            <w:tcMar>
              <w:left w:w="0" w:type="dxa"/>
            </w:tcMar>
          </w:tcPr>
          <w:p w14:paraId="7ADE9A51" w14:textId="77777777" w:rsidR="006B1AFC" w:rsidRDefault="006B1AFC" w:rsidP="003C4A79">
            <w:pPr>
              <w:pStyle w:val="Textpoznpodarou"/>
              <w:jc w:val="both"/>
              <w:rPr>
                <w:spacing w:val="-4"/>
              </w:rPr>
            </w:pPr>
          </w:p>
        </w:tc>
        <w:tc>
          <w:tcPr>
            <w:tcW w:w="7623" w:type="dxa"/>
            <w:tcMar>
              <w:left w:w="0" w:type="dxa"/>
            </w:tcMar>
          </w:tcPr>
          <w:p w14:paraId="48D31F5E" w14:textId="77777777" w:rsidR="006B1AFC" w:rsidRPr="00947786" w:rsidRDefault="006B1AFC" w:rsidP="003C4A79">
            <w:pPr>
              <w:rPr>
                <w:sz w:val="16"/>
                <w:szCs w:val="16"/>
              </w:rPr>
            </w:pPr>
            <w:r w:rsidRPr="00947786">
              <w:rPr>
                <w:sz w:val="16"/>
                <w:szCs w:val="16"/>
              </w:rPr>
              <w:t>Zdroj: ČSÚ</w:t>
            </w:r>
          </w:p>
        </w:tc>
      </w:tr>
      <w:tr w:rsidR="006B1AFC" w:rsidRPr="009110F7" w14:paraId="25EC93FF" w14:textId="77777777" w:rsidTr="003C4A79">
        <w:trPr>
          <w:trHeight w:val="154"/>
        </w:trPr>
        <w:tc>
          <w:tcPr>
            <w:tcW w:w="9639" w:type="dxa"/>
            <w:gridSpan w:val="3"/>
            <w:tcMar>
              <w:left w:w="0" w:type="dxa"/>
            </w:tcMar>
          </w:tcPr>
          <w:p w14:paraId="226C0AF1" w14:textId="77777777" w:rsidR="006B1AFC" w:rsidRPr="005377D9" w:rsidRDefault="006B1AFC" w:rsidP="003C4A79">
            <w:pPr>
              <w:spacing w:after="0"/>
              <w:rPr>
                <w:b/>
                <w:bCs/>
              </w:rPr>
            </w:pPr>
            <w:r>
              <w:rPr>
                <w:b/>
                <w:bCs/>
              </w:rPr>
              <w:t xml:space="preserve">Tabulka č. 1 Dynamika hrubé přidané hodnoty </w:t>
            </w:r>
            <w:r w:rsidRPr="00DC095E">
              <w:t>(v %)</w:t>
            </w:r>
          </w:p>
        </w:tc>
      </w:tr>
      <w:tr w:rsidR="006B1AFC" w:rsidRPr="009110F7" w14:paraId="53FC810D" w14:textId="77777777" w:rsidTr="003C4A79">
        <w:trPr>
          <w:trHeight w:val="154"/>
        </w:trPr>
        <w:tc>
          <w:tcPr>
            <w:tcW w:w="9639" w:type="dxa"/>
            <w:gridSpan w:val="3"/>
            <w:tcMar>
              <w:left w:w="0" w:type="dxa"/>
            </w:tcMar>
          </w:tcPr>
          <w:tbl>
            <w:tblPr>
              <w:tblW w:w="9658" w:type="dxa"/>
              <w:tblLayout w:type="fixed"/>
              <w:tblCellMar>
                <w:left w:w="70" w:type="dxa"/>
                <w:right w:w="70" w:type="dxa"/>
              </w:tblCellMar>
              <w:tblLook w:val="04A0" w:firstRow="1" w:lastRow="0" w:firstColumn="1" w:lastColumn="0" w:noHBand="0" w:noVBand="1"/>
            </w:tblPr>
            <w:tblGrid>
              <w:gridCol w:w="4466"/>
              <w:gridCol w:w="649"/>
              <w:gridCol w:w="649"/>
              <w:gridCol w:w="649"/>
              <w:gridCol w:w="649"/>
              <w:gridCol w:w="684"/>
              <w:gridCol w:w="684"/>
              <w:gridCol w:w="614"/>
              <w:gridCol w:w="614"/>
            </w:tblGrid>
            <w:tr w:rsidR="006B1AFC" w:rsidRPr="00920A55" w14:paraId="297B12A5" w14:textId="77777777" w:rsidTr="003C4A79">
              <w:trPr>
                <w:trHeight w:val="255"/>
              </w:trPr>
              <w:tc>
                <w:tcPr>
                  <w:tcW w:w="4466" w:type="dxa"/>
                  <w:tcBorders>
                    <w:top w:val="nil"/>
                    <w:left w:val="nil"/>
                    <w:bottom w:val="nil"/>
                    <w:right w:val="nil"/>
                  </w:tcBorders>
                  <w:noWrap/>
                  <w:vAlign w:val="bottom"/>
                  <w:hideMark/>
                </w:tcPr>
                <w:p w14:paraId="7FF66C4F" w14:textId="77777777" w:rsidR="006B1AFC" w:rsidRPr="00920A55" w:rsidRDefault="006B1AFC" w:rsidP="003C4A79">
                  <w:pPr>
                    <w:spacing w:after="0" w:line="240" w:lineRule="auto"/>
                    <w:jc w:val="left"/>
                    <w:rPr>
                      <w:rFonts w:ascii="Times New Roman" w:hAnsi="Times New Roman"/>
                      <w:sz w:val="24"/>
                      <w:szCs w:val="20"/>
                      <w:lang w:eastAsia="ko-KR"/>
                    </w:rPr>
                  </w:pPr>
                </w:p>
              </w:tc>
              <w:tc>
                <w:tcPr>
                  <w:tcW w:w="2596" w:type="dxa"/>
                  <w:gridSpan w:val="4"/>
                  <w:tcBorders>
                    <w:top w:val="nil"/>
                    <w:left w:val="nil"/>
                    <w:bottom w:val="nil"/>
                    <w:right w:val="nil"/>
                  </w:tcBorders>
                  <w:noWrap/>
                  <w:vAlign w:val="bottom"/>
                  <w:hideMark/>
                </w:tcPr>
                <w:p w14:paraId="2BA60843" w14:textId="77777777" w:rsidR="006B1AFC" w:rsidRPr="00920A55" w:rsidRDefault="006B1AFC" w:rsidP="003C4A79">
                  <w:pPr>
                    <w:spacing w:after="0" w:line="240" w:lineRule="auto"/>
                    <w:jc w:val="center"/>
                    <w:rPr>
                      <w:rFonts w:cs="Arial"/>
                      <w:color w:val="000000"/>
                      <w:sz w:val="16"/>
                      <w:szCs w:val="16"/>
                      <w:lang w:eastAsia="ko-KR"/>
                    </w:rPr>
                  </w:pPr>
                  <w:r w:rsidRPr="00920A55">
                    <w:rPr>
                      <w:rFonts w:cs="Arial"/>
                      <w:color w:val="000000"/>
                      <w:sz w:val="16"/>
                      <w:szCs w:val="16"/>
                      <w:lang w:eastAsia="ko-KR"/>
                    </w:rPr>
                    <w:t xml:space="preserve">mezičtvrtletně </w:t>
                  </w:r>
                </w:p>
              </w:tc>
              <w:tc>
                <w:tcPr>
                  <w:tcW w:w="2596" w:type="dxa"/>
                  <w:gridSpan w:val="4"/>
                  <w:tcBorders>
                    <w:top w:val="nil"/>
                    <w:left w:val="nil"/>
                    <w:bottom w:val="nil"/>
                    <w:right w:val="nil"/>
                  </w:tcBorders>
                  <w:noWrap/>
                  <w:vAlign w:val="bottom"/>
                  <w:hideMark/>
                </w:tcPr>
                <w:p w14:paraId="1B97CC08" w14:textId="77777777" w:rsidR="006B1AFC" w:rsidRPr="00920A55" w:rsidRDefault="006B1AFC" w:rsidP="003C4A79">
                  <w:pPr>
                    <w:spacing w:after="0" w:line="240" w:lineRule="auto"/>
                    <w:jc w:val="center"/>
                    <w:rPr>
                      <w:rFonts w:cs="Arial"/>
                      <w:color w:val="000000"/>
                      <w:sz w:val="16"/>
                      <w:szCs w:val="16"/>
                      <w:lang w:eastAsia="ko-KR"/>
                    </w:rPr>
                  </w:pPr>
                  <w:r w:rsidRPr="00920A55">
                    <w:rPr>
                      <w:rFonts w:cs="Arial"/>
                      <w:color w:val="000000"/>
                      <w:sz w:val="16"/>
                      <w:szCs w:val="16"/>
                      <w:lang w:eastAsia="ko-KR"/>
                    </w:rPr>
                    <w:t xml:space="preserve">meziročně </w:t>
                  </w:r>
                </w:p>
              </w:tc>
            </w:tr>
            <w:tr w:rsidR="006B1AFC" w:rsidRPr="00920A55" w14:paraId="6C301735" w14:textId="77777777" w:rsidTr="003C4A79">
              <w:trPr>
                <w:trHeight w:val="255"/>
              </w:trPr>
              <w:tc>
                <w:tcPr>
                  <w:tcW w:w="4466" w:type="dxa"/>
                  <w:tcBorders>
                    <w:top w:val="nil"/>
                    <w:left w:val="nil"/>
                    <w:bottom w:val="nil"/>
                    <w:right w:val="nil"/>
                  </w:tcBorders>
                  <w:noWrap/>
                  <w:vAlign w:val="bottom"/>
                  <w:hideMark/>
                </w:tcPr>
                <w:p w14:paraId="7186FF35" w14:textId="77777777" w:rsidR="006B1AFC" w:rsidRPr="00920A55" w:rsidRDefault="006B1AFC" w:rsidP="003C4A79">
                  <w:pPr>
                    <w:spacing w:after="0" w:line="240" w:lineRule="auto"/>
                    <w:jc w:val="center"/>
                    <w:rPr>
                      <w:rFonts w:cs="Arial"/>
                      <w:color w:val="000000"/>
                      <w:sz w:val="16"/>
                      <w:szCs w:val="16"/>
                      <w:lang w:eastAsia="ko-KR"/>
                    </w:rPr>
                  </w:pPr>
                </w:p>
              </w:tc>
              <w:tc>
                <w:tcPr>
                  <w:tcW w:w="649" w:type="dxa"/>
                  <w:tcBorders>
                    <w:top w:val="nil"/>
                    <w:left w:val="nil"/>
                    <w:bottom w:val="nil"/>
                    <w:right w:val="nil"/>
                  </w:tcBorders>
                  <w:noWrap/>
                  <w:vAlign w:val="bottom"/>
                  <w:hideMark/>
                </w:tcPr>
                <w:p w14:paraId="62F9881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Q3</w:t>
                  </w:r>
                  <w:r>
                    <w:rPr>
                      <w:rFonts w:cs="Arial"/>
                      <w:color w:val="000000"/>
                      <w:sz w:val="16"/>
                      <w:szCs w:val="16"/>
                      <w:lang w:eastAsia="ko-KR"/>
                    </w:rPr>
                    <w:t xml:space="preserve"> 25</w:t>
                  </w:r>
                </w:p>
              </w:tc>
              <w:tc>
                <w:tcPr>
                  <w:tcW w:w="649" w:type="dxa"/>
                  <w:tcBorders>
                    <w:top w:val="nil"/>
                    <w:left w:val="nil"/>
                    <w:bottom w:val="nil"/>
                    <w:right w:val="nil"/>
                  </w:tcBorders>
                  <w:noWrap/>
                  <w:vAlign w:val="bottom"/>
                  <w:hideMark/>
                </w:tcPr>
                <w:p w14:paraId="19E6D3A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Q4</w:t>
                  </w:r>
                  <w:r>
                    <w:rPr>
                      <w:rFonts w:cs="Arial"/>
                      <w:color w:val="000000"/>
                      <w:sz w:val="16"/>
                      <w:szCs w:val="16"/>
                      <w:lang w:eastAsia="ko-KR"/>
                    </w:rPr>
                    <w:t xml:space="preserve"> 25</w:t>
                  </w:r>
                </w:p>
              </w:tc>
              <w:tc>
                <w:tcPr>
                  <w:tcW w:w="649" w:type="dxa"/>
                  <w:tcBorders>
                    <w:top w:val="nil"/>
                    <w:left w:val="nil"/>
                    <w:bottom w:val="nil"/>
                    <w:right w:val="nil"/>
                  </w:tcBorders>
                  <w:noWrap/>
                  <w:vAlign w:val="bottom"/>
                  <w:hideMark/>
                </w:tcPr>
                <w:p w14:paraId="4752FD8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Q1</w:t>
                  </w:r>
                  <w:r>
                    <w:rPr>
                      <w:rFonts w:cs="Arial"/>
                      <w:color w:val="000000"/>
                      <w:sz w:val="16"/>
                      <w:szCs w:val="16"/>
                      <w:lang w:eastAsia="ko-KR"/>
                    </w:rPr>
                    <w:t xml:space="preserve"> 26</w:t>
                  </w:r>
                </w:p>
              </w:tc>
              <w:tc>
                <w:tcPr>
                  <w:tcW w:w="649" w:type="dxa"/>
                  <w:tcBorders>
                    <w:top w:val="nil"/>
                    <w:left w:val="nil"/>
                    <w:bottom w:val="nil"/>
                    <w:right w:val="nil"/>
                  </w:tcBorders>
                  <w:noWrap/>
                  <w:vAlign w:val="bottom"/>
                  <w:hideMark/>
                </w:tcPr>
                <w:p w14:paraId="55D4AC3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Q2</w:t>
                  </w:r>
                  <w:r>
                    <w:rPr>
                      <w:rFonts w:cs="Arial"/>
                      <w:color w:val="000000"/>
                      <w:sz w:val="16"/>
                      <w:szCs w:val="16"/>
                      <w:lang w:eastAsia="ko-KR"/>
                    </w:rPr>
                    <w:t xml:space="preserve"> 26</w:t>
                  </w:r>
                </w:p>
              </w:tc>
              <w:tc>
                <w:tcPr>
                  <w:tcW w:w="684" w:type="dxa"/>
                  <w:tcBorders>
                    <w:top w:val="nil"/>
                    <w:left w:val="nil"/>
                    <w:bottom w:val="nil"/>
                    <w:right w:val="nil"/>
                  </w:tcBorders>
                  <w:noWrap/>
                  <w:vAlign w:val="bottom"/>
                  <w:hideMark/>
                </w:tcPr>
                <w:p w14:paraId="5ADF65BD"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Q3</w:t>
                  </w:r>
                  <w:r>
                    <w:rPr>
                      <w:rFonts w:cs="Arial"/>
                      <w:color w:val="000000"/>
                      <w:sz w:val="16"/>
                      <w:szCs w:val="16"/>
                      <w:lang w:eastAsia="ko-KR"/>
                    </w:rPr>
                    <w:t xml:space="preserve"> 25</w:t>
                  </w:r>
                </w:p>
              </w:tc>
              <w:tc>
                <w:tcPr>
                  <w:tcW w:w="684" w:type="dxa"/>
                  <w:tcBorders>
                    <w:top w:val="nil"/>
                    <w:left w:val="nil"/>
                    <w:bottom w:val="nil"/>
                    <w:right w:val="nil"/>
                  </w:tcBorders>
                  <w:noWrap/>
                  <w:vAlign w:val="bottom"/>
                  <w:hideMark/>
                </w:tcPr>
                <w:p w14:paraId="474EE07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Q4</w:t>
                  </w:r>
                  <w:r>
                    <w:rPr>
                      <w:rFonts w:cs="Arial"/>
                      <w:color w:val="000000"/>
                      <w:sz w:val="16"/>
                      <w:szCs w:val="16"/>
                      <w:lang w:eastAsia="ko-KR"/>
                    </w:rPr>
                    <w:t xml:space="preserve"> 25</w:t>
                  </w:r>
                </w:p>
              </w:tc>
              <w:tc>
                <w:tcPr>
                  <w:tcW w:w="614" w:type="dxa"/>
                  <w:tcBorders>
                    <w:top w:val="nil"/>
                    <w:left w:val="nil"/>
                    <w:bottom w:val="nil"/>
                    <w:right w:val="nil"/>
                  </w:tcBorders>
                  <w:noWrap/>
                  <w:vAlign w:val="bottom"/>
                  <w:hideMark/>
                </w:tcPr>
                <w:p w14:paraId="3807440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Q1</w:t>
                  </w:r>
                  <w:r>
                    <w:rPr>
                      <w:rFonts w:cs="Arial"/>
                      <w:color w:val="000000"/>
                      <w:sz w:val="16"/>
                      <w:szCs w:val="16"/>
                      <w:lang w:eastAsia="ko-KR"/>
                    </w:rPr>
                    <w:t xml:space="preserve"> 26</w:t>
                  </w:r>
                </w:p>
              </w:tc>
              <w:tc>
                <w:tcPr>
                  <w:tcW w:w="614" w:type="dxa"/>
                  <w:tcBorders>
                    <w:top w:val="nil"/>
                    <w:left w:val="nil"/>
                    <w:bottom w:val="nil"/>
                    <w:right w:val="nil"/>
                  </w:tcBorders>
                  <w:noWrap/>
                  <w:vAlign w:val="bottom"/>
                  <w:hideMark/>
                </w:tcPr>
                <w:p w14:paraId="09C8820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Q2</w:t>
                  </w:r>
                  <w:r>
                    <w:rPr>
                      <w:rFonts w:cs="Arial"/>
                      <w:color w:val="000000"/>
                      <w:sz w:val="16"/>
                      <w:szCs w:val="16"/>
                      <w:lang w:eastAsia="ko-KR"/>
                    </w:rPr>
                    <w:t xml:space="preserve"> 26</w:t>
                  </w:r>
                </w:p>
              </w:tc>
            </w:tr>
            <w:tr w:rsidR="006B1AFC" w:rsidRPr="00920A55" w14:paraId="543C0E18" w14:textId="77777777" w:rsidTr="003C4A79">
              <w:trPr>
                <w:trHeight w:val="255"/>
              </w:trPr>
              <w:tc>
                <w:tcPr>
                  <w:tcW w:w="4466" w:type="dxa"/>
                  <w:tcBorders>
                    <w:top w:val="single" w:sz="4" w:space="0" w:color="auto"/>
                    <w:left w:val="nil"/>
                    <w:bottom w:val="nil"/>
                    <w:right w:val="nil"/>
                  </w:tcBorders>
                  <w:vAlign w:val="bottom"/>
                  <w:hideMark/>
                </w:tcPr>
                <w:p w14:paraId="0BF74AF6" w14:textId="77777777" w:rsidR="006B1AFC" w:rsidRPr="00920A55" w:rsidRDefault="006B1AFC" w:rsidP="003C4A79">
                  <w:pPr>
                    <w:spacing w:after="0" w:line="240" w:lineRule="auto"/>
                    <w:jc w:val="left"/>
                    <w:rPr>
                      <w:rFonts w:cs="Arial"/>
                      <w:color w:val="000000"/>
                      <w:sz w:val="16"/>
                      <w:szCs w:val="16"/>
                      <w:lang w:eastAsia="ko-KR"/>
                    </w:rPr>
                  </w:pPr>
                  <w:r w:rsidRPr="00920A55">
                    <w:rPr>
                      <w:rFonts w:cs="Arial"/>
                      <w:color w:val="000000"/>
                      <w:sz w:val="16"/>
                      <w:szCs w:val="16"/>
                      <w:lang w:eastAsia="ko-KR"/>
                    </w:rPr>
                    <w:t>Celkem</w:t>
                  </w:r>
                </w:p>
              </w:tc>
              <w:tc>
                <w:tcPr>
                  <w:tcW w:w="649" w:type="dxa"/>
                  <w:tcBorders>
                    <w:top w:val="single" w:sz="4" w:space="0" w:color="auto"/>
                    <w:left w:val="nil"/>
                    <w:bottom w:val="nil"/>
                    <w:right w:val="nil"/>
                  </w:tcBorders>
                  <w:noWrap/>
                  <w:vAlign w:val="bottom"/>
                  <w:hideMark/>
                </w:tcPr>
                <w:p w14:paraId="290378D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single" w:sz="4" w:space="0" w:color="auto"/>
                    <w:left w:val="nil"/>
                    <w:bottom w:val="nil"/>
                    <w:right w:val="nil"/>
                  </w:tcBorders>
                  <w:noWrap/>
                  <w:vAlign w:val="bottom"/>
                  <w:hideMark/>
                </w:tcPr>
                <w:p w14:paraId="053F8FC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49" w:type="dxa"/>
                  <w:tcBorders>
                    <w:top w:val="single" w:sz="4" w:space="0" w:color="auto"/>
                    <w:left w:val="nil"/>
                    <w:bottom w:val="nil"/>
                    <w:right w:val="nil"/>
                  </w:tcBorders>
                  <w:noWrap/>
                  <w:vAlign w:val="bottom"/>
                  <w:hideMark/>
                </w:tcPr>
                <w:p w14:paraId="727C47B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49" w:type="dxa"/>
                  <w:tcBorders>
                    <w:top w:val="single" w:sz="4" w:space="0" w:color="auto"/>
                    <w:left w:val="nil"/>
                    <w:bottom w:val="nil"/>
                    <w:right w:val="nil"/>
                  </w:tcBorders>
                  <w:noWrap/>
                  <w:vAlign w:val="bottom"/>
                  <w:hideMark/>
                </w:tcPr>
                <w:p w14:paraId="24D84A0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c>
                <w:tcPr>
                  <w:tcW w:w="684" w:type="dxa"/>
                  <w:tcBorders>
                    <w:top w:val="single" w:sz="4" w:space="0" w:color="auto"/>
                    <w:left w:val="nil"/>
                    <w:bottom w:val="nil"/>
                    <w:right w:val="nil"/>
                  </w:tcBorders>
                  <w:noWrap/>
                  <w:vAlign w:val="bottom"/>
                  <w:hideMark/>
                </w:tcPr>
                <w:p w14:paraId="189D469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84" w:type="dxa"/>
                  <w:tcBorders>
                    <w:top w:val="single" w:sz="4" w:space="0" w:color="auto"/>
                    <w:left w:val="nil"/>
                    <w:bottom w:val="nil"/>
                    <w:right w:val="nil"/>
                  </w:tcBorders>
                  <w:noWrap/>
                  <w:vAlign w:val="bottom"/>
                  <w:hideMark/>
                </w:tcPr>
                <w:p w14:paraId="64A8CF7D"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single" w:sz="4" w:space="0" w:color="auto"/>
                    <w:left w:val="nil"/>
                    <w:bottom w:val="nil"/>
                    <w:right w:val="nil"/>
                  </w:tcBorders>
                  <w:noWrap/>
                  <w:vAlign w:val="bottom"/>
                  <w:hideMark/>
                </w:tcPr>
                <w:p w14:paraId="3B2CCBB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2,0</w:t>
                  </w:r>
                </w:p>
              </w:tc>
              <w:tc>
                <w:tcPr>
                  <w:tcW w:w="614" w:type="dxa"/>
                  <w:tcBorders>
                    <w:top w:val="single" w:sz="4" w:space="0" w:color="auto"/>
                    <w:left w:val="nil"/>
                    <w:bottom w:val="nil"/>
                    <w:right w:val="nil"/>
                  </w:tcBorders>
                  <w:noWrap/>
                  <w:vAlign w:val="bottom"/>
                  <w:hideMark/>
                </w:tcPr>
                <w:p w14:paraId="408F4AF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r>
            <w:tr w:rsidR="006B1AFC" w:rsidRPr="00920A55" w14:paraId="442280E5" w14:textId="77777777" w:rsidTr="003C4A79">
              <w:trPr>
                <w:trHeight w:val="255"/>
              </w:trPr>
              <w:tc>
                <w:tcPr>
                  <w:tcW w:w="4466" w:type="dxa"/>
                  <w:tcBorders>
                    <w:top w:val="nil"/>
                    <w:left w:val="nil"/>
                    <w:bottom w:val="nil"/>
                    <w:right w:val="nil"/>
                  </w:tcBorders>
                  <w:vAlign w:val="bottom"/>
                  <w:hideMark/>
                </w:tcPr>
                <w:p w14:paraId="1EF58E2E"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Zemědělství, lesnictví a rybářství</w:t>
                  </w:r>
                </w:p>
              </w:tc>
              <w:tc>
                <w:tcPr>
                  <w:tcW w:w="649" w:type="dxa"/>
                  <w:tcBorders>
                    <w:top w:val="nil"/>
                    <w:left w:val="nil"/>
                    <w:bottom w:val="nil"/>
                    <w:right w:val="nil"/>
                  </w:tcBorders>
                  <w:noWrap/>
                  <w:vAlign w:val="bottom"/>
                  <w:hideMark/>
                </w:tcPr>
                <w:p w14:paraId="4D5C3DE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49" w:type="dxa"/>
                  <w:tcBorders>
                    <w:top w:val="nil"/>
                    <w:left w:val="nil"/>
                    <w:bottom w:val="nil"/>
                    <w:right w:val="nil"/>
                  </w:tcBorders>
                  <w:noWrap/>
                  <w:vAlign w:val="bottom"/>
                  <w:hideMark/>
                </w:tcPr>
                <w:p w14:paraId="66C05DF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1,0</w:t>
                  </w:r>
                </w:p>
              </w:tc>
              <w:tc>
                <w:tcPr>
                  <w:tcW w:w="649" w:type="dxa"/>
                  <w:tcBorders>
                    <w:top w:val="nil"/>
                    <w:left w:val="nil"/>
                    <w:bottom w:val="nil"/>
                    <w:right w:val="nil"/>
                  </w:tcBorders>
                  <w:noWrap/>
                  <w:vAlign w:val="bottom"/>
                  <w:hideMark/>
                </w:tcPr>
                <w:p w14:paraId="7CE11D9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49" w:type="dxa"/>
                  <w:tcBorders>
                    <w:top w:val="nil"/>
                    <w:left w:val="nil"/>
                    <w:bottom w:val="nil"/>
                    <w:right w:val="nil"/>
                  </w:tcBorders>
                  <w:noWrap/>
                  <w:vAlign w:val="bottom"/>
                  <w:hideMark/>
                </w:tcPr>
                <w:p w14:paraId="63396D1E"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1,4</w:t>
                  </w:r>
                </w:p>
              </w:tc>
              <w:tc>
                <w:tcPr>
                  <w:tcW w:w="684" w:type="dxa"/>
                  <w:tcBorders>
                    <w:top w:val="nil"/>
                    <w:left w:val="nil"/>
                    <w:bottom w:val="nil"/>
                    <w:right w:val="nil"/>
                  </w:tcBorders>
                  <w:noWrap/>
                  <w:vAlign w:val="bottom"/>
                  <w:hideMark/>
                </w:tcPr>
                <w:p w14:paraId="2D1BFF8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c>
                <w:tcPr>
                  <w:tcW w:w="684" w:type="dxa"/>
                  <w:tcBorders>
                    <w:top w:val="nil"/>
                    <w:left w:val="nil"/>
                    <w:bottom w:val="nil"/>
                    <w:right w:val="nil"/>
                  </w:tcBorders>
                  <w:noWrap/>
                  <w:vAlign w:val="bottom"/>
                  <w:hideMark/>
                </w:tcPr>
                <w:p w14:paraId="2626998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3,4</w:t>
                  </w:r>
                </w:p>
              </w:tc>
              <w:tc>
                <w:tcPr>
                  <w:tcW w:w="614" w:type="dxa"/>
                  <w:tcBorders>
                    <w:top w:val="nil"/>
                    <w:left w:val="nil"/>
                    <w:bottom w:val="nil"/>
                    <w:right w:val="nil"/>
                  </w:tcBorders>
                  <w:noWrap/>
                  <w:vAlign w:val="bottom"/>
                  <w:hideMark/>
                </w:tcPr>
                <w:p w14:paraId="31DCFF2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2,1</w:t>
                  </w:r>
                </w:p>
              </w:tc>
              <w:tc>
                <w:tcPr>
                  <w:tcW w:w="614" w:type="dxa"/>
                  <w:tcBorders>
                    <w:top w:val="nil"/>
                    <w:left w:val="nil"/>
                    <w:bottom w:val="nil"/>
                    <w:right w:val="nil"/>
                  </w:tcBorders>
                  <w:noWrap/>
                  <w:vAlign w:val="bottom"/>
                  <w:hideMark/>
                </w:tcPr>
                <w:p w14:paraId="0635419B"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0,1</w:t>
                  </w:r>
                </w:p>
              </w:tc>
            </w:tr>
            <w:tr w:rsidR="006B1AFC" w:rsidRPr="00920A55" w14:paraId="3E8D8A8C" w14:textId="77777777" w:rsidTr="003C4A79">
              <w:trPr>
                <w:trHeight w:val="255"/>
              </w:trPr>
              <w:tc>
                <w:tcPr>
                  <w:tcW w:w="4466" w:type="dxa"/>
                  <w:tcBorders>
                    <w:top w:val="nil"/>
                    <w:left w:val="nil"/>
                    <w:bottom w:val="nil"/>
                    <w:right w:val="nil"/>
                  </w:tcBorders>
                  <w:vAlign w:val="bottom"/>
                  <w:hideMark/>
                </w:tcPr>
                <w:p w14:paraId="7AB7A3C2"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Průmysl</w:t>
                  </w:r>
                </w:p>
              </w:tc>
              <w:tc>
                <w:tcPr>
                  <w:tcW w:w="649" w:type="dxa"/>
                  <w:tcBorders>
                    <w:top w:val="nil"/>
                    <w:left w:val="nil"/>
                    <w:bottom w:val="nil"/>
                    <w:right w:val="nil"/>
                  </w:tcBorders>
                  <w:noWrap/>
                  <w:vAlign w:val="bottom"/>
                  <w:hideMark/>
                </w:tcPr>
                <w:p w14:paraId="7212501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0,8</w:t>
                  </w:r>
                </w:p>
              </w:tc>
              <w:tc>
                <w:tcPr>
                  <w:tcW w:w="649" w:type="dxa"/>
                  <w:tcBorders>
                    <w:top w:val="nil"/>
                    <w:left w:val="nil"/>
                    <w:bottom w:val="nil"/>
                    <w:right w:val="nil"/>
                  </w:tcBorders>
                  <w:noWrap/>
                  <w:vAlign w:val="bottom"/>
                  <w:hideMark/>
                </w:tcPr>
                <w:p w14:paraId="43989ED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51124F08"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466ED73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0,9</w:t>
                  </w:r>
                </w:p>
              </w:tc>
              <w:tc>
                <w:tcPr>
                  <w:tcW w:w="684" w:type="dxa"/>
                  <w:tcBorders>
                    <w:top w:val="nil"/>
                    <w:left w:val="nil"/>
                    <w:bottom w:val="nil"/>
                    <w:right w:val="nil"/>
                  </w:tcBorders>
                  <w:noWrap/>
                  <w:vAlign w:val="bottom"/>
                  <w:hideMark/>
                </w:tcPr>
                <w:p w14:paraId="25428B9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c>
                <w:tcPr>
                  <w:tcW w:w="684" w:type="dxa"/>
                  <w:tcBorders>
                    <w:top w:val="nil"/>
                    <w:left w:val="nil"/>
                    <w:bottom w:val="nil"/>
                    <w:right w:val="nil"/>
                  </w:tcBorders>
                  <w:noWrap/>
                  <w:vAlign w:val="bottom"/>
                  <w:hideMark/>
                </w:tcPr>
                <w:p w14:paraId="04F1949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nil"/>
                    <w:left w:val="nil"/>
                    <w:bottom w:val="nil"/>
                    <w:right w:val="nil"/>
                  </w:tcBorders>
                  <w:noWrap/>
                  <w:vAlign w:val="bottom"/>
                  <w:hideMark/>
                </w:tcPr>
                <w:p w14:paraId="42DF41C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1,7</w:t>
                  </w:r>
                </w:p>
              </w:tc>
              <w:tc>
                <w:tcPr>
                  <w:tcW w:w="614" w:type="dxa"/>
                  <w:tcBorders>
                    <w:top w:val="nil"/>
                    <w:left w:val="nil"/>
                    <w:bottom w:val="nil"/>
                    <w:right w:val="nil"/>
                  </w:tcBorders>
                  <w:noWrap/>
                  <w:vAlign w:val="bottom"/>
                  <w:hideMark/>
                </w:tcPr>
                <w:p w14:paraId="09EC052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r>
            <w:tr w:rsidR="006B1AFC" w:rsidRPr="00920A55" w14:paraId="3D851B4B" w14:textId="77777777" w:rsidTr="003C4A79">
              <w:trPr>
                <w:trHeight w:val="255"/>
              </w:trPr>
              <w:tc>
                <w:tcPr>
                  <w:tcW w:w="4466" w:type="dxa"/>
                  <w:tcBorders>
                    <w:top w:val="nil"/>
                    <w:left w:val="nil"/>
                    <w:bottom w:val="nil"/>
                    <w:right w:val="nil"/>
                  </w:tcBorders>
                  <w:vAlign w:val="bottom"/>
                  <w:hideMark/>
                </w:tcPr>
                <w:p w14:paraId="5708E23E" w14:textId="77777777" w:rsidR="006B1AFC" w:rsidRPr="00920A55" w:rsidRDefault="006B1AFC" w:rsidP="003C4A79">
                  <w:pPr>
                    <w:spacing w:after="0" w:line="240" w:lineRule="auto"/>
                    <w:ind w:left="88" w:firstLine="142"/>
                    <w:jc w:val="left"/>
                    <w:rPr>
                      <w:rFonts w:cs="Arial"/>
                      <w:color w:val="000000"/>
                      <w:sz w:val="16"/>
                      <w:szCs w:val="16"/>
                      <w:lang w:eastAsia="ko-KR"/>
                    </w:rPr>
                  </w:pPr>
                  <w:r w:rsidRPr="00920A55">
                    <w:rPr>
                      <w:rFonts w:cs="Arial"/>
                      <w:color w:val="000000"/>
                      <w:sz w:val="16"/>
                      <w:szCs w:val="16"/>
                      <w:lang w:eastAsia="ko-KR"/>
                    </w:rPr>
                    <w:t>z toho: Zpracovatelský průmysl</w:t>
                  </w:r>
                </w:p>
              </w:tc>
              <w:tc>
                <w:tcPr>
                  <w:tcW w:w="649" w:type="dxa"/>
                  <w:tcBorders>
                    <w:top w:val="nil"/>
                    <w:left w:val="nil"/>
                    <w:bottom w:val="nil"/>
                    <w:right w:val="nil"/>
                  </w:tcBorders>
                  <w:noWrap/>
                  <w:vAlign w:val="bottom"/>
                  <w:hideMark/>
                </w:tcPr>
                <w:p w14:paraId="0ADC460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1,0</w:t>
                  </w:r>
                </w:p>
              </w:tc>
              <w:tc>
                <w:tcPr>
                  <w:tcW w:w="649" w:type="dxa"/>
                  <w:tcBorders>
                    <w:top w:val="nil"/>
                    <w:left w:val="nil"/>
                    <w:bottom w:val="nil"/>
                    <w:right w:val="nil"/>
                  </w:tcBorders>
                  <w:noWrap/>
                  <w:vAlign w:val="bottom"/>
                  <w:hideMark/>
                </w:tcPr>
                <w:p w14:paraId="3F767A44"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w:t>
                  </w:r>
                </w:p>
              </w:tc>
              <w:tc>
                <w:tcPr>
                  <w:tcW w:w="649" w:type="dxa"/>
                  <w:tcBorders>
                    <w:top w:val="nil"/>
                    <w:left w:val="nil"/>
                    <w:bottom w:val="nil"/>
                    <w:right w:val="nil"/>
                  </w:tcBorders>
                  <w:noWrap/>
                  <w:vAlign w:val="bottom"/>
                  <w:hideMark/>
                </w:tcPr>
                <w:p w14:paraId="3F3D5DBE"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0,8</w:t>
                  </w:r>
                </w:p>
              </w:tc>
              <w:tc>
                <w:tcPr>
                  <w:tcW w:w="649" w:type="dxa"/>
                  <w:tcBorders>
                    <w:top w:val="nil"/>
                    <w:left w:val="nil"/>
                    <w:bottom w:val="nil"/>
                    <w:right w:val="nil"/>
                  </w:tcBorders>
                  <w:noWrap/>
                  <w:vAlign w:val="bottom"/>
                  <w:hideMark/>
                </w:tcPr>
                <w:p w14:paraId="3042101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84" w:type="dxa"/>
                  <w:tcBorders>
                    <w:top w:val="nil"/>
                    <w:left w:val="nil"/>
                    <w:bottom w:val="nil"/>
                    <w:right w:val="nil"/>
                  </w:tcBorders>
                  <w:noWrap/>
                  <w:vAlign w:val="bottom"/>
                  <w:hideMark/>
                </w:tcPr>
                <w:p w14:paraId="7170734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1,6</w:t>
                  </w:r>
                </w:p>
              </w:tc>
              <w:tc>
                <w:tcPr>
                  <w:tcW w:w="684" w:type="dxa"/>
                  <w:tcBorders>
                    <w:top w:val="nil"/>
                    <w:left w:val="nil"/>
                    <w:bottom w:val="nil"/>
                    <w:right w:val="nil"/>
                  </w:tcBorders>
                  <w:noWrap/>
                  <w:vAlign w:val="bottom"/>
                  <w:hideMark/>
                </w:tcPr>
                <w:p w14:paraId="0202A59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nil"/>
                    <w:left w:val="nil"/>
                    <w:bottom w:val="nil"/>
                    <w:right w:val="nil"/>
                  </w:tcBorders>
                  <w:noWrap/>
                  <w:vAlign w:val="bottom"/>
                  <w:hideMark/>
                </w:tcPr>
                <w:p w14:paraId="3A963F1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2,1</w:t>
                  </w:r>
                </w:p>
              </w:tc>
              <w:tc>
                <w:tcPr>
                  <w:tcW w:w="614" w:type="dxa"/>
                  <w:tcBorders>
                    <w:top w:val="nil"/>
                    <w:left w:val="nil"/>
                    <w:bottom w:val="nil"/>
                    <w:right w:val="nil"/>
                  </w:tcBorders>
                  <w:noWrap/>
                  <w:vAlign w:val="bottom"/>
                  <w:hideMark/>
                </w:tcPr>
                <w:p w14:paraId="30FEE43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1,6</w:t>
                  </w:r>
                </w:p>
              </w:tc>
            </w:tr>
            <w:tr w:rsidR="006B1AFC" w:rsidRPr="00920A55" w14:paraId="32E4C1E1" w14:textId="77777777" w:rsidTr="003C4A79">
              <w:trPr>
                <w:trHeight w:val="255"/>
              </w:trPr>
              <w:tc>
                <w:tcPr>
                  <w:tcW w:w="4466" w:type="dxa"/>
                  <w:tcBorders>
                    <w:top w:val="nil"/>
                    <w:left w:val="nil"/>
                    <w:bottom w:val="nil"/>
                    <w:right w:val="nil"/>
                  </w:tcBorders>
                  <w:vAlign w:val="bottom"/>
                  <w:hideMark/>
                </w:tcPr>
                <w:p w14:paraId="3674F0E0"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Stavebnictví</w:t>
                  </w:r>
                </w:p>
              </w:tc>
              <w:tc>
                <w:tcPr>
                  <w:tcW w:w="649" w:type="dxa"/>
                  <w:tcBorders>
                    <w:top w:val="nil"/>
                    <w:left w:val="nil"/>
                    <w:bottom w:val="nil"/>
                    <w:right w:val="nil"/>
                  </w:tcBorders>
                  <w:noWrap/>
                  <w:vAlign w:val="bottom"/>
                  <w:hideMark/>
                </w:tcPr>
                <w:p w14:paraId="3F49990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0,9</w:t>
                  </w:r>
                </w:p>
              </w:tc>
              <w:tc>
                <w:tcPr>
                  <w:tcW w:w="649" w:type="dxa"/>
                  <w:tcBorders>
                    <w:top w:val="nil"/>
                    <w:left w:val="nil"/>
                    <w:bottom w:val="nil"/>
                    <w:right w:val="nil"/>
                  </w:tcBorders>
                  <w:noWrap/>
                  <w:vAlign w:val="bottom"/>
                  <w:hideMark/>
                </w:tcPr>
                <w:p w14:paraId="05810268"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4146073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369025C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84" w:type="dxa"/>
                  <w:tcBorders>
                    <w:top w:val="nil"/>
                    <w:left w:val="nil"/>
                    <w:bottom w:val="nil"/>
                    <w:right w:val="nil"/>
                  </w:tcBorders>
                  <w:noWrap/>
                  <w:vAlign w:val="bottom"/>
                  <w:hideMark/>
                </w:tcPr>
                <w:p w14:paraId="5306C1E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4,1</w:t>
                  </w:r>
                </w:p>
              </w:tc>
              <w:tc>
                <w:tcPr>
                  <w:tcW w:w="684" w:type="dxa"/>
                  <w:tcBorders>
                    <w:top w:val="nil"/>
                    <w:left w:val="nil"/>
                    <w:bottom w:val="nil"/>
                    <w:right w:val="nil"/>
                  </w:tcBorders>
                  <w:noWrap/>
                  <w:vAlign w:val="bottom"/>
                  <w:hideMark/>
                </w:tcPr>
                <w:p w14:paraId="454976A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1,6</w:t>
                  </w:r>
                </w:p>
              </w:tc>
              <w:tc>
                <w:tcPr>
                  <w:tcW w:w="614" w:type="dxa"/>
                  <w:tcBorders>
                    <w:top w:val="nil"/>
                    <w:left w:val="nil"/>
                    <w:bottom w:val="nil"/>
                    <w:right w:val="nil"/>
                  </w:tcBorders>
                  <w:noWrap/>
                  <w:vAlign w:val="bottom"/>
                  <w:hideMark/>
                </w:tcPr>
                <w:p w14:paraId="2E591C24"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1,7</w:t>
                  </w:r>
                </w:p>
              </w:tc>
              <w:tc>
                <w:tcPr>
                  <w:tcW w:w="614" w:type="dxa"/>
                  <w:tcBorders>
                    <w:top w:val="nil"/>
                    <w:left w:val="nil"/>
                    <w:bottom w:val="nil"/>
                    <w:right w:val="nil"/>
                  </w:tcBorders>
                  <w:noWrap/>
                  <w:vAlign w:val="bottom"/>
                  <w:hideMark/>
                </w:tcPr>
                <w:p w14:paraId="2B994B2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1,4</w:t>
                  </w:r>
                </w:p>
              </w:tc>
            </w:tr>
            <w:tr w:rsidR="006B1AFC" w:rsidRPr="00920A55" w14:paraId="435559CB" w14:textId="77777777" w:rsidTr="003C4A79">
              <w:trPr>
                <w:trHeight w:val="255"/>
              </w:trPr>
              <w:tc>
                <w:tcPr>
                  <w:tcW w:w="4466" w:type="dxa"/>
                  <w:tcBorders>
                    <w:top w:val="nil"/>
                    <w:left w:val="nil"/>
                    <w:bottom w:val="nil"/>
                    <w:right w:val="nil"/>
                  </w:tcBorders>
                  <w:vAlign w:val="bottom"/>
                  <w:hideMark/>
                </w:tcPr>
                <w:p w14:paraId="0CEE9CBF"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 xml:space="preserve">Obchod, doprava, ubytování a pohostinství </w:t>
                  </w:r>
                </w:p>
              </w:tc>
              <w:tc>
                <w:tcPr>
                  <w:tcW w:w="649" w:type="dxa"/>
                  <w:tcBorders>
                    <w:top w:val="nil"/>
                    <w:left w:val="nil"/>
                    <w:bottom w:val="nil"/>
                    <w:right w:val="nil"/>
                  </w:tcBorders>
                  <w:noWrap/>
                  <w:vAlign w:val="bottom"/>
                  <w:hideMark/>
                </w:tcPr>
                <w:p w14:paraId="3900143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5314711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0,8</w:t>
                  </w:r>
                </w:p>
              </w:tc>
              <w:tc>
                <w:tcPr>
                  <w:tcW w:w="649" w:type="dxa"/>
                  <w:tcBorders>
                    <w:top w:val="nil"/>
                    <w:left w:val="nil"/>
                    <w:bottom w:val="nil"/>
                    <w:right w:val="nil"/>
                  </w:tcBorders>
                  <w:noWrap/>
                  <w:vAlign w:val="bottom"/>
                  <w:hideMark/>
                </w:tcPr>
                <w:p w14:paraId="5243B43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0A6627B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c>
                <w:tcPr>
                  <w:tcW w:w="684" w:type="dxa"/>
                  <w:tcBorders>
                    <w:top w:val="nil"/>
                    <w:left w:val="nil"/>
                    <w:bottom w:val="nil"/>
                    <w:right w:val="nil"/>
                  </w:tcBorders>
                  <w:noWrap/>
                  <w:vAlign w:val="bottom"/>
                  <w:hideMark/>
                </w:tcPr>
                <w:p w14:paraId="0C0E104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5,3</w:t>
                  </w:r>
                </w:p>
              </w:tc>
              <w:tc>
                <w:tcPr>
                  <w:tcW w:w="684" w:type="dxa"/>
                  <w:tcBorders>
                    <w:top w:val="nil"/>
                    <w:left w:val="nil"/>
                    <w:bottom w:val="nil"/>
                    <w:right w:val="nil"/>
                  </w:tcBorders>
                  <w:noWrap/>
                  <w:vAlign w:val="bottom"/>
                  <w:hideMark/>
                </w:tcPr>
                <w:p w14:paraId="1293AFF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6,0</w:t>
                  </w:r>
                </w:p>
              </w:tc>
              <w:tc>
                <w:tcPr>
                  <w:tcW w:w="614" w:type="dxa"/>
                  <w:tcBorders>
                    <w:top w:val="nil"/>
                    <w:left w:val="nil"/>
                    <w:bottom w:val="nil"/>
                    <w:right w:val="nil"/>
                  </w:tcBorders>
                  <w:noWrap/>
                  <w:vAlign w:val="bottom"/>
                  <w:hideMark/>
                </w:tcPr>
                <w:p w14:paraId="46D167D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3,4</w:t>
                  </w:r>
                </w:p>
              </w:tc>
              <w:tc>
                <w:tcPr>
                  <w:tcW w:w="614" w:type="dxa"/>
                  <w:tcBorders>
                    <w:top w:val="nil"/>
                    <w:left w:val="nil"/>
                    <w:bottom w:val="nil"/>
                    <w:right w:val="nil"/>
                  </w:tcBorders>
                  <w:noWrap/>
                  <w:vAlign w:val="bottom"/>
                  <w:hideMark/>
                </w:tcPr>
                <w:p w14:paraId="6A89CB9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2,4</w:t>
                  </w:r>
                </w:p>
              </w:tc>
            </w:tr>
            <w:tr w:rsidR="006B1AFC" w:rsidRPr="00920A55" w14:paraId="32DABF76" w14:textId="77777777" w:rsidTr="003C4A79">
              <w:trPr>
                <w:trHeight w:val="255"/>
              </w:trPr>
              <w:tc>
                <w:tcPr>
                  <w:tcW w:w="4466" w:type="dxa"/>
                  <w:tcBorders>
                    <w:top w:val="nil"/>
                    <w:left w:val="nil"/>
                    <w:bottom w:val="nil"/>
                    <w:right w:val="nil"/>
                  </w:tcBorders>
                  <w:vAlign w:val="bottom"/>
                  <w:hideMark/>
                </w:tcPr>
                <w:p w14:paraId="3C62A214"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Informační a komunikační činnosti</w:t>
                  </w:r>
                </w:p>
              </w:tc>
              <w:tc>
                <w:tcPr>
                  <w:tcW w:w="649" w:type="dxa"/>
                  <w:tcBorders>
                    <w:top w:val="nil"/>
                    <w:left w:val="nil"/>
                    <w:bottom w:val="nil"/>
                    <w:right w:val="nil"/>
                  </w:tcBorders>
                  <w:noWrap/>
                  <w:vAlign w:val="bottom"/>
                  <w:hideMark/>
                </w:tcPr>
                <w:p w14:paraId="2EF0B13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2,7</w:t>
                  </w:r>
                </w:p>
              </w:tc>
              <w:tc>
                <w:tcPr>
                  <w:tcW w:w="649" w:type="dxa"/>
                  <w:tcBorders>
                    <w:top w:val="nil"/>
                    <w:left w:val="nil"/>
                    <w:bottom w:val="nil"/>
                    <w:right w:val="nil"/>
                  </w:tcBorders>
                  <w:noWrap/>
                  <w:vAlign w:val="bottom"/>
                  <w:hideMark/>
                </w:tcPr>
                <w:p w14:paraId="62CC07B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w:t>
                  </w:r>
                </w:p>
              </w:tc>
              <w:tc>
                <w:tcPr>
                  <w:tcW w:w="649" w:type="dxa"/>
                  <w:tcBorders>
                    <w:top w:val="nil"/>
                    <w:left w:val="nil"/>
                    <w:bottom w:val="nil"/>
                    <w:right w:val="nil"/>
                  </w:tcBorders>
                  <w:noWrap/>
                  <w:vAlign w:val="bottom"/>
                  <w:hideMark/>
                </w:tcPr>
                <w:p w14:paraId="4850C4C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5D9AFE0F"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0,3</w:t>
                  </w:r>
                </w:p>
              </w:tc>
              <w:tc>
                <w:tcPr>
                  <w:tcW w:w="684" w:type="dxa"/>
                  <w:tcBorders>
                    <w:top w:val="nil"/>
                    <w:left w:val="nil"/>
                    <w:bottom w:val="nil"/>
                    <w:right w:val="nil"/>
                  </w:tcBorders>
                  <w:noWrap/>
                  <w:vAlign w:val="bottom"/>
                  <w:hideMark/>
                </w:tcPr>
                <w:p w14:paraId="1E115C8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11,3</w:t>
                  </w:r>
                </w:p>
              </w:tc>
              <w:tc>
                <w:tcPr>
                  <w:tcW w:w="684" w:type="dxa"/>
                  <w:tcBorders>
                    <w:top w:val="nil"/>
                    <w:left w:val="nil"/>
                    <w:bottom w:val="nil"/>
                    <w:right w:val="nil"/>
                  </w:tcBorders>
                  <w:noWrap/>
                  <w:vAlign w:val="bottom"/>
                  <w:hideMark/>
                </w:tcPr>
                <w:p w14:paraId="1B17105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10,4</w:t>
                  </w:r>
                </w:p>
              </w:tc>
              <w:tc>
                <w:tcPr>
                  <w:tcW w:w="614" w:type="dxa"/>
                  <w:tcBorders>
                    <w:top w:val="nil"/>
                    <w:left w:val="nil"/>
                    <w:bottom w:val="nil"/>
                    <w:right w:val="nil"/>
                  </w:tcBorders>
                  <w:noWrap/>
                  <w:vAlign w:val="bottom"/>
                  <w:hideMark/>
                </w:tcPr>
                <w:p w14:paraId="5EDAB20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6,2</w:t>
                  </w:r>
                </w:p>
              </w:tc>
              <w:tc>
                <w:tcPr>
                  <w:tcW w:w="614" w:type="dxa"/>
                  <w:tcBorders>
                    <w:top w:val="nil"/>
                    <w:left w:val="nil"/>
                    <w:bottom w:val="nil"/>
                    <w:right w:val="nil"/>
                  </w:tcBorders>
                  <w:noWrap/>
                  <w:vAlign w:val="bottom"/>
                  <w:hideMark/>
                </w:tcPr>
                <w:p w14:paraId="06EC508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4,1</w:t>
                  </w:r>
                </w:p>
              </w:tc>
            </w:tr>
            <w:tr w:rsidR="006B1AFC" w:rsidRPr="00920A55" w14:paraId="125F9F3F" w14:textId="77777777" w:rsidTr="003C4A79">
              <w:trPr>
                <w:trHeight w:val="255"/>
              </w:trPr>
              <w:tc>
                <w:tcPr>
                  <w:tcW w:w="4466" w:type="dxa"/>
                  <w:tcBorders>
                    <w:top w:val="nil"/>
                    <w:left w:val="nil"/>
                    <w:bottom w:val="nil"/>
                    <w:right w:val="nil"/>
                  </w:tcBorders>
                  <w:vAlign w:val="bottom"/>
                  <w:hideMark/>
                </w:tcPr>
                <w:p w14:paraId="0CEFD8FA"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Peněžnictví a pojišťovnictví</w:t>
                  </w:r>
                </w:p>
              </w:tc>
              <w:tc>
                <w:tcPr>
                  <w:tcW w:w="649" w:type="dxa"/>
                  <w:tcBorders>
                    <w:top w:val="nil"/>
                    <w:left w:val="nil"/>
                    <w:bottom w:val="nil"/>
                    <w:right w:val="nil"/>
                  </w:tcBorders>
                  <w:noWrap/>
                  <w:vAlign w:val="bottom"/>
                  <w:hideMark/>
                </w:tcPr>
                <w:p w14:paraId="6863B0C1"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5380D65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1,7</w:t>
                  </w:r>
                </w:p>
              </w:tc>
              <w:tc>
                <w:tcPr>
                  <w:tcW w:w="649" w:type="dxa"/>
                  <w:tcBorders>
                    <w:top w:val="nil"/>
                    <w:left w:val="nil"/>
                    <w:bottom w:val="nil"/>
                    <w:right w:val="nil"/>
                  </w:tcBorders>
                  <w:noWrap/>
                  <w:vAlign w:val="bottom"/>
                  <w:hideMark/>
                </w:tcPr>
                <w:p w14:paraId="10AAEB7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1,9</w:t>
                  </w:r>
                </w:p>
              </w:tc>
              <w:tc>
                <w:tcPr>
                  <w:tcW w:w="649" w:type="dxa"/>
                  <w:tcBorders>
                    <w:top w:val="nil"/>
                    <w:left w:val="nil"/>
                    <w:bottom w:val="nil"/>
                    <w:right w:val="nil"/>
                  </w:tcBorders>
                  <w:noWrap/>
                  <w:vAlign w:val="bottom"/>
                  <w:hideMark/>
                </w:tcPr>
                <w:p w14:paraId="08173E3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2,7</w:t>
                  </w:r>
                </w:p>
              </w:tc>
              <w:tc>
                <w:tcPr>
                  <w:tcW w:w="684" w:type="dxa"/>
                  <w:tcBorders>
                    <w:top w:val="nil"/>
                    <w:left w:val="nil"/>
                    <w:bottom w:val="nil"/>
                    <w:right w:val="nil"/>
                  </w:tcBorders>
                  <w:noWrap/>
                  <w:vAlign w:val="bottom"/>
                  <w:hideMark/>
                </w:tcPr>
                <w:p w14:paraId="7EBAC0F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3,9</w:t>
                  </w:r>
                </w:p>
              </w:tc>
              <w:tc>
                <w:tcPr>
                  <w:tcW w:w="684" w:type="dxa"/>
                  <w:tcBorders>
                    <w:top w:val="nil"/>
                    <w:left w:val="nil"/>
                    <w:bottom w:val="nil"/>
                    <w:right w:val="nil"/>
                  </w:tcBorders>
                  <w:noWrap/>
                  <w:vAlign w:val="bottom"/>
                  <w:hideMark/>
                </w:tcPr>
                <w:p w14:paraId="5D89764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4,3</w:t>
                  </w:r>
                </w:p>
              </w:tc>
              <w:tc>
                <w:tcPr>
                  <w:tcW w:w="614" w:type="dxa"/>
                  <w:tcBorders>
                    <w:top w:val="nil"/>
                    <w:left w:val="nil"/>
                    <w:bottom w:val="nil"/>
                    <w:right w:val="nil"/>
                  </w:tcBorders>
                  <w:noWrap/>
                  <w:vAlign w:val="bottom"/>
                  <w:hideMark/>
                </w:tcPr>
                <w:p w14:paraId="7D8C7F8D"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nil"/>
                    <w:left w:val="nil"/>
                    <w:bottom w:val="nil"/>
                    <w:right w:val="nil"/>
                  </w:tcBorders>
                  <w:noWrap/>
                  <w:vAlign w:val="bottom"/>
                  <w:hideMark/>
                </w:tcPr>
                <w:p w14:paraId="12062FA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5,7</w:t>
                  </w:r>
                </w:p>
              </w:tc>
            </w:tr>
            <w:tr w:rsidR="006B1AFC" w:rsidRPr="00920A55" w14:paraId="4CB22028" w14:textId="77777777" w:rsidTr="003C4A79">
              <w:trPr>
                <w:trHeight w:val="255"/>
              </w:trPr>
              <w:tc>
                <w:tcPr>
                  <w:tcW w:w="4466" w:type="dxa"/>
                  <w:tcBorders>
                    <w:top w:val="nil"/>
                    <w:left w:val="nil"/>
                    <w:bottom w:val="nil"/>
                    <w:right w:val="nil"/>
                  </w:tcBorders>
                  <w:vAlign w:val="bottom"/>
                  <w:hideMark/>
                </w:tcPr>
                <w:p w14:paraId="796CEB7B"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Činnosti v oblasti nemovitostí</w:t>
                  </w:r>
                </w:p>
              </w:tc>
              <w:tc>
                <w:tcPr>
                  <w:tcW w:w="649" w:type="dxa"/>
                  <w:tcBorders>
                    <w:top w:val="nil"/>
                    <w:left w:val="nil"/>
                    <w:bottom w:val="nil"/>
                    <w:right w:val="nil"/>
                  </w:tcBorders>
                  <w:noWrap/>
                  <w:vAlign w:val="bottom"/>
                  <w:hideMark/>
                </w:tcPr>
                <w:p w14:paraId="6292C55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0,0</w:t>
                  </w:r>
                </w:p>
              </w:tc>
              <w:tc>
                <w:tcPr>
                  <w:tcW w:w="649" w:type="dxa"/>
                  <w:tcBorders>
                    <w:top w:val="nil"/>
                    <w:left w:val="nil"/>
                    <w:bottom w:val="nil"/>
                    <w:right w:val="nil"/>
                  </w:tcBorders>
                  <w:noWrap/>
                  <w:vAlign w:val="bottom"/>
                  <w:hideMark/>
                </w:tcPr>
                <w:p w14:paraId="33A99DF5"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0D1D837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49" w:type="dxa"/>
                  <w:tcBorders>
                    <w:top w:val="nil"/>
                    <w:left w:val="nil"/>
                    <w:bottom w:val="nil"/>
                    <w:right w:val="nil"/>
                  </w:tcBorders>
                  <w:noWrap/>
                  <w:vAlign w:val="bottom"/>
                  <w:hideMark/>
                </w:tcPr>
                <w:p w14:paraId="40484BC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0,6</w:t>
                  </w:r>
                </w:p>
              </w:tc>
              <w:tc>
                <w:tcPr>
                  <w:tcW w:w="684" w:type="dxa"/>
                  <w:tcBorders>
                    <w:top w:val="nil"/>
                    <w:left w:val="nil"/>
                    <w:bottom w:val="nil"/>
                    <w:right w:val="nil"/>
                  </w:tcBorders>
                  <w:noWrap/>
                  <w:vAlign w:val="bottom"/>
                  <w:hideMark/>
                </w:tcPr>
                <w:p w14:paraId="30912229"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1,1</w:t>
                  </w:r>
                </w:p>
              </w:tc>
              <w:tc>
                <w:tcPr>
                  <w:tcW w:w="684" w:type="dxa"/>
                  <w:tcBorders>
                    <w:top w:val="nil"/>
                    <w:left w:val="nil"/>
                    <w:bottom w:val="nil"/>
                    <w:right w:val="nil"/>
                  </w:tcBorders>
                  <w:noWrap/>
                  <w:vAlign w:val="bottom"/>
                  <w:hideMark/>
                </w:tcPr>
                <w:p w14:paraId="4AD85031"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2,3</w:t>
                  </w:r>
                </w:p>
              </w:tc>
              <w:tc>
                <w:tcPr>
                  <w:tcW w:w="614" w:type="dxa"/>
                  <w:tcBorders>
                    <w:top w:val="nil"/>
                    <w:left w:val="nil"/>
                    <w:bottom w:val="nil"/>
                    <w:right w:val="nil"/>
                  </w:tcBorders>
                  <w:noWrap/>
                  <w:vAlign w:val="bottom"/>
                  <w:hideMark/>
                </w:tcPr>
                <w:p w14:paraId="678944B6"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1,0</w:t>
                  </w:r>
                </w:p>
              </w:tc>
              <w:tc>
                <w:tcPr>
                  <w:tcW w:w="614" w:type="dxa"/>
                  <w:tcBorders>
                    <w:top w:val="nil"/>
                    <w:left w:val="nil"/>
                    <w:bottom w:val="nil"/>
                    <w:right w:val="nil"/>
                  </w:tcBorders>
                  <w:noWrap/>
                  <w:vAlign w:val="bottom"/>
                  <w:hideMark/>
                </w:tcPr>
                <w:p w14:paraId="181DDCF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r>
            <w:tr w:rsidR="006B1AFC" w:rsidRPr="00920A55" w14:paraId="49C2DCB9" w14:textId="77777777" w:rsidTr="003C4A79">
              <w:trPr>
                <w:trHeight w:val="255"/>
              </w:trPr>
              <w:tc>
                <w:tcPr>
                  <w:tcW w:w="4466" w:type="dxa"/>
                  <w:tcBorders>
                    <w:top w:val="nil"/>
                    <w:left w:val="nil"/>
                    <w:bottom w:val="nil"/>
                    <w:right w:val="nil"/>
                  </w:tcBorders>
                  <w:vAlign w:val="bottom"/>
                  <w:hideMark/>
                </w:tcPr>
                <w:p w14:paraId="68887C1D"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Profesní, vědecké, technické a administrativní činnosti</w:t>
                  </w:r>
                </w:p>
              </w:tc>
              <w:tc>
                <w:tcPr>
                  <w:tcW w:w="649" w:type="dxa"/>
                  <w:tcBorders>
                    <w:top w:val="nil"/>
                    <w:left w:val="nil"/>
                    <w:bottom w:val="nil"/>
                    <w:right w:val="nil"/>
                  </w:tcBorders>
                  <w:noWrap/>
                  <w:vAlign w:val="bottom"/>
                  <w:hideMark/>
                </w:tcPr>
                <w:p w14:paraId="570E5FB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49" w:type="dxa"/>
                  <w:tcBorders>
                    <w:top w:val="nil"/>
                    <w:left w:val="nil"/>
                    <w:bottom w:val="nil"/>
                    <w:right w:val="nil"/>
                  </w:tcBorders>
                  <w:noWrap/>
                  <w:vAlign w:val="bottom"/>
                  <w:hideMark/>
                </w:tcPr>
                <w:p w14:paraId="5D7AE0F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w:t>
                  </w:r>
                </w:p>
              </w:tc>
              <w:tc>
                <w:tcPr>
                  <w:tcW w:w="649" w:type="dxa"/>
                  <w:tcBorders>
                    <w:top w:val="nil"/>
                    <w:left w:val="nil"/>
                    <w:bottom w:val="nil"/>
                    <w:right w:val="nil"/>
                  </w:tcBorders>
                  <w:noWrap/>
                  <w:vAlign w:val="bottom"/>
                  <w:hideMark/>
                </w:tcPr>
                <w:p w14:paraId="4E16779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49" w:type="dxa"/>
                  <w:tcBorders>
                    <w:top w:val="nil"/>
                    <w:left w:val="nil"/>
                    <w:bottom w:val="nil"/>
                    <w:right w:val="nil"/>
                  </w:tcBorders>
                  <w:noWrap/>
                  <w:vAlign w:val="bottom"/>
                  <w:hideMark/>
                </w:tcPr>
                <w:p w14:paraId="4EF6DDB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84" w:type="dxa"/>
                  <w:tcBorders>
                    <w:top w:val="nil"/>
                    <w:left w:val="nil"/>
                    <w:bottom w:val="nil"/>
                    <w:right w:val="nil"/>
                  </w:tcBorders>
                  <w:noWrap/>
                  <w:vAlign w:val="bottom"/>
                  <w:hideMark/>
                </w:tcPr>
                <w:p w14:paraId="6FA43A4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0,6</w:t>
                  </w:r>
                </w:p>
              </w:tc>
              <w:tc>
                <w:tcPr>
                  <w:tcW w:w="684" w:type="dxa"/>
                  <w:tcBorders>
                    <w:top w:val="nil"/>
                    <w:left w:val="nil"/>
                    <w:bottom w:val="nil"/>
                    <w:right w:val="nil"/>
                  </w:tcBorders>
                  <w:noWrap/>
                  <w:vAlign w:val="bottom"/>
                  <w:hideMark/>
                </w:tcPr>
                <w:p w14:paraId="0A5C814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14" w:type="dxa"/>
                  <w:tcBorders>
                    <w:top w:val="nil"/>
                    <w:left w:val="nil"/>
                    <w:bottom w:val="nil"/>
                    <w:right w:val="nil"/>
                  </w:tcBorders>
                  <w:noWrap/>
                  <w:vAlign w:val="bottom"/>
                  <w:hideMark/>
                </w:tcPr>
                <w:p w14:paraId="19D7246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2,1</w:t>
                  </w:r>
                </w:p>
              </w:tc>
              <w:tc>
                <w:tcPr>
                  <w:tcW w:w="614" w:type="dxa"/>
                  <w:tcBorders>
                    <w:top w:val="nil"/>
                    <w:left w:val="nil"/>
                    <w:bottom w:val="nil"/>
                    <w:right w:val="nil"/>
                  </w:tcBorders>
                  <w:noWrap/>
                  <w:vAlign w:val="bottom"/>
                  <w:hideMark/>
                </w:tcPr>
                <w:p w14:paraId="6D9D61E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2,0</w:t>
                  </w:r>
                </w:p>
              </w:tc>
            </w:tr>
            <w:tr w:rsidR="006B1AFC" w:rsidRPr="00920A55" w14:paraId="6DDFFD6C" w14:textId="77777777" w:rsidTr="003C4A79">
              <w:trPr>
                <w:trHeight w:val="255"/>
              </w:trPr>
              <w:tc>
                <w:tcPr>
                  <w:tcW w:w="4466" w:type="dxa"/>
                  <w:tcBorders>
                    <w:top w:val="nil"/>
                    <w:left w:val="nil"/>
                    <w:bottom w:val="nil"/>
                    <w:right w:val="nil"/>
                  </w:tcBorders>
                  <w:vAlign w:val="bottom"/>
                  <w:hideMark/>
                </w:tcPr>
                <w:p w14:paraId="539A8963"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Veřejná správa a obrana, vzdělávání, zdrav</w:t>
                  </w:r>
                  <w:r>
                    <w:rPr>
                      <w:rFonts w:cs="Arial"/>
                      <w:color w:val="000000"/>
                      <w:sz w:val="16"/>
                      <w:szCs w:val="16"/>
                      <w:lang w:eastAsia="ko-KR"/>
                    </w:rPr>
                    <w:t>.</w:t>
                  </w:r>
                  <w:r w:rsidRPr="00920A55">
                    <w:rPr>
                      <w:rFonts w:cs="Arial"/>
                      <w:color w:val="000000"/>
                      <w:sz w:val="16"/>
                      <w:szCs w:val="16"/>
                      <w:lang w:eastAsia="ko-KR"/>
                    </w:rPr>
                    <w:t xml:space="preserve"> a soc</w:t>
                  </w:r>
                  <w:r>
                    <w:rPr>
                      <w:rFonts w:cs="Arial"/>
                      <w:color w:val="000000"/>
                      <w:sz w:val="16"/>
                      <w:szCs w:val="16"/>
                      <w:lang w:eastAsia="ko-KR"/>
                    </w:rPr>
                    <w:t xml:space="preserve">. </w:t>
                  </w:r>
                  <w:r w:rsidRPr="00920A55">
                    <w:rPr>
                      <w:rFonts w:cs="Arial"/>
                      <w:color w:val="000000"/>
                      <w:sz w:val="16"/>
                      <w:szCs w:val="16"/>
                      <w:lang w:eastAsia="ko-KR"/>
                    </w:rPr>
                    <w:t>péče</w:t>
                  </w:r>
                </w:p>
              </w:tc>
              <w:tc>
                <w:tcPr>
                  <w:tcW w:w="649" w:type="dxa"/>
                  <w:tcBorders>
                    <w:top w:val="nil"/>
                    <w:left w:val="nil"/>
                    <w:bottom w:val="nil"/>
                    <w:right w:val="nil"/>
                  </w:tcBorders>
                  <w:noWrap/>
                  <w:vAlign w:val="bottom"/>
                  <w:hideMark/>
                </w:tcPr>
                <w:p w14:paraId="6A956F2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49" w:type="dxa"/>
                  <w:tcBorders>
                    <w:top w:val="nil"/>
                    <w:left w:val="nil"/>
                    <w:bottom w:val="nil"/>
                    <w:right w:val="nil"/>
                  </w:tcBorders>
                  <w:noWrap/>
                  <w:vAlign w:val="bottom"/>
                  <w:hideMark/>
                </w:tcPr>
                <w:p w14:paraId="01D73E3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49" w:type="dxa"/>
                  <w:tcBorders>
                    <w:top w:val="nil"/>
                    <w:left w:val="nil"/>
                    <w:bottom w:val="nil"/>
                    <w:right w:val="nil"/>
                  </w:tcBorders>
                  <w:noWrap/>
                  <w:vAlign w:val="bottom"/>
                  <w:hideMark/>
                </w:tcPr>
                <w:p w14:paraId="397A52D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0,0</w:t>
                  </w:r>
                </w:p>
              </w:tc>
              <w:tc>
                <w:tcPr>
                  <w:tcW w:w="649" w:type="dxa"/>
                  <w:tcBorders>
                    <w:top w:val="nil"/>
                    <w:left w:val="nil"/>
                    <w:bottom w:val="nil"/>
                    <w:right w:val="nil"/>
                  </w:tcBorders>
                  <w:noWrap/>
                  <w:vAlign w:val="bottom"/>
                  <w:hideMark/>
                </w:tcPr>
                <w:p w14:paraId="24C7F46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0,0</w:t>
                  </w:r>
                </w:p>
              </w:tc>
              <w:tc>
                <w:tcPr>
                  <w:tcW w:w="684" w:type="dxa"/>
                  <w:tcBorders>
                    <w:top w:val="nil"/>
                    <w:left w:val="nil"/>
                    <w:bottom w:val="nil"/>
                    <w:right w:val="nil"/>
                  </w:tcBorders>
                  <w:noWrap/>
                  <w:vAlign w:val="bottom"/>
                  <w:hideMark/>
                </w:tcPr>
                <w:p w14:paraId="25F88B3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0,8</w:t>
                  </w:r>
                </w:p>
              </w:tc>
              <w:tc>
                <w:tcPr>
                  <w:tcW w:w="684" w:type="dxa"/>
                  <w:tcBorders>
                    <w:top w:val="nil"/>
                    <w:left w:val="nil"/>
                    <w:bottom w:val="nil"/>
                    <w:right w:val="nil"/>
                  </w:tcBorders>
                  <w:noWrap/>
                  <w:vAlign w:val="bottom"/>
                  <w:hideMark/>
                </w:tcPr>
                <w:p w14:paraId="4B013E0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0,6</w:t>
                  </w:r>
                </w:p>
              </w:tc>
              <w:tc>
                <w:tcPr>
                  <w:tcW w:w="614" w:type="dxa"/>
                  <w:tcBorders>
                    <w:top w:val="nil"/>
                    <w:left w:val="nil"/>
                    <w:bottom w:val="nil"/>
                    <w:right w:val="nil"/>
                  </w:tcBorders>
                  <w:noWrap/>
                  <w:vAlign w:val="bottom"/>
                  <w:hideMark/>
                </w:tcPr>
                <w:p w14:paraId="09B5813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14" w:type="dxa"/>
                  <w:tcBorders>
                    <w:top w:val="nil"/>
                    <w:left w:val="nil"/>
                    <w:bottom w:val="nil"/>
                    <w:right w:val="nil"/>
                  </w:tcBorders>
                  <w:noWrap/>
                  <w:vAlign w:val="bottom"/>
                  <w:hideMark/>
                </w:tcPr>
                <w:p w14:paraId="132AD95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r>
            <w:tr w:rsidR="006B1AFC" w:rsidRPr="00920A55" w14:paraId="3AA923DC" w14:textId="77777777" w:rsidTr="003C4A79">
              <w:trPr>
                <w:trHeight w:val="255"/>
              </w:trPr>
              <w:tc>
                <w:tcPr>
                  <w:tcW w:w="4466" w:type="dxa"/>
                  <w:tcBorders>
                    <w:top w:val="nil"/>
                    <w:left w:val="nil"/>
                    <w:bottom w:val="nil"/>
                    <w:right w:val="nil"/>
                  </w:tcBorders>
                  <w:vAlign w:val="bottom"/>
                  <w:hideMark/>
                </w:tcPr>
                <w:p w14:paraId="450A01E2" w14:textId="77777777" w:rsidR="006B1AFC" w:rsidRPr="00920A55" w:rsidRDefault="006B1AFC" w:rsidP="003C4A79">
                  <w:pPr>
                    <w:spacing w:after="0" w:line="240" w:lineRule="auto"/>
                    <w:ind w:left="82"/>
                    <w:jc w:val="left"/>
                    <w:rPr>
                      <w:rFonts w:cs="Arial"/>
                      <w:color w:val="000000"/>
                      <w:sz w:val="16"/>
                      <w:szCs w:val="16"/>
                      <w:lang w:eastAsia="ko-KR"/>
                    </w:rPr>
                  </w:pPr>
                  <w:r w:rsidRPr="00920A55">
                    <w:rPr>
                      <w:rFonts w:cs="Arial"/>
                      <w:color w:val="000000"/>
                      <w:sz w:val="16"/>
                      <w:szCs w:val="16"/>
                      <w:lang w:eastAsia="ko-KR"/>
                    </w:rPr>
                    <w:t>Ostatní činnosti</w:t>
                  </w:r>
                </w:p>
              </w:tc>
              <w:tc>
                <w:tcPr>
                  <w:tcW w:w="649" w:type="dxa"/>
                  <w:tcBorders>
                    <w:top w:val="nil"/>
                    <w:left w:val="nil"/>
                    <w:bottom w:val="nil"/>
                    <w:right w:val="nil"/>
                  </w:tcBorders>
                  <w:noWrap/>
                  <w:vAlign w:val="bottom"/>
                  <w:hideMark/>
                </w:tcPr>
                <w:p w14:paraId="2BF7197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2,2</w:t>
                  </w:r>
                </w:p>
              </w:tc>
              <w:tc>
                <w:tcPr>
                  <w:tcW w:w="649" w:type="dxa"/>
                  <w:tcBorders>
                    <w:top w:val="nil"/>
                    <w:left w:val="nil"/>
                    <w:bottom w:val="nil"/>
                    <w:right w:val="nil"/>
                  </w:tcBorders>
                  <w:noWrap/>
                  <w:vAlign w:val="bottom"/>
                  <w:hideMark/>
                </w:tcPr>
                <w:p w14:paraId="4197AB7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1,3</w:t>
                  </w:r>
                </w:p>
              </w:tc>
              <w:tc>
                <w:tcPr>
                  <w:tcW w:w="649" w:type="dxa"/>
                  <w:tcBorders>
                    <w:top w:val="nil"/>
                    <w:left w:val="nil"/>
                    <w:bottom w:val="nil"/>
                    <w:right w:val="nil"/>
                  </w:tcBorders>
                  <w:noWrap/>
                  <w:vAlign w:val="bottom"/>
                  <w:hideMark/>
                </w:tcPr>
                <w:p w14:paraId="7299BC89"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0,1</w:t>
                  </w:r>
                </w:p>
              </w:tc>
              <w:tc>
                <w:tcPr>
                  <w:tcW w:w="649" w:type="dxa"/>
                  <w:tcBorders>
                    <w:top w:val="nil"/>
                    <w:left w:val="nil"/>
                    <w:bottom w:val="nil"/>
                    <w:right w:val="nil"/>
                  </w:tcBorders>
                  <w:noWrap/>
                  <w:vAlign w:val="bottom"/>
                  <w:hideMark/>
                </w:tcPr>
                <w:p w14:paraId="0EE2B87A"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0,9</w:t>
                  </w:r>
                </w:p>
              </w:tc>
              <w:tc>
                <w:tcPr>
                  <w:tcW w:w="684" w:type="dxa"/>
                  <w:tcBorders>
                    <w:top w:val="nil"/>
                    <w:left w:val="nil"/>
                    <w:bottom w:val="nil"/>
                    <w:right w:val="nil"/>
                  </w:tcBorders>
                  <w:noWrap/>
                  <w:vAlign w:val="bottom"/>
                  <w:hideMark/>
                </w:tcPr>
                <w:p w14:paraId="2ACBD89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8,2</w:t>
                  </w:r>
                </w:p>
              </w:tc>
              <w:tc>
                <w:tcPr>
                  <w:tcW w:w="684" w:type="dxa"/>
                  <w:tcBorders>
                    <w:top w:val="nil"/>
                    <w:left w:val="nil"/>
                    <w:bottom w:val="nil"/>
                    <w:right w:val="nil"/>
                  </w:tcBorders>
                  <w:noWrap/>
                  <w:vAlign w:val="bottom"/>
                  <w:hideMark/>
                </w:tcPr>
                <w:p w14:paraId="6941028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8,0</w:t>
                  </w:r>
                </w:p>
              </w:tc>
              <w:tc>
                <w:tcPr>
                  <w:tcW w:w="614" w:type="dxa"/>
                  <w:tcBorders>
                    <w:top w:val="nil"/>
                    <w:left w:val="nil"/>
                    <w:bottom w:val="nil"/>
                    <w:right w:val="nil"/>
                  </w:tcBorders>
                  <w:noWrap/>
                  <w:vAlign w:val="bottom"/>
                  <w:hideMark/>
                </w:tcPr>
                <w:p w14:paraId="7E09ED0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5,2</w:t>
                  </w:r>
                </w:p>
              </w:tc>
              <w:tc>
                <w:tcPr>
                  <w:tcW w:w="614" w:type="dxa"/>
                  <w:tcBorders>
                    <w:top w:val="nil"/>
                    <w:left w:val="nil"/>
                    <w:bottom w:val="nil"/>
                    <w:right w:val="nil"/>
                  </w:tcBorders>
                  <w:noWrap/>
                  <w:vAlign w:val="bottom"/>
                  <w:hideMark/>
                </w:tcPr>
                <w:p w14:paraId="5DD7CB8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2,6</w:t>
                  </w:r>
                </w:p>
              </w:tc>
            </w:tr>
          </w:tbl>
          <w:p w14:paraId="05D192E1" w14:textId="77777777" w:rsidR="006B1AFC" w:rsidRDefault="006B1AFC" w:rsidP="003C4A79"/>
        </w:tc>
      </w:tr>
      <w:tr w:rsidR="006B1AFC" w:rsidRPr="009110F7" w14:paraId="40148AC8" w14:textId="77777777" w:rsidTr="003C4A79">
        <w:trPr>
          <w:trHeight w:val="154"/>
        </w:trPr>
        <w:tc>
          <w:tcPr>
            <w:tcW w:w="9639" w:type="dxa"/>
            <w:gridSpan w:val="3"/>
            <w:tcMar>
              <w:left w:w="0" w:type="dxa"/>
            </w:tcMar>
          </w:tcPr>
          <w:p w14:paraId="18EFBC39" w14:textId="77777777" w:rsidR="006B1AFC" w:rsidRPr="00947786" w:rsidRDefault="006B1AFC" w:rsidP="003C4A79">
            <w:pPr>
              <w:spacing w:before="120"/>
              <w:rPr>
                <w:sz w:val="16"/>
                <w:szCs w:val="16"/>
              </w:rPr>
            </w:pPr>
            <w:r w:rsidRPr="00947786">
              <w:rPr>
                <w:sz w:val="16"/>
                <w:szCs w:val="16"/>
              </w:rPr>
              <w:t>Zdroj: ČSÚ</w:t>
            </w:r>
          </w:p>
        </w:tc>
      </w:tr>
      <w:tr w:rsidR="006B1AFC" w:rsidRPr="009110F7" w14:paraId="2F1BA2E5" w14:textId="77777777" w:rsidTr="003C4A79">
        <w:trPr>
          <w:trHeight w:val="145"/>
        </w:trPr>
        <w:tc>
          <w:tcPr>
            <w:tcW w:w="1806" w:type="dxa"/>
            <w:tcMar>
              <w:left w:w="0" w:type="dxa"/>
            </w:tcMar>
          </w:tcPr>
          <w:p w14:paraId="6F1CFDB5" w14:textId="77777777" w:rsidR="006B1AFC" w:rsidRDefault="006B1AFC" w:rsidP="003C4A79">
            <w:pPr>
              <w:pStyle w:val="Marginlie"/>
            </w:pPr>
            <w:r>
              <w:lastRenderedPageBreak/>
              <w:t>Růst celkové cenové hladiny ve 2. čtvrtletí posílil.</w:t>
            </w:r>
          </w:p>
        </w:tc>
        <w:tc>
          <w:tcPr>
            <w:tcW w:w="210" w:type="dxa"/>
            <w:tcMar>
              <w:left w:w="0" w:type="dxa"/>
            </w:tcMar>
          </w:tcPr>
          <w:p w14:paraId="463E0DE7" w14:textId="77777777" w:rsidR="006B1AFC" w:rsidRDefault="006B1AFC" w:rsidP="003C4A79">
            <w:pPr>
              <w:pStyle w:val="Textpoznpodarou"/>
              <w:jc w:val="both"/>
              <w:rPr>
                <w:spacing w:val="-4"/>
              </w:rPr>
            </w:pPr>
          </w:p>
        </w:tc>
        <w:tc>
          <w:tcPr>
            <w:tcW w:w="7623" w:type="dxa"/>
            <w:tcMar>
              <w:left w:w="0" w:type="dxa"/>
            </w:tcMar>
          </w:tcPr>
          <w:p w14:paraId="55A82837" w14:textId="77777777" w:rsidR="006B1AFC" w:rsidRDefault="006B1AFC" w:rsidP="003C4A79">
            <w:r>
              <w:t>Celková cenová hladina měřená deflátorem HDP se ve 2. čtvrtletí zvýšila mezičtvrtletně o 1,0 %. Výrazné navýšení cenové hladiny spotřeby (1,7 %) ovlivnil zejména sektor vládních institucí (4,0 %), zatímco u přírůstku cenové hladiny spotřeby domácností bylo zrychlení jen mírné (0,8 %). Ceny kapitálových výdajů byly mezičtvrtletně vyšší o 3,4 %, z toho cenová hladina u investic vzrostla o 1,4 %. Ve 2. kvartálu mezičtvrtletní růst cen vývozu zboží a služeb (2,2 %) značně zaostával za růstem cen dovozu (4,2 %) a směnné relace tak byly záporné (98,1 %). Meziroční přírůstek cenové hladiny zvolnil na 2,6 %. Vyšší byl růst cen spotřeby (3,4 %, z toho ceny spotřeby domácností stabilně rostly o 2,4 %) i kapitálových výdajů (4,5 %, z toho investice zvolnily růst cen na 3,1 %). Meziroční směnné relace zahraničního obchodu se zbožím a službami dosáhly 98,6 %.</w:t>
            </w:r>
          </w:p>
        </w:tc>
      </w:tr>
      <w:tr w:rsidR="006B1AFC" w:rsidRPr="009110F7" w14:paraId="5631C545" w14:textId="77777777" w:rsidTr="003C4A79">
        <w:trPr>
          <w:trHeight w:val="145"/>
        </w:trPr>
        <w:tc>
          <w:tcPr>
            <w:tcW w:w="1806" w:type="dxa"/>
            <w:tcMar>
              <w:left w:w="0" w:type="dxa"/>
            </w:tcMar>
          </w:tcPr>
          <w:p w14:paraId="5244E7A8" w14:textId="77777777" w:rsidR="006B1AFC" w:rsidRDefault="006B1AFC" w:rsidP="003C4A79">
            <w:pPr>
              <w:pStyle w:val="Marginlie"/>
            </w:pPr>
            <w:r>
              <w:t>Nominální růst mezd zrychlil v porovnání se začátkem roku.</w:t>
            </w:r>
          </w:p>
        </w:tc>
        <w:tc>
          <w:tcPr>
            <w:tcW w:w="210" w:type="dxa"/>
            <w:tcMar>
              <w:left w:w="0" w:type="dxa"/>
            </w:tcMar>
          </w:tcPr>
          <w:p w14:paraId="38780846" w14:textId="77777777" w:rsidR="006B1AFC" w:rsidRDefault="006B1AFC" w:rsidP="003C4A79">
            <w:pPr>
              <w:pStyle w:val="Textpoznpodarou"/>
              <w:jc w:val="both"/>
              <w:rPr>
                <w:spacing w:val="-4"/>
              </w:rPr>
            </w:pPr>
          </w:p>
        </w:tc>
        <w:tc>
          <w:tcPr>
            <w:tcW w:w="7623" w:type="dxa"/>
            <w:tcMar>
              <w:left w:w="0" w:type="dxa"/>
            </w:tcMar>
          </w:tcPr>
          <w:p w14:paraId="6FE24303" w14:textId="77777777" w:rsidR="006B1AFC" w:rsidRDefault="006B1AFC" w:rsidP="003C4A79">
            <w:r>
              <w:t>Mezičtvrtletní přírůstek objemu vyplacených mezd a platů v 1. kvartálu zpomalil na nejnižší hodnotu za pět let, ale ve 2. čtvrtletí došlo k jeho výraznému zrychlení na 2,7 %. Zčásti byl tento vývoj podpořen značným oživením mezičtvrtletního růstu celkové zaměstnanosti</w:t>
            </w:r>
            <w:r w:rsidRPr="00014ED0">
              <w:rPr>
                <w:rStyle w:val="Znakapoznpodarou"/>
                <w:spacing w:val="-2"/>
              </w:rPr>
              <w:footnoteReference w:id="6"/>
            </w:r>
            <w:r>
              <w:t xml:space="preserve"> (0,9 %, což bylo největším navýšením od 3. kvartálu 2021). Silnou nominální dynamiku mezd a platů vykompenzoval také výraznější růst cenové hladiny ve 2. čtvrtletí, takže reálné navýšení</w:t>
            </w:r>
            <w:r>
              <w:rPr>
                <w:rStyle w:val="Znakapoznpodarou"/>
                <w:spacing w:val="-2"/>
              </w:rPr>
              <w:footnoteReference w:id="7"/>
            </w:r>
            <w:r>
              <w:t xml:space="preserve"> výdělků vystoupalo na dlouhodobě nadprůměrná 2,0 %. Meziroční nominální růst objemu vyplacených mezd a platů také zrychlil a dosáhl 7,4 % při růstu zaměstnanosti o 1,5 %. Reálný meziroční přírůstek činil 4,9 %.</w:t>
            </w:r>
          </w:p>
        </w:tc>
      </w:tr>
      <w:tr w:rsidR="006B1AFC" w:rsidRPr="009110F7" w14:paraId="4DCD0A16" w14:textId="77777777" w:rsidTr="003C4A79">
        <w:trPr>
          <w:trHeight w:val="170"/>
        </w:trPr>
        <w:tc>
          <w:tcPr>
            <w:tcW w:w="9639" w:type="dxa"/>
            <w:gridSpan w:val="3"/>
            <w:tcMar>
              <w:left w:w="0" w:type="dxa"/>
            </w:tcMar>
          </w:tcPr>
          <w:p w14:paraId="4E69D995" w14:textId="77777777" w:rsidR="006B1AFC" w:rsidRPr="00E6552A" w:rsidRDefault="006B1AFC" w:rsidP="003C4A79">
            <w:pPr>
              <w:spacing w:after="0"/>
              <w:rPr>
                <w:b/>
                <w:bCs/>
              </w:rPr>
            </w:pPr>
            <w:r>
              <w:rPr>
                <w:b/>
                <w:bCs/>
              </w:rPr>
              <w:t xml:space="preserve">Tabulka č. 2 Dynamika </w:t>
            </w:r>
            <w:r w:rsidRPr="00E6552A">
              <w:rPr>
                <w:b/>
                <w:bCs/>
              </w:rPr>
              <w:t>trh</w:t>
            </w:r>
            <w:r>
              <w:rPr>
                <w:b/>
                <w:bCs/>
              </w:rPr>
              <w:t>u</w:t>
            </w:r>
            <w:r w:rsidRPr="00E6552A">
              <w:rPr>
                <w:b/>
                <w:bCs/>
              </w:rPr>
              <w:t xml:space="preserve"> práce ve 2. čtvrtletí 2026</w:t>
            </w:r>
            <w:r>
              <w:rPr>
                <w:b/>
                <w:bCs/>
              </w:rPr>
              <w:t xml:space="preserve"> </w:t>
            </w:r>
            <w:r w:rsidRPr="00E6552A">
              <w:t>(v %)</w:t>
            </w:r>
          </w:p>
        </w:tc>
      </w:tr>
      <w:tr w:rsidR="006B1AFC" w:rsidRPr="009110F7" w14:paraId="301B676C" w14:textId="77777777" w:rsidTr="003C4A79">
        <w:trPr>
          <w:trHeight w:val="170"/>
        </w:trPr>
        <w:tc>
          <w:tcPr>
            <w:tcW w:w="9639" w:type="dxa"/>
            <w:gridSpan w:val="3"/>
            <w:tcMar>
              <w:left w:w="0" w:type="dxa"/>
            </w:tcMar>
          </w:tcPr>
          <w:tbl>
            <w:tblPr>
              <w:tblW w:w="9653" w:type="dxa"/>
              <w:tblLayout w:type="fixed"/>
              <w:tblCellMar>
                <w:left w:w="70" w:type="dxa"/>
                <w:right w:w="70" w:type="dxa"/>
              </w:tblCellMar>
              <w:tblLook w:val="04A0" w:firstRow="1" w:lastRow="0" w:firstColumn="1" w:lastColumn="0" w:noHBand="0" w:noVBand="1"/>
            </w:tblPr>
            <w:tblGrid>
              <w:gridCol w:w="4840"/>
              <w:gridCol w:w="1203"/>
              <w:gridCol w:w="1203"/>
              <w:gridCol w:w="1203"/>
              <w:gridCol w:w="1204"/>
            </w:tblGrid>
            <w:tr w:rsidR="006B1AFC" w:rsidRPr="008352DC" w14:paraId="31956F39" w14:textId="77777777" w:rsidTr="003C4A79">
              <w:trPr>
                <w:trHeight w:val="255"/>
              </w:trPr>
              <w:tc>
                <w:tcPr>
                  <w:tcW w:w="4840" w:type="dxa"/>
                  <w:tcBorders>
                    <w:top w:val="nil"/>
                    <w:left w:val="nil"/>
                    <w:bottom w:val="nil"/>
                    <w:right w:val="nil"/>
                  </w:tcBorders>
                  <w:noWrap/>
                  <w:vAlign w:val="bottom"/>
                  <w:hideMark/>
                </w:tcPr>
                <w:p w14:paraId="4E08C97B" w14:textId="77777777" w:rsidR="006B1AFC" w:rsidRPr="008352DC" w:rsidRDefault="006B1AFC" w:rsidP="003C4A79">
                  <w:pPr>
                    <w:spacing w:after="0" w:line="240" w:lineRule="auto"/>
                    <w:jc w:val="left"/>
                    <w:rPr>
                      <w:rFonts w:ascii="Times New Roman" w:hAnsi="Times New Roman"/>
                      <w:sz w:val="24"/>
                      <w:szCs w:val="20"/>
                      <w:lang w:eastAsia="ko-KR"/>
                    </w:rPr>
                  </w:pPr>
                </w:p>
              </w:tc>
              <w:tc>
                <w:tcPr>
                  <w:tcW w:w="2406" w:type="dxa"/>
                  <w:gridSpan w:val="2"/>
                  <w:tcBorders>
                    <w:top w:val="nil"/>
                    <w:left w:val="nil"/>
                    <w:bottom w:val="nil"/>
                    <w:right w:val="nil"/>
                  </w:tcBorders>
                  <w:noWrap/>
                  <w:vAlign w:val="bottom"/>
                  <w:hideMark/>
                </w:tcPr>
                <w:p w14:paraId="42264535"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Mzdy a platy</w:t>
                  </w:r>
                </w:p>
              </w:tc>
              <w:tc>
                <w:tcPr>
                  <w:tcW w:w="2407" w:type="dxa"/>
                  <w:gridSpan w:val="2"/>
                  <w:tcBorders>
                    <w:top w:val="nil"/>
                    <w:left w:val="nil"/>
                    <w:bottom w:val="nil"/>
                    <w:right w:val="nil"/>
                  </w:tcBorders>
                  <w:noWrap/>
                  <w:vAlign w:val="bottom"/>
                  <w:hideMark/>
                </w:tcPr>
                <w:p w14:paraId="5139CDB5"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Celková zaměstnanost</w:t>
                  </w:r>
                </w:p>
              </w:tc>
            </w:tr>
            <w:tr w:rsidR="006B1AFC" w:rsidRPr="008352DC" w14:paraId="76D8F236" w14:textId="77777777" w:rsidTr="003C4A79">
              <w:trPr>
                <w:trHeight w:val="255"/>
              </w:trPr>
              <w:tc>
                <w:tcPr>
                  <w:tcW w:w="4840" w:type="dxa"/>
                  <w:tcBorders>
                    <w:top w:val="nil"/>
                    <w:left w:val="nil"/>
                    <w:bottom w:val="nil"/>
                    <w:right w:val="nil"/>
                  </w:tcBorders>
                  <w:noWrap/>
                  <w:vAlign w:val="bottom"/>
                  <w:hideMark/>
                </w:tcPr>
                <w:p w14:paraId="4CD8A8B6" w14:textId="77777777" w:rsidR="006B1AFC" w:rsidRPr="008352DC" w:rsidRDefault="006B1AFC" w:rsidP="003C4A79">
                  <w:pPr>
                    <w:spacing w:after="0" w:line="240" w:lineRule="auto"/>
                    <w:jc w:val="center"/>
                    <w:rPr>
                      <w:rFonts w:cs="Arial"/>
                      <w:color w:val="000000"/>
                      <w:sz w:val="16"/>
                      <w:szCs w:val="16"/>
                      <w:lang w:eastAsia="ko-KR"/>
                    </w:rPr>
                  </w:pPr>
                </w:p>
              </w:tc>
              <w:tc>
                <w:tcPr>
                  <w:tcW w:w="1203" w:type="dxa"/>
                  <w:tcBorders>
                    <w:top w:val="nil"/>
                    <w:left w:val="nil"/>
                    <w:bottom w:val="single" w:sz="4" w:space="0" w:color="auto"/>
                    <w:right w:val="nil"/>
                  </w:tcBorders>
                  <w:noWrap/>
                  <w:vAlign w:val="bottom"/>
                  <w:hideMark/>
                </w:tcPr>
                <w:p w14:paraId="2ECD2124"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mezičtvrtletně</w:t>
                  </w:r>
                </w:p>
              </w:tc>
              <w:tc>
                <w:tcPr>
                  <w:tcW w:w="1203" w:type="dxa"/>
                  <w:tcBorders>
                    <w:top w:val="nil"/>
                    <w:left w:val="nil"/>
                    <w:bottom w:val="single" w:sz="4" w:space="0" w:color="auto"/>
                    <w:right w:val="nil"/>
                  </w:tcBorders>
                  <w:noWrap/>
                  <w:vAlign w:val="bottom"/>
                  <w:hideMark/>
                </w:tcPr>
                <w:p w14:paraId="0E7D1F73"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meziročně</w:t>
                  </w:r>
                </w:p>
              </w:tc>
              <w:tc>
                <w:tcPr>
                  <w:tcW w:w="1203" w:type="dxa"/>
                  <w:tcBorders>
                    <w:top w:val="nil"/>
                    <w:left w:val="nil"/>
                    <w:bottom w:val="single" w:sz="4" w:space="0" w:color="auto"/>
                    <w:right w:val="nil"/>
                  </w:tcBorders>
                  <w:noWrap/>
                  <w:vAlign w:val="bottom"/>
                  <w:hideMark/>
                </w:tcPr>
                <w:p w14:paraId="712C292F"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mezičtvrtletně</w:t>
                  </w:r>
                </w:p>
              </w:tc>
              <w:tc>
                <w:tcPr>
                  <w:tcW w:w="1204" w:type="dxa"/>
                  <w:tcBorders>
                    <w:top w:val="nil"/>
                    <w:left w:val="nil"/>
                    <w:bottom w:val="single" w:sz="4" w:space="0" w:color="auto"/>
                    <w:right w:val="nil"/>
                  </w:tcBorders>
                  <w:noWrap/>
                  <w:vAlign w:val="bottom"/>
                  <w:hideMark/>
                </w:tcPr>
                <w:p w14:paraId="4634E8EF"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meziročně</w:t>
                  </w:r>
                </w:p>
              </w:tc>
            </w:tr>
            <w:tr w:rsidR="006B1AFC" w:rsidRPr="008352DC" w14:paraId="374EAA20" w14:textId="77777777" w:rsidTr="003C4A79">
              <w:trPr>
                <w:trHeight w:val="255"/>
              </w:trPr>
              <w:tc>
                <w:tcPr>
                  <w:tcW w:w="4840" w:type="dxa"/>
                  <w:tcBorders>
                    <w:top w:val="single" w:sz="4" w:space="0" w:color="auto"/>
                    <w:left w:val="nil"/>
                    <w:bottom w:val="nil"/>
                    <w:right w:val="nil"/>
                  </w:tcBorders>
                  <w:vAlign w:val="bottom"/>
                  <w:hideMark/>
                </w:tcPr>
                <w:p w14:paraId="7BD0F634" w14:textId="77777777" w:rsidR="006B1AFC" w:rsidRPr="008352DC" w:rsidRDefault="006B1AFC" w:rsidP="003C4A79">
                  <w:pPr>
                    <w:spacing w:after="0" w:line="240" w:lineRule="auto"/>
                    <w:jc w:val="left"/>
                    <w:rPr>
                      <w:rFonts w:cs="Arial"/>
                      <w:color w:val="000000"/>
                      <w:sz w:val="16"/>
                      <w:szCs w:val="16"/>
                      <w:lang w:eastAsia="ko-KR"/>
                    </w:rPr>
                  </w:pPr>
                  <w:r w:rsidRPr="008352DC">
                    <w:rPr>
                      <w:rFonts w:cs="Arial"/>
                      <w:color w:val="000000"/>
                      <w:sz w:val="16"/>
                      <w:szCs w:val="16"/>
                      <w:lang w:eastAsia="ko-KR"/>
                    </w:rPr>
                    <w:t>Celkem</w:t>
                  </w:r>
                </w:p>
              </w:tc>
              <w:tc>
                <w:tcPr>
                  <w:tcW w:w="1203" w:type="dxa"/>
                  <w:tcBorders>
                    <w:top w:val="nil"/>
                    <w:left w:val="nil"/>
                    <w:bottom w:val="nil"/>
                    <w:right w:val="nil"/>
                  </w:tcBorders>
                  <w:noWrap/>
                  <w:vAlign w:val="bottom"/>
                  <w:hideMark/>
                </w:tcPr>
                <w:p w14:paraId="1A821B02"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2,7</w:t>
                  </w:r>
                </w:p>
              </w:tc>
              <w:tc>
                <w:tcPr>
                  <w:tcW w:w="1203" w:type="dxa"/>
                  <w:tcBorders>
                    <w:top w:val="nil"/>
                    <w:left w:val="nil"/>
                    <w:bottom w:val="nil"/>
                    <w:right w:val="nil"/>
                  </w:tcBorders>
                  <w:noWrap/>
                  <w:vAlign w:val="bottom"/>
                  <w:hideMark/>
                </w:tcPr>
                <w:p w14:paraId="0C52E7C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7,4</w:t>
                  </w:r>
                </w:p>
              </w:tc>
              <w:tc>
                <w:tcPr>
                  <w:tcW w:w="1203" w:type="dxa"/>
                  <w:tcBorders>
                    <w:top w:val="nil"/>
                    <w:left w:val="nil"/>
                    <w:bottom w:val="nil"/>
                    <w:right w:val="nil"/>
                  </w:tcBorders>
                  <w:noWrap/>
                  <w:vAlign w:val="bottom"/>
                  <w:hideMark/>
                </w:tcPr>
                <w:p w14:paraId="6392A524"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0,9</w:t>
                  </w:r>
                </w:p>
              </w:tc>
              <w:tc>
                <w:tcPr>
                  <w:tcW w:w="1204" w:type="dxa"/>
                  <w:tcBorders>
                    <w:top w:val="nil"/>
                    <w:left w:val="nil"/>
                    <w:bottom w:val="nil"/>
                    <w:right w:val="nil"/>
                  </w:tcBorders>
                  <w:noWrap/>
                  <w:vAlign w:val="bottom"/>
                  <w:hideMark/>
                </w:tcPr>
                <w:p w14:paraId="0BD64CD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1,5</w:t>
                  </w:r>
                </w:p>
              </w:tc>
            </w:tr>
            <w:tr w:rsidR="006B1AFC" w:rsidRPr="008352DC" w14:paraId="316E5D01" w14:textId="77777777" w:rsidTr="003C4A79">
              <w:trPr>
                <w:trHeight w:val="255"/>
              </w:trPr>
              <w:tc>
                <w:tcPr>
                  <w:tcW w:w="4840" w:type="dxa"/>
                  <w:tcBorders>
                    <w:top w:val="nil"/>
                    <w:left w:val="nil"/>
                    <w:bottom w:val="nil"/>
                    <w:right w:val="nil"/>
                  </w:tcBorders>
                  <w:vAlign w:val="bottom"/>
                  <w:hideMark/>
                </w:tcPr>
                <w:p w14:paraId="5FE1552E"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Zemědělství, lesnictví a rybářství</w:t>
                  </w:r>
                </w:p>
              </w:tc>
              <w:tc>
                <w:tcPr>
                  <w:tcW w:w="1203" w:type="dxa"/>
                  <w:tcBorders>
                    <w:top w:val="nil"/>
                    <w:left w:val="nil"/>
                    <w:bottom w:val="nil"/>
                    <w:right w:val="nil"/>
                  </w:tcBorders>
                  <w:noWrap/>
                  <w:vAlign w:val="bottom"/>
                  <w:hideMark/>
                </w:tcPr>
                <w:p w14:paraId="628DB17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0,4</w:t>
                  </w:r>
                </w:p>
              </w:tc>
              <w:tc>
                <w:tcPr>
                  <w:tcW w:w="1203" w:type="dxa"/>
                  <w:tcBorders>
                    <w:top w:val="nil"/>
                    <w:left w:val="nil"/>
                    <w:bottom w:val="nil"/>
                    <w:right w:val="nil"/>
                  </w:tcBorders>
                  <w:noWrap/>
                  <w:vAlign w:val="bottom"/>
                  <w:hideMark/>
                </w:tcPr>
                <w:p w14:paraId="70DDB6FC"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6,6</w:t>
                  </w:r>
                </w:p>
              </w:tc>
              <w:tc>
                <w:tcPr>
                  <w:tcW w:w="1203" w:type="dxa"/>
                  <w:tcBorders>
                    <w:top w:val="nil"/>
                    <w:left w:val="nil"/>
                    <w:bottom w:val="nil"/>
                    <w:right w:val="nil"/>
                  </w:tcBorders>
                  <w:noWrap/>
                  <w:vAlign w:val="bottom"/>
                  <w:hideMark/>
                </w:tcPr>
                <w:p w14:paraId="04C1C774"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0,3</w:t>
                  </w:r>
                </w:p>
              </w:tc>
              <w:tc>
                <w:tcPr>
                  <w:tcW w:w="1204" w:type="dxa"/>
                  <w:tcBorders>
                    <w:top w:val="nil"/>
                    <w:left w:val="nil"/>
                    <w:bottom w:val="nil"/>
                    <w:right w:val="nil"/>
                  </w:tcBorders>
                  <w:noWrap/>
                  <w:vAlign w:val="bottom"/>
                  <w:hideMark/>
                </w:tcPr>
                <w:p w14:paraId="190D61D1"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1,5</w:t>
                  </w:r>
                </w:p>
              </w:tc>
            </w:tr>
            <w:tr w:rsidR="006B1AFC" w:rsidRPr="008352DC" w14:paraId="56D4AB23" w14:textId="77777777" w:rsidTr="003C4A79">
              <w:trPr>
                <w:trHeight w:val="255"/>
              </w:trPr>
              <w:tc>
                <w:tcPr>
                  <w:tcW w:w="4840" w:type="dxa"/>
                  <w:tcBorders>
                    <w:top w:val="nil"/>
                    <w:left w:val="nil"/>
                    <w:bottom w:val="nil"/>
                    <w:right w:val="nil"/>
                  </w:tcBorders>
                  <w:vAlign w:val="bottom"/>
                  <w:hideMark/>
                </w:tcPr>
                <w:p w14:paraId="71F2AD2D"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Průmysl</w:t>
                  </w:r>
                </w:p>
              </w:tc>
              <w:tc>
                <w:tcPr>
                  <w:tcW w:w="1203" w:type="dxa"/>
                  <w:tcBorders>
                    <w:top w:val="nil"/>
                    <w:left w:val="nil"/>
                    <w:bottom w:val="nil"/>
                    <w:right w:val="nil"/>
                  </w:tcBorders>
                  <w:noWrap/>
                  <w:vAlign w:val="bottom"/>
                  <w:hideMark/>
                </w:tcPr>
                <w:p w14:paraId="05EA91EF"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1,1</w:t>
                  </w:r>
                </w:p>
              </w:tc>
              <w:tc>
                <w:tcPr>
                  <w:tcW w:w="1203" w:type="dxa"/>
                  <w:tcBorders>
                    <w:top w:val="nil"/>
                    <w:left w:val="nil"/>
                    <w:bottom w:val="nil"/>
                    <w:right w:val="nil"/>
                  </w:tcBorders>
                  <w:noWrap/>
                  <w:vAlign w:val="bottom"/>
                  <w:hideMark/>
                </w:tcPr>
                <w:p w14:paraId="12ED3799"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4,2</w:t>
                  </w:r>
                </w:p>
              </w:tc>
              <w:tc>
                <w:tcPr>
                  <w:tcW w:w="1203" w:type="dxa"/>
                  <w:tcBorders>
                    <w:top w:val="nil"/>
                    <w:left w:val="nil"/>
                    <w:bottom w:val="nil"/>
                    <w:right w:val="nil"/>
                  </w:tcBorders>
                  <w:noWrap/>
                  <w:vAlign w:val="bottom"/>
                  <w:hideMark/>
                </w:tcPr>
                <w:p w14:paraId="317A9DC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1,4</w:t>
                  </w:r>
                </w:p>
              </w:tc>
              <w:tc>
                <w:tcPr>
                  <w:tcW w:w="1204" w:type="dxa"/>
                  <w:tcBorders>
                    <w:top w:val="nil"/>
                    <w:left w:val="nil"/>
                    <w:bottom w:val="nil"/>
                    <w:right w:val="nil"/>
                  </w:tcBorders>
                  <w:noWrap/>
                  <w:vAlign w:val="bottom"/>
                  <w:hideMark/>
                </w:tcPr>
                <w:p w14:paraId="4803DA2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0,2</w:t>
                  </w:r>
                </w:p>
              </w:tc>
            </w:tr>
            <w:tr w:rsidR="006B1AFC" w:rsidRPr="008352DC" w14:paraId="42633735" w14:textId="77777777" w:rsidTr="003C4A79">
              <w:trPr>
                <w:trHeight w:val="255"/>
              </w:trPr>
              <w:tc>
                <w:tcPr>
                  <w:tcW w:w="4840" w:type="dxa"/>
                  <w:tcBorders>
                    <w:top w:val="nil"/>
                    <w:left w:val="nil"/>
                    <w:bottom w:val="nil"/>
                    <w:right w:val="nil"/>
                  </w:tcBorders>
                  <w:vAlign w:val="bottom"/>
                  <w:hideMark/>
                </w:tcPr>
                <w:p w14:paraId="37B6348F" w14:textId="77777777" w:rsidR="006B1AFC" w:rsidRPr="008352DC" w:rsidRDefault="006B1AFC" w:rsidP="003C4A79">
                  <w:pPr>
                    <w:spacing w:after="0" w:line="240" w:lineRule="auto"/>
                    <w:ind w:left="230"/>
                    <w:jc w:val="left"/>
                    <w:rPr>
                      <w:rFonts w:cs="Arial"/>
                      <w:color w:val="000000"/>
                      <w:sz w:val="16"/>
                      <w:szCs w:val="16"/>
                      <w:lang w:eastAsia="ko-KR"/>
                    </w:rPr>
                  </w:pPr>
                  <w:r w:rsidRPr="008352DC">
                    <w:rPr>
                      <w:rFonts w:cs="Arial"/>
                      <w:color w:val="000000"/>
                      <w:sz w:val="16"/>
                      <w:szCs w:val="16"/>
                      <w:lang w:eastAsia="ko-KR"/>
                    </w:rPr>
                    <w:t>z toho: Zpracovatelský průmysl</w:t>
                  </w:r>
                </w:p>
              </w:tc>
              <w:tc>
                <w:tcPr>
                  <w:tcW w:w="1203" w:type="dxa"/>
                  <w:tcBorders>
                    <w:top w:val="nil"/>
                    <w:left w:val="nil"/>
                    <w:bottom w:val="nil"/>
                    <w:right w:val="nil"/>
                  </w:tcBorders>
                  <w:noWrap/>
                  <w:vAlign w:val="bottom"/>
                  <w:hideMark/>
                </w:tcPr>
                <w:p w14:paraId="640B196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1,1</w:t>
                  </w:r>
                </w:p>
              </w:tc>
              <w:tc>
                <w:tcPr>
                  <w:tcW w:w="1203" w:type="dxa"/>
                  <w:tcBorders>
                    <w:top w:val="nil"/>
                    <w:left w:val="nil"/>
                    <w:bottom w:val="nil"/>
                    <w:right w:val="nil"/>
                  </w:tcBorders>
                  <w:noWrap/>
                  <w:vAlign w:val="bottom"/>
                  <w:hideMark/>
                </w:tcPr>
                <w:p w14:paraId="18DB75B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4,3</w:t>
                  </w:r>
                </w:p>
              </w:tc>
              <w:tc>
                <w:tcPr>
                  <w:tcW w:w="1203" w:type="dxa"/>
                  <w:tcBorders>
                    <w:top w:val="nil"/>
                    <w:left w:val="nil"/>
                    <w:bottom w:val="nil"/>
                    <w:right w:val="nil"/>
                  </w:tcBorders>
                  <w:noWrap/>
                  <w:vAlign w:val="bottom"/>
                  <w:hideMark/>
                </w:tcPr>
                <w:p w14:paraId="3640B944"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1,0</w:t>
                  </w:r>
                </w:p>
              </w:tc>
              <w:tc>
                <w:tcPr>
                  <w:tcW w:w="1204" w:type="dxa"/>
                  <w:tcBorders>
                    <w:top w:val="nil"/>
                    <w:left w:val="nil"/>
                    <w:bottom w:val="nil"/>
                    <w:right w:val="nil"/>
                  </w:tcBorders>
                  <w:noWrap/>
                  <w:vAlign w:val="bottom"/>
                  <w:hideMark/>
                </w:tcPr>
                <w:p w14:paraId="6C1024DE"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0,2</w:t>
                  </w:r>
                </w:p>
              </w:tc>
            </w:tr>
            <w:tr w:rsidR="006B1AFC" w:rsidRPr="008352DC" w14:paraId="6740604A" w14:textId="77777777" w:rsidTr="003C4A79">
              <w:trPr>
                <w:trHeight w:val="255"/>
              </w:trPr>
              <w:tc>
                <w:tcPr>
                  <w:tcW w:w="4840" w:type="dxa"/>
                  <w:tcBorders>
                    <w:top w:val="nil"/>
                    <w:left w:val="nil"/>
                    <w:bottom w:val="nil"/>
                    <w:right w:val="nil"/>
                  </w:tcBorders>
                  <w:vAlign w:val="bottom"/>
                  <w:hideMark/>
                </w:tcPr>
                <w:p w14:paraId="7349CF15"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Stavebnictví</w:t>
                  </w:r>
                </w:p>
              </w:tc>
              <w:tc>
                <w:tcPr>
                  <w:tcW w:w="1203" w:type="dxa"/>
                  <w:tcBorders>
                    <w:top w:val="nil"/>
                    <w:left w:val="nil"/>
                    <w:bottom w:val="nil"/>
                    <w:right w:val="nil"/>
                  </w:tcBorders>
                  <w:noWrap/>
                  <w:vAlign w:val="bottom"/>
                  <w:hideMark/>
                </w:tcPr>
                <w:p w14:paraId="719A48D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4,5</w:t>
                  </w:r>
                </w:p>
              </w:tc>
              <w:tc>
                <w:tcPr>
                  <w:tcW w:w="1203" w:type="dxa"/>
                  <w:tcBorders>
                    <w:top w:val="nil"/>
                    <w:left w:val="nil"/>
                    <w:bottom w:val="nil"/>
                    <w:right w:val="nil"/>
                  </w:tcBorders>
                  <w:noWrap/>
                  <w:vAlign w:val="bottom"/>
                  <w:hideMark/>
                </w:tcPr>
                <w:p w14:paraId="46EA70BF"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11,0</w:t>
                  </w:r>
                </w:p>
              </w:tc>
              <w:tc>
                <w:tcPr>
                  <w:tcW w:w="1203" w:type="dxa"/>
                  <w:tcBorders>
                    <w:top w:val="nil"/>
                    <w:left w:val="nil"/>
                    <w:bottom w:val="nil"/>
                    <w:right w:val="nil"/>
                  </w:tcBorders>
                  <w:noWrap/>
                  <w:vAlign w:val="bottom"/>
                  <w:hideMark/>
                </w:tcPr>
                <w:p w14:paraId="2AF4323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0,2</w:t>
                  </w:r>
                </w:p>
              </w:tc>
              <w:tc>
                <w:tcPr>
                  <w:tcW w:w="1204" w:type="dxa"/>
                  <w:tcBorders>
                    <w:top w:val="nil"/>
                    <w:left w:val="nil"/>
                    <w:bottom w:val="nil"/>
                    <w:right w:val="nil"/>
                  </w:tcBorders>
                  <w:noWrap/>
                  <w:vAlign w:val="bottom"/>
                  <w:hideMark/>
                </w:tcPr>
                <w:p w14:paraId="7537583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2,3</w:t>
                  </w:r>
                </w:p>
              </w:tc>
            </w:tr>
            <w:tr w:rsidR="006B1AFC" w:rsidRPr="008352DC" w14:paraId="037D9C8D" w14:textId="77777777" w:rsidTr="003C4A79">
              <w:trPr>
                <w:trHeight w:val="255"/>
              </w:trPr>
              <w:tc>
                <w:tcPr>
                  <w:tcW w:w="4840" w:type="dxa"/>
                  <w:tcBorders>
                    <w:top w:val="nil"/>
                    <w:left w:val="nil"/>
                    <w:bottom w:val="nil"/>
                    <w:right w:val="nil"/>
                  </w:tcBorders>
                  <w:vAlign w:val="bottom"/>
                  <w:hideMark/>
                </w:tcPr>
                <w:p w14:paraId="2BBAF224"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 xml:space="preserve">Obchod, doprava, ubytování a pohostinství </w:t>
                  </w:r>
                </w:p>
              </w:tc>
              <w:tc>
                <w:tcPr>
                  <w:tcW w:w="1203" w:type="dxa"/>
                  <w:tcBorders>
                    <w:top w:val="nil"/>
                    <w:left w:val="nil"/>
                    <w:bottom w:val="nil"/>
                    <w:right w:val="nil"/>
                  </w:tcBorders>
                  <w:noWrap/>
                  <w:vAlign w:val="bottom"/>
                  <w:hideMark/>
                </w:tcPr>
                <w:p w14:paraId="3DE8213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0,8</w:t>
                  </w:r>
                </w:p>
              </w:tc>
              <w:tc>
                <w:tcPr>
                  <w:tcW w:w="1203" w:type="dxa"/>
                  <w:tcBorders>
                    <w:top w:val="nil"/>
                    <w:left w:val="nil"/>
                    <w:bottom w:val="nil"/>
                    <w:right w:val="nil"/>
                  </w:tcBorders>
                  <w:noWrap/>
                  <w:vAlign w:val="bottom"/>
                  <w:hideMark/>
                </w:tcPr>
                <w:p w14:paraId="0D4E7E5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4,7</w:t>
                  </w:r>
                </w:p>
              </w:tc>
              <w:tc>
                <w:tcPr>
                  <w:tcW w:w="1203" w:type="dxa"/>
                  <w:tcBorders>
                    <w:top w:val="nil"/>
                    <w:left w:val="nil"/>
                    <w:bottom w:val="nil"/>
                    <w:right w:val="nil"/>
                  </w:tcBorders>
                  <w:noWrap/>
                  <w:vAlign w:val="bottom"/>
                  <w:hideMark/>
                </w:tcPr>
                <w:p w14:paraId="175291A6"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0,7</w:t>
                  </w:r>
                </w:p>
              </w:tc>
              <w:tc>
                <w:tcPr>
                  <w:tcW w:w="1204" w:type="dxa"/>
                  <w:tcBorders>
                    <w:top w:val="nil"/>
                    <w:left w:val="nil"/>
                    <w:bottom w:val="nil"/>
                    <w:right w:val="nil"/>
                  </w:tcBorders>
                  <w:noWrap/>
                  <w:vAlign w:val="bottom"/>
                  <w:hideMark/>
                </w:tcPr>
                <w:p w14:paraId="55AA5B4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0,9</w:t>
                  </w:r>
                </w:p>
              </w:tc>
            </w:tr>
            <w:tr w:rsidR="006B1AFC" w:rsidRPr="008352DC" w14:paraId="22925498" w14:textId="77777777" w:rsidTr="003C4A79">
              <w:trPr>
                <w:trHeight w:val="255"/>
              </w:trPr>
              <w:tc>
                <w:tcPr>
                  <w:tcW w:w="4840" w:type="dxa"/>
                  <w:tcBorders>
                    <w:top w:val="nil"/>
                    <w:left w:val="nil"/>
                    <w:bottom w:val="nil"/>
                    <w:right w:val="nil"/>
                  </w:tcBorders>
                  <w:vAlign w:val="bottom"/>
                  <w:hideMark/>
                </w:tcPr>
                <w:p w14:paraId="04EB7F34"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Informační a komunikační činnosti</w:t>
                  </w:r>
                </w:p>
              </w:tc>
              <w:tc>
                <w:tcPr>
                  <w:tcW w:w="1203" w:type="dxa"/>
                  <w:tcBorders>
                    <w:top w:val="nil"/>
                    <w:left w:val="nil"/>
                    <w:bottom w:val="nil"/>
                    <w:right w:val="nil"/>
                  </w:tcBorders>
                  <w:noWrap/>
                  <w:vAlign w:val="bottom"/>
                  <w:hideMark/>
                </w:tcPr>
                <w:p w14:paraId="597BA749"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0,6</w:t>
                  </w:r>
                </w:p>
              </w:tc>
              <w:tc>
                <w:tcPr>
                  <w:tcW w:w="1203" w:type="dxa"/>
                  <w:tcBorders>
                    <w:top w:val="nil"/>
                    <w:left w:val="nil"/>
                    <w:bottom w:val="nil"/>
                    <w:right w:val="nil"/>
                  </w:tcBorders>
                  <w:noWrap/>
                  <w:vAlign w:val="bottom"/>
                  <w:hideMark/>
                </w:tcPr>
                <w:p w14:paraId="77CD7A9A"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6,6</w:t>
                  </w:r>
                </w:p>
              </w:tc>
              <w:tc>
                <w:tcPr>
                  <w:tcW w:w="1203" w:type="dxa"/>
                  <w:tcBorders>
                    <w:top w:val="nil"/>
                    <w:left w:val="nil"/>
                    <w:bottom w:val="nil"/>
                    <w:right w:val="nil"/>
                  </w:tcBorders>
                  <w:noWrap/>
                  <w:vAlign w:val="bottom"/>
                  <w:hideMark/>
                </w:tcPr>
                <w:p w14:paraId="20E5530B"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3,0</w:t>
                  </w:r>
                </w:p>
              </w:tc>
              <w:tc>
                <w:tcPr>
                  <w:tcW w:w="1204" w:type="dxa"/>
                  <w:tcBorders>
                    <w:top w:val="nil"/>
                    <w:left w:val="nil"/>
                    <w:bottom w:val="nil"/>
                    <w:right w:val="nil"/>
                  </w:tcBorders>
                  <w:noWrap/>
                  <w:vAlign w:val="bottom"/>
                  <w:hideMark/>
                </w:tcPr>
                <w:p w14:paraId="18AF927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1,6</w:t>
                  </w:r>
                </w:p>
              </w:tc>
            </w:tr>
            <w:tr w:rsidR="006B1AFC" w:rsidRPr="008352DC" w14:paraId="052D2BE1" w14:textId="77777777" w:rsidTr="003C4A79">
              <w:trPr>
                <w:trHeight w:val="255"/>
              </w:trPr>
              <w:tc>
                <w:tcPr>
                  <w:tcW w:w="4840" w:type="dxa"/>
                  <w:tcBorders>
                    <w:top w:val="nil"/>
                    <w:left w:val="nil"/>
                    <w:bottom w:val="nil"/>
                    <w:right w:val="nil"/>
                  </w:tcBorders>
                  <w:vAlign w:val="bottom"/>
                  <w:hideMark/>
                </w:tcPr>
                <w:p w14:paraId="62C406A3"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Peněžnictví a pojišťovnictví</w:t>
                  </w:r>
                </w:p>
              </w:tc>
              <w:tc>
                <w:tcPr>
                  <w:tcW w:w="1203" w:type="dxa"/>
                  <w:tcBorders>
                    <w:top w:val="nil"/>
                    <w:left w:val="nil"/>
                    <w:bottom w:val="nil"/>
                    <w:right w:val="nil"/>
                  </w:tcBorders>
                  <w:noWrap/>
                  <w:vAlign w:val="bottom"/>
                  <w:hideMark/>
                </w:tcPr>
                <w:p w14:paraId="153F76A1"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3,3</w:t>
                  </w:r>
                </w:p>
              </w:tc>
              <w:tc>
                <w:tcPr>
                  <w:tcW w:w="1203" w:type="dxa"/>
                  <w:tcBorders>
                    <w:top w:val="nil"/>
                    <w:left w:val="nil"/>
                    <w:bottom w:val="nil"/>
                    <w:right w:val="nil"/>
                  </w:tcBorders>
                  <w:noWrap/>
                  <w:vAlign w:val="bottom"/>
                  <w:hideMark/>
                </w:tcPr>
                <w:p w14:paraId="3EB6C90B"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8,4</w:t>
                  </w:r>
                </w:p>
              </w:tc>
              <w:tc>
                <w:tcPr>
                  <w:tcW w:w="1203" w:type="dxa"/>
                  <w:tcBorders>
                    <w:top w:val="nil"/>
                    <w:left w:val="nil"/>
                    <w:bottom w:val="nil"/>
                    <w:right w:val="nil"/>
                  </w:tcBorders>
                  <w:noWrap/>
                  <w:vAlign w:val="bottom"/>
                  <w:hideMark/>
                </w:tcPr>
                <w:p w14:paraId="054B7A9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0,1</w:t>
                  </w:r>
                </w:p>
              </w:tc>
              <w:tc>
                <w:tcPr>
                  <w:tcW w:w="1204" w:type="dxa"/>
                  <w:tcBorders>
                    <w:top w:val="nil"/>
                    <w:left w:val="nil"/>
                    <w:bottom w:val="nil"/>
                    <w:right w:val="nil"/>
                  </w:tcBorders>
                  <w:noWrap/>
                  <w:vAlign w:val="bottom"/>
                  <w:hideMark/>
                </w:tcPr>
                <w:p w14:paraId="3BAA0922"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2,9</w:t>
                  </w:r>
                </w:p>
              </w:tc>
            </w:tr>
            <w:tr w:rsidR="006B1AFC" w:rsidRPr="008352DC" w14:paraId="094CE4B6" w14:textId="77777777" w:rsidTr="003C4A79">
              <w:trPr>
                <w:trHeight w:val="255"/>
              </w:trPr>
              <w:tc>
                <w:tcPr>
                  <w:tcW w:w="4840" w:type="dxa"/>
                  <w:tcBorders>
                    <w:top w:val="nil"/>
                    <w:left w:val="nil"/>
                    <w:bottom w:val="nil"/>
                    <w:right w:val="nil"/>
                  </w:tcBorders>
                  <w:vAlign w:val="bottom"/>
                  <w:hideMark/>
                </w:tcPr>
                <w:p w14:paraId="30F91801"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Činnosti v oblasti nemovitostí</w:t>
                  </w:r>
                </w:p>
              </w:tc>
              <w:tc>
                <w:tcPr>
                  <w:tcW w:w="1203" w:type="dxa"/>
                  <w:tcBorders>
                    <w:top w:val="nil"/>
                    <w:left w:val="nil"/>
                    <w:bottom w:val="nil"/>
                    <w:right w:val="nil"/>
                  </w:tcBorders>
                  <w:noWrap/>
                  <w:vAlign w:val="bottom"/>
                  <w:hideMark/>
                </w:tcPr>
                <w:p w14:paraId="5F1A99DB"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2,6</w:t>
                  </w:r>
                </w:p>
              </w:tc>
              <w:tc>
                <w:tcPr>
                  <w:tcW w:w="1203" w:type="dxa"/>
                  <w:tcBorders>
                    <w:top w:val="nil"/>
                    <w:left w:val="nil"/>
                    <w:bottom w:val="nil"/>
                    <w:right w:val="nil"/>
                  </w:tcBorders>
                  <w:noWrap/>
                  <w:vAlign w:val="bottom"/>
                  <w:hideMark/>
                </w:tcPr>
                <w:p w14:paraId="1A8D48F1"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17,8</w:t>
                  </w:r>
                </w:p>
              </w:tc>
              <w:tc>
                <w:tcPr>
                  <w:tcW w:w="1203" w:type="dxa"/>
                  <w:tcBorders>
                    <w:top w:val="nil"/>
                    <w:left w:val="nil"/>
                    <w:bottom w:val="nil"/>
                    <w:right w:val="nil"/>
                  </w:tcBorders>
                  <w:noWrap/>
                  <w:vAlign w:val="bottom"/>
                  <w:hideMark/>
                </w:tcPr>
                <w:p w14:paraId="39340BFC"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0,6</w:t>
                  </w:r>
                </w:p>
              </w:tc>
              <w:tc>
                <w:tcPr>
                  <w:tcW w:w="1204" w:type="dxa"/>
                  <w:tcBorders>
                    <w:top w:val="nil"/>
                    <w:left w:val="nil"/>
                    <w:bottom w:val="nil"/>
                    <w:right w:val="nil"/>
                  </w:tcBorders>
                  <w:noWrap/>
                  <w:vAlign w:val="bottom"/>
                  <w:hideMark/>
                </w:tcPr>
                <w:p w14:paraId="1CBC927F"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5,3</w:t>
                  </w:r>
                </w:p>
              </w:tc>
            </w:tr>
            <w:tr w:rsidR="006B1AFC" w:rsidRPr="008352DC" w14:paraId="421664AD" w14:textId="77777777" w:rsidTr="003C4A79">
              <w:trPr>
                <w:trHeight w:val="255"/>
              </w:trPr>
              <w:tc>
                <w:tcPr>
                  <w:tcW w:w="4840" w:type="dxa"/>
                  <w:tcBorders>
                    <w:top w:val="nil"/>
                    <w:left w:val="nil"/>
                    <w:bottom w:val="nil"/>
                    <w:right w:val="nil"/>
                  </w:tcBorders>
                  <w:vAlign w:val="bottom"/>
                  <w:hideMark/>
                </w:tcPr>
                <w:p w14:paraId="65EED409"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Profesní, vědecké, technické a administrativní činnosti</w:t>
                  </w:r>
                </w:p>
              </w:tc>
              <w:tc>
                <w:tcPr>
                  <w:tcW w:w="1203" w:type="dxa"/>
                  <w:tcBorders>
                    <w:top w:val="nil"/>
                    <w:left w:val="nil"/>
                    <w:bottom w:val="nil"/>
                    <w:right w:val="nil"/>
                  </w:tcBorders>
                  <w:noWrap/>
                  <w:vAlign w:val="bottom"/>
                  <w:hideMark/>
                </w:tcPr>
                <w:p w14:paraId="164946C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7,8</w:t>
                  </w:r>
                </w:p>
              </w:tc>
              <w:tc>
                <w:tcPr>
                  <w:tcW w:w="1203" w:type="dxa"/>
                  <w:tcBorders>
                    <w:top w:val="nil"/>
                    <w:left w:val="nil"/>
                    <w:bottom w:val="nil"/>
                    <w:right w:val="nil"/>
                  </w:tcBorders>
                  <w:noWrap/>
                  <w:vAlign w:val="bottom"/>
                  <w:hideMark/>
                </w:tcPr>
                <w:p w14:paraId="142CC3D1"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12,7</w:t>
                  </w:r>
                </w:p>
              </w:tc>
              <w:tc>
                <w:tcPr>
                  <w:tcW w:w="1203" w:type="dxa"/>
                  <w:tcBorders>
                    <w:top w:val="nil"/>
                    <w:left w:val="nil"/>
                    <w:bottom w:val="nil"/>
                    <w:right w:val="nil"/>
                  </w:tcBorders>
                  <w:noWrap/>
                  <w:vAlign w:val="bottom"/>
                  <w:hideMark/>
                </w:tcPr>
                <w:p w14:paraId="1460F10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1,3</w:t>
                  </w:r>
                </w:p>
              </w:tc>
              <w:tc>
                <w:tcPr>
                  <w:tcW w:w="1204" w:type="dxa"/>
                  <w:tcBorders>
                    <w:top w:val="nil"/>
                    <w:left w:val="nil"/>
                    <w:bottom w:val="nil"/>
                    <w:right w:val="nil"/>
                  </w:tcBorders>
                  <w:noWrap/>
                  <w:vAlign w:val="bottom"/>
                  <w:hideMark/>
                </w:tcPr>
                <w:p w14:paraId="660AA986"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2,9</w:t>
                  </w:r>
                </w:p>
              </w:tc>
            </w:tr>
            <w:tr w:rsidR="006B1AFC" w:rsidRPr="008352DC" w14:paraId="441EC403" w14:textId="77777777" w:rsidTr="003C4A79">
              <w:trPr>
                <w:trHeight w:val="255"/>
              </w:trPr>
              <w:tc>
                <w:tcPr>
                  <w:tcW w:w="4840" w:type="dxa"/>
                  <w:tcBorders>
                    <w:top w:val="nil"/>
                    <w:left w:val="nil"/>
                    <w:bottom w:val="nil"/>
                    <w:right w:val="nil"/>
                  </w:tcBorders>
                  <w:vAlign w:val="bottom"/>
                  <w:hideMark/>
                </w:tcPr>
                <w:p w14:paraId="7021295F"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Veřejná správa a obrana, vzdělávání, zdravotní a sociální péče</w:t>
                  </w:r>
                </w:p>
              </w:tc>
              <w:tc>
                <w:tcPr>
                  <w:tcW w:w="1203" w:type="dxa"/>
                  <w:tcBorders>
                    <w:top w:val="nil"/>
                    <w:left w:val="nil"/>
                    <w:bottom w:val="nil"/>
                    <w:right w:val="nil"/>
                  </w:tcBorders>
                  <w:noWrap/>
                  <w:vAlign w:val="bottom"/>
                  <w:hideMark/>
                </w:tcPr>
                <w:p w14:paraId="433D0A4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5,2</w:t>
                  </w:r>
                </w:p>
              </w:tc>
              <w:tc>
                <w:tcPr>
                  <w:tcW w:w="1203" w:type="dxa"/>
                  <w:tcBorders>
                    <w:top w:val="nil"/>
                    <w:left w:val="nil"/>
                    <w:bottom w:val="nil"/>
                    <w:right w:val="nil"/>
                  </w:tcBorders>
                  <w:noWrap/>
                  <w:vAlign w:val="bottom"/>
                  <w:hideMark/>
                </w:tcPr>
                <w:p w14:paraId="17BF83C9"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9,7</w:t>
                  </w:r>
                </w:p>
              </w:tc>
              <w:tc>
                <w:tcPr>
                  <w:tcW w:w="1203" w:type="dxa"/>
                  <w:tcBorders>
                    <w:top w:val="nil"/>
                    <w:left w:val="nil"/>
                    <w:bottom w:val="nil"/>
                    <w:right w:val="nil"/>
                  </w:tcBorders>
                  <w:noWrap/>
                  <w:vAlign w:val="bottom"/>
                  <w:hideMark/>
                </w:tcPr>
                <w:p w14:paraId="292F6886"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0,6</w:t>
                  </w:r>
                </w:p>
              </w:tc>
              <w:tc>
                <w:tcPr>
                  <w:tcW w:w="1204" w:type="dxa"/>
                  <w:tcBorders>
                    <w:top w:val="nil"/>
                    <w:left w:val="nil"/>
                    <w:bottom w:val="nil"/>
                    <w:right w:val="nil"/>
                  </w:tcBorders>
                  <w:noWrap/>
                  <w:vAlign w:val="bottom"/>
                  <w:hideMark/>
                </w:tcPr>
                <w:p w14:paraId="1AC9A07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2,2</w:t>
                  </w:r>
                </w:p>
              </w:tc>
            </w:tr>
            <w:tr w:rsidR="006B1AFC" w:rsidRPr="008352DC" w14:paraId="2DE73A68" w14:textId="77777777" w:rsidTr="003C4A79">
              <w:trPr>
                <w:trHeight w:val="255"/>
              </w:trPr>
              <w:tc>
                <w:tcPr>
                  <w:tcW w:w="4840" w:type="dxa"/>
                  <w:tcBorders>
                    <w:top w:val="nil"/>
                    <w:left w:val="nil"/>
                    <w:bottom w:val="nil"/>
                    <w:right w:val="nil"/>
                  </w:tcBorders>
                  <w:vAlign w:val="bottom"/>
                  <w:hideMark/>
                </w:tcPr>
                <w:p w14:paraId="6B527071"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Ostatní činnosti</w:t>
                  </w:r>
                </w:p>
              </w:tc>
              <w:tc>
                <w:tcPr>
                  <w:tcW w:w="1203" w:type="dxa"/>
                  <w:tcBorders>
                    <w:top w:val="nil"/>
                    <w:left w:val="nil"/>
                    <w:bottom w:val="nil"/>
                    <w:right w:val="nil"/>
                  </w:tcBorders>
                  <w:noWrap/>
                  <w:vAlign w:val="bottom"/>
                  <w:hideMark/>
                </w:tcPr>
                <w:p w14:paraId="54B0989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4,7</w:t>
                  </w:r>
                </w:p>
              </w:tc>
              <w:tc>
                <w:tcPr>
                  <w:tcW w:w="1203" w:type="dxa"/>
                  <w:tcBorders>
                    <w:top w:val="nil"/>
                    <w:left w:val="nil"/>
                    <w:bottom w:val="nil"/>
                    <w:right w:val="nil"/>
                  </w:tcBorders>
                  <w:noWrap/>
                  <w:vAlign w:val="bottom"/>
                  <w:hideMark/>
                </w:tcPr>
                <w:p w14:paraId="15DA7DF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10,2</w:t>
                  </w:r>
                </w:p>
              </w:tc>
              <w:tc>
                <w:tcPr>
                  <w:tcW w:w="1203" w:type="dxa"/>
                  <w:tcBorders>
                    <w:top w:val="nil"/>
                    <w:left w:val="nil"/>
                    <w:bottom w:val="nil"/>
                    <w:right w:val="nil"/>
                  </w:tcBorders>
                  <w:noWrap/>
                  <w:vAlign w:val="bottom"/>
                  <w:hideMark/>
                </w:tcPr>
                <w:p w14:paraId="7A1E8361"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4,7</w:t>
                  </w:r>
                </w:p>
              </w:tc>
              <w:tc>
                <w:tcPr>
                  <w:tcW w:w="1204" w:type="dxa"/>
                  <w:tcBorders>
                    <w:top w:val="nil"/>
                    <w:left w:val="nil"/>
                    <w:bottom w:val="nil"/>
                    <w:right w:val="nil"/>
                  </w:tcBorders>
                  <w:noWrap/>
                  <w:vAlign w:val="bottom"/>
                  <w:hideMark/>
                </w:tcPr>
                <w:p w14:paraId="7FA3119A"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4,4</w:t>
                  </w:r>
                </w:p>
              </w:tc>
            </w:tr>
          </w:tbl>
          <w:p w14:paraId="1AB86C32" w14:textId="77777777" w:rsidR="006B1AFC" w:rsidRDefault="006B1AFC" w:rsidP="003C4A79"/>
        </w:tc>
      </w:tr>
      <w:tr w:rsidR="006B1AFC" w:rsidRPr="009110F7" w14:paraId="1BD761B8" w14:textId="77777777" w:rsidTr="003C4A79">
        <w:trPr>
          <w:trHeight w:val="170"/>
        </w:trPr>
        <w:tc>
          <w:tcPr>
            <w:tcW w:w="9639" w:type="dxa"/>
            <w:gridSpan w:val="3"/>
            <w:tcMar>
              <w:left w:w="0" w:type="dxa"/>
            </w:tcMar>
          </w:tcPr>
          <w:p w14:paraId="265B68FC" w14:textId="77777777" w:rsidR="006B1AFC" w:rsidRDefault="006B1AFC" w:rsidP="003C4A79">
            <w:pPr>
              <w:spacing w:before="120"/>
            </w:pPr>
            <w:r w:rsidRPr="00947786">
              <w:rPr>
                <w:sz w:val="16"/>
                <w:szCs w:val="16"/>
              </w:rPr>
              <w:t>Zdroj: ČSÚ</w:t>
            </w:r>
          </w:p>
        </w:tc>
      </w:tr>
      <w:tr w:rsidR="006B1AFC" w:rsidRPr="009110F7" w14:paraId="660FB070" w14:textId="77777777" w:rsidTr="003C4A79">
        <w:trPr>
          <w:trHeight w:val="145"/>
        </w:trPr>
        <w:tc>
          <w:tcPr>
            <w:tcW w:w="1806" w:type="dxa"/>
            <w:tcMar>
              <w:left w:w="0" w:type="dxa"/>
            </w:tcMar>
          </w:tcPr>
          <w:p w14:paraId="30CC7EFA" w14:textId="77777777" w:rsidR="006B1AFC" w:rsidRDefault="006B1AFC" w:rsidP="003C4A79">
            <w:pPr>
              <w:pStyle w:val="Marginlie"/>
            </w:pPr>
            <w:r>
              <w:t xml:space="preserve">Výrazné přírůstky mezd </w:t>
            </w:r>
            <w:r>
              <w:br/>
              <w:t>a platů ve službách.</w:t>
            </w:r>
          </w:p>
        </w:tc>
        <w:tc>
          <w:tcPr>
            <w:tcW w:w="210" w:type="dxa"/>
            <w:tcMar>
              <w:left w:w="0" w:type="dxa"/>
            </w:tcMar>
          </w:tcPr>
          <w:p w14:paraId="302FF9F7" w14:textId="77777777" w:rsidR="006B1AFC" w:rsidRDefault="006B1AFC" w:rsidP="003C4A79">
            <w:pPr>
              <w:pStyle w:val="Textpoznpodarou"/>
              <w:jc w:val="both"/>
              <w:rPr>
                <w:spacing w:val="-4"/>
              </w:rPr>
            </w:pPr>
          </w:p>
        </w:tc>
        <w:tc>
          <w:tcPr>
            <w:tcW w:w="7623" w:type="dxa"/>
            <w:tcMar>
              <w:left w:w="0" w:type="dxa"/>
            </w:tcMar>
          </w:tcPr>
          <w:p w14:paraId="3B953499" w14:textId="77777777" w:rsidR="006B1AFC" w:rsidRDefault="006B1AFC" w:rsidP="003C4A79">
            <w:r>
              <w:t xml:space="preserve">Popsané zrychlení mezičtvrtletní i meziroční dynamiky mezd a platů ovlivnily zejména služby. Celkový nárůst nejvíce ovlivnila zaměstnanecky početná veřejná správa </w:t>
            </w:r>
            <w:r>
              <w:br/>
              <w:t xml:space="preserve">a obrana, vzdělávání, zdravotní a sociální péče (viz Tabulka č. 2), kde se projevilo navýšení tarifů. Největší mezičtvrtletní přírůstek mezd a platů byl zaznamenán </w:t>
            </w:r>
            <w:r>
              <w:br/>
              <w:t xml:space="preserve">u profesních, vědeckých, technických a administrativních činností. Silné bylo </w:t>
            </w:r>
            <w:r>
              <w:br/>
              <w:t>i mezičtvrtletní navýšení objemu mezd a platů v ostatních činnostech</w:t>
            </w:r>
            <w:r>
              <w:rPr>
                <w:rStyle w:val="Znakapoznpodarou"/>
                <w:spacing w:val="-2"/>
              </w:rPr>
              <w:footnoteReference w:id="8"/>
            </w:r>
            <w:r>
              <w:t xml:space="preserve">, ale to zcela souviselo s nárůstem zaměstnanosti v oboru. Naproti tomu silný přírůstek vyplacených mezd doprovázený jen velmi mírným růstem zaměstnanosti ve 2. čtvrtletí zaznamenalo stavebnictví. To se dlouhodobě potýká s problémem nedostatku pracovní síly a rozmach oboru v posledním roce a půl vytvořil tlak na růst mezd. Meziročně je zaměstnanost ve stavebnictví díky loňskému růstu vyšší, ale letošní mezičtvrtletní přírůstky oproti loňsku výrazně zpomalily. Jen velmi mírný mezičtvrtletní přírůstek objemu vyplacených mezd a platů doprovázený silným propadem zaměstnanosti byl ve 2. čtvrtletí zaznamenán v informačních a komunikačních činnostech. Průměrná mzda </w:t>
            </w:r>
            <w:r>
              <w:lastRenderedPageBreak/>
              <w:t xml:space="preserve">v oboru se tedy zvýšila a lze odhadovat, že došlo k úbytku méně ohodnocených míst, která se dostávají pod tlak v souvislosti se stále sofistikovanějším využitím generativní AI. Podprůměrný byl mezičtvrtletní nárůst mezd a platů v uskupení obchod, doprava, ubytování a pohostinství, v průmyslu a v zemědělství. Přitom z většiny bylo navýšení ovlivněno růstem zaměstnanosti. Zmíněné obory zaostávaly z pohledu růstu zaměstnanosti a mezd za zbytkem ekonomiky i v meziročním srovnání. Jediný mezičtvrtletní pokles vyplacených mezd a platů se odehrál v peněžnictví a pojišťovnictví. </w:t>
            </w:r>
          </w:p>
        </w:tc>
      </w:tr>
      <w:bookmarkEnd w:id="2"/>
      <w:bookmarkEnd w:id="3"/>
      <w:bookmarkEnd w:id="4"/>
      <w:bookmarkEnd w:id="5"/>
      <w:bookmarkEnd w:id="6"/>
      <w:bookmarkEnd w:id="7"/>
      <w:bookmarkEnd w:id="8"/>
      <w:bookmarkEnd w:id="9"/>
    </w:tbl>
    <w:p w14:paraId="02F0B73F" w14:textId="77777777" w:rsidR="006B1AFC" w:rsidRDefault="006B1AFC" w:rsidP="009324EF">
      <w:pPr>
        <w:rPr>
          <w:rFonts w:eastAsia="MS Gothic"/>
          <w:highlight w:val="yellow"/>
        </w:rPr>
      </w:pPr>
    </w:p>
    <w:sectPr w:rsidR="006B1AFC" w:rsidSect="00555463">
      <w:headerReference w:type="even" r:id="rId15"/>
      <w:headerReference w:type="default" r:id="rId16"/>
      <w:footerReference w:type="even" r:id="rId17"/>
      <w:footerReference w:type="default" r:id="rId18"/>
      <w:pgSz w:w="11906" w:h="16838" w:code="9"/>
      <w:pgMar w:top="1134" w:right="1134" w:bottom="1418" w:left="1134" w:header="680" w:footer="680"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6315" w14:textId="77777777" w:rsidR="00E62697" w:rsidRDefault="00E62697" w:rsidP="00E71A58">
      <w:r>
        <w:separator/>
      </w:r>
    </w:p>
  </w:endnote>
  <w:endnote w:type="continuationSeparator" w:id="0">
    <w:p w14:paraId="3C992225" w14:textId="77777777" w:rsidR="00E62697" w:rsidRDefault="00E62697"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6754" w14:textId="006763FA" w:rsidR="00763B85" w:rsidRPr="00932443" w:rsidRDefault="00763B85"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C35666">
      <w:rPr>
        <w:szCs w:val="16"/>
      </w:rPr>
      <w:t>8</w:t>
    </w:r>
    <w:r w:rsidRPr="00932443">
      <w:rPr>
        <w:szCs w:val="16"/>
      </w:rPr>
      <w:fldChar w:fldCharType="end"/>
    </w:r>
    <w:r w:rsidRPr="00932443">
      <w:rPr>
        <w:szCs w:val="16"/>
      </w:rPr>
      <w:tab/>
    </w:r>
    <w:r w:rsidR="009203C8">
      <w:rPr>
        <w:szCs w:val="16"/>
      </w:rPr>
      <w:t>1. pololetí 2026</w:t>
    </w:r>
    <w:r w:rsidR="002B4121">
      <w:rPr>
        <w:szCs w:val="16"/>
      </w:rPr>
      <w:tab/>
      <w:t>ČSÚ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FA4F" w14:textId="6FEC4AAE" w:rsidR="00763B85" w:rsidRPr="00932443" w:rsidRDefault="002B4121" w:rsidP="00A418BC">
    <w:pPr>
      <w:pStyle w:val="Zpat"/>
      <w:rPr>
        <w:szCs w:val="16"/>
      </w:rPr>
    </w:pPr>
    <w:r>
      <w:rPr>
        <w:szCs w:val="16"/>
        <w:lang w:eastAsia="cs-CZ"/>
      </w:rPr>
      <w:t>ČSÚ</w:t>
    </w:r>
    <w:r w:rsidR="00763B85" w:rsidRPr="00932443">
      <w:rPr>
        <w:szCs w:val="16"/>
      </w:rPr>
      <w:tab/>
    </w:r>
    <w:r w:rsidR="009203C8">
      <w:rPr>
        <w:szCs w:val="16"/>
      </w:rPr>
      <w:t>1. pololetí 2026</w:t>
    </w:r>
    <w:r w:rsidR="00763B85" w:rsidRPr="00932443">
      <w:rPr>
        <w:szCs w:val="16"/>
      </w:rPr>
      <w:tab/>
    </w:r>
    <w:r w:rsidR="00763B85" w:rsidRPr="00932443">
      <w:rPr>
        <w:rStyle w:val="ZpatChar"/>
        <w:szCs w:val="16"/>
      </w:rPr>
      <w:fldChar w:fldCharType="begin"/>
    </w:r>
    <w:r w:rsidR="00763B85" w:rsidRPr="00932443">
      <w:rPr>
        <w:rStyle w:val="ZpatChar"/>
        <w:szCs w:val="16"/>
      </w:rPr>
      <w:instrText>PAGE   \* MERGEFORMAT</w:instrText>
    </w:r>
    <w:r w:rsidR="00763B85" w:rsidRPr="00932443">
      <w:rPr>
        <w:rStyle w:val="ZpatChar"/>
        <w:szCs w:val="16"/>
      </w:rPr>
      <w:fldChar w:fldCharType="separate"/>
    </w:r>
    <w:r w:rsidR="00C35666">
      <w:rPr>
        <w:rStyle w:val="ZpatChar"/>
        <w:szCs w:val="16"/>
      </w:rPr>
      <w:t>3</w:t>
    </w:r>
    <w:r w:rsidR="00763B85" w:rsidRPr="00932443">
      <w:rPr>
        <w:rStyle w:val="ZpatCha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B8E3" w14:textId="77777777" w:rsidR="00E62697" w:rsidRPr="00BB2F43" w:rsidRDefault="00E62697" w:rsidP="00BB2F43">
      <w:pPr>
        <w:pStyle w:val="Zpat"/>
      </w:pPr>
      <w:r>
        <w:separator/>
      </w:r>
    </w:p>
  </w:footnote>
  <w:footnote w:type="continuationSeparator" w:id="0">
    <w:p w14:paraId="2135850E" w14:textId="77777777" w:rsidR="00E62697" w:rsidRDefault="00E62697" w:rsidP="00E71A58">
      <w:r>
        <w:continuationSeparator/>
      </w:r>
    </w:p>
  </w:footnote>
  <w:footnote w:id="1">
    <w:p w14:paraId="45FD136C" w14:textId="77777777" w:rsidR="006B1AFC" w:rsidRPr="0092251D" w:rsidRDefault="006B1AFC" w:rsidP="009324EF">
      <w:pPr>
        <w:pStyle w:val="Textpoznpodarou"/>
        <w:rPr>
          <w:sz w:val="16"/>
          <w:szCs w:val="16"/>
        </w:rPr>
      </w:pPr>
      <w:r w:rsidRPr="000348AF">
        <w:rPr>
          <w:rStyle w:val="Znakapoznpodarou"/>
          <w:sz w:val="16"/>
          <w:szCs w:val="16"/>
        </w:rPr>
        <w:footnoteRef/>
      </w:r>
      <w:r w:rsidRPr="000348AF">
        <w:rPr>
          <w:sz w:val="16"/>
          <w:szCs w:val="16"/>
        </w:rPr>
        <w:t xml:space="preserve"> Vývoj HDP, hrubé přidané hodnoty a jejich složek je vyjádřen prostřednictvím objemových indexů (tj. očištěn o vliv cen) a po očištění </w:t>
      </w:r>
      <w:r w:rsidRPr="0092251D">
        <w:rPr>
          <w:sz w:val="16"/>
          <w:szCs w:val="16"/>
        </w:rPr>
        <w:t>o sezónní a kalendářní vlivy. Údaje jsou platné k 2</w:t>
      </w:r>
      <w:r>
        <w:rPr>
          <w:sz w:val="16"/>
          <w:szCs w:val="16"/>
        </w:rPr>
        <w:t>8</w:t>
      </w:r>
      <w:r w:rsidRPr="0092251D">
        <w:rPr>
          <w:sz w:val="16"/>
          <w:szCs w:val="16"/>
        </w:rPr>
        <w:t xml:space="preserve">. </w:t>
      </w:r>
      <w:r>
        <w:rPr>
          <w:sz w:val="16"/>
          <w:szCs w:val="16"/>
        </w:rPr>
        <w:t>8</w:t>
      </w:r>
      <w:r w:rsidRPr="0092251D">
        <w:rPr>
          <w:sz w:val="16"/>
          <w:szCs w:val="16"/>
        </w:rPr>
        <w:t xml:space="preserve">. 2026. </w:t>
      </w:r>
    </w:p>
  </w:footnote>
  <w:footnote w:id="2">
    <w:p w14:paraId="18DF008F" w14:textId="77777777" w:rsidR="006B1AFC" w:rsidRDefault="006B1AFC" w:rsidP="009324EF">
      <w:pPr>
        <w:pStyle w:val="Textpoznpodarou"/>
      </w:pPr>
      <w:r w:rsidRPr="0092251D">
        <w:rPr>
          <w:rStyle w:val="Znakapoznpodarou"/>
          <w:sz w:val="16"/>
          <w:szCs w:val="16"/>
        </w:rPr>
        <w:footnoteRef/>
      </w:r>
      <w:r w:rsidRPr="0092251D">
        <w:rPr>
          <w:sz w:val="16"/>
          <w:szCs w:val="16"/>
        </w:rPr>
        <w:t xml:space="preserve"> Údaj za Lucembursko nebyl dostupný.</w:t>
      </w:r>
    </w:p>
  </w:footnote>
  <w:footnote w:id="3">
    <w:p w14:paraId="3E253E1F" w14:textId="77777777" w:rsidR="006B1AFC" w:rsidRPr="00954992" w:rsidRDefault="006B1AFC" w:rsidP="009324EF">
      <w:pPr>
        <w:pStyle w:val="Textpoznpodarou"/>
        <w:rPr>
          <w:sz w:val="16"/>
          <w:szCs w:val="16"/>
        </w:rPr>
      </w:pPr>
      <w:r w:rsidRPr="00954992">
        <w:rPr>
          <w:rStyle w:val="Znakapoznpodarou"/>
          <w:sz w:val="16"/>
          <w:szCs w:val="16"/>
        </w:rPr>
        <w:footnoteRef/>
      </w:r>
      <w:r w:rsidRPr="00954992">
        <w:rPr>
          <w:sz w:val="16"/>
          <w:szCs w:val="16"/>
        </w:rPr>
        <w:t xml:space="preserve"> Údaje o</w:t>
      </w:r>
      <w:r>
        <w:rPr>
          <w:sz w:val="16"/>
          <w:szCs w:val="16"/>
        </w:rPr>
        <w:t> </w:t>
      </w:r>
      <w:r w:rsidRPr="00954992">
        <w:rPr>
          <w:sz w:val="16"/>
          <w:szCs w:val="16"/>
        </w:rPr>
        <w:t>spotřebě dle trvanlivosti jsou v domácím pojetí</w:t>
      </w:r>
      <w:r>
        <w:rPr>
          <w:sz w:val="16"/>
          <w:szCs w:val="16"/>
        </w:rPr>
        <w:t>.</w:t>
      </w:r>
    </w:p>
  </w:footnote>
  <w:footnote w:id="4">
    <w:p w14:paraId="35CD12BD" w14:textId="77777777" w:rsidR="006B1AFC" w:rsidRPr="004831F6" w:rsidRDefault="006B1AFC" w:rsidP="009324EF">
      <w:pPr>
        <w:pStyle w:val="Textpoznpodarou"/>
        <w:rPr>
          <w:sz w:val="16"/>
          <w:szCs w:val="16"/>
        </w:rPr>
      </w:pPr>
      <w:r w:rsidRPr="004831F6">
        <w:rPr>
          <w:rStyle w:val="Znakapoznpodarou"/>
          <w:sz w:val="16"/>
          <w:szCs w:val="16"/>
        </w:rPr>
        <w:footnoteRef/>
      </w:r>
      <w:r w:rsidRPr="004831F6">
        <w:rPr>
          <w:sz w:val="16"/>
          <w:szCs w:val="16"/>
        </w:rPr>
        <w:t xml:space="preserve"> Změna zásob</w:t>
      </w:r>
      <w:r>
        <w:rPr>
          <w:sz w:val="16"/>
          <w:szCs w:val="16"/>
        </w:rPr>
        <w:t xml:space="preserve"> (v běžných cenách a sezónně neočištěná)</w:t>
      </w:r>
      <w:r w:rsidRPr="004831F6">
        <w:rPr>
          <w:sz w:val="16"/>
          <w:szCs w:val="16"/>
        </w:rPr>
        <w:t xml:space="preserve"> </w:t>
      </w:r>
      <w:r>
        <w:rPr>
          <w:sz w:val="16"/>
          <w:szCs w:val="16"/>
        </w:rPr>
        <w:t>ve 2. čtvrtletí 2026 dosáhla 17,6 mld. korun, oproti 35,5 mld. ve 2. kvartálu 2025. Podle sezónně očištěných údajů došlo ve 2. čtvrtletí k propadu hodnoty zásob.</w:t>
      </w:r>
    </w:p>
  </w:footnote>
  <w:footnote w:id="5">
    <w:p w14:paraId="15962F43" w14:textId="77777777" w:rsidR="00F3443C" w:rsidRPr="00167B30" w:rsidRDefault="00F3443C" w:rsidP="00883D4D">
      <w:pPr>
        <w:pStyle w:val="Textpoznpodarou"/>
        <w:rPr>
          <w:sz w:val="16"/>
          <w:szCs w:val="16"/>
        </w:rPr>
      </w:pPr>
      <w:r w:rsidRPr="00167B30">
        <w:rPr>
          <w:rStyle w:val="Znakapoznpodarou"/>
          <w:sz w:val="16"/>
          <w:szCs w:val="16"/>
        </w:rPr>
        <w:footnoteRef/>
      </w:r>
      <w:r w:rsidRPr="00167B30">
        <w:rPr>
          <w:sz w:val="16"/>
          <w:szCs w:val="16"/>
        </w:rPr>
        <w:t xml:space="preserve"> Podle metodiky čtvrtletních národních účtů (vývoz a</w:t>
      </w:r>
      <w:r>
        <w:rPr>
          <w:sz w:val="16"/>
          <w:szCs w:val="16"/>
        </w:rPr>
        <w:t> </w:t>
      </w:r>
      <w:r w:rsidRPr="00167B30">
        <w:rPr>
          <w:sz w:val="16"/>
          <w:szCs w:val="16"/>
        </w:rPr>
        <w:t>dovoz v ocenění FOB/FOB)</w:t>
      </w:r>
      <w:r>
        <w:rPr>
          <w:sz w:val="16"/>
          <w:szCs w:val="16"/>
        </w:rPr>
        <w:t xml:space="preserve">. Bilance zahraničního obchodu v běžných cenách </w:t>
      </w:r>
      <w:r>
        <w:rPr>
          <w:sz w:val="16"/>
          <w:szCs w:val="16"/>
        </w:rPr>
        <w:br/>
        <w:t>a po sezónním očištění.</w:t>
      </w:r>
    </w:p>
  </w:footnote>
  <w:footnote w:id="6">
    <w:p w14:paraId="27070864" w14:textId="77777777" w:rsidR="006B1AFC" w:rsidRDefault="006B1AFC" w:rsidP="009324EF">
      <w:pPr>
        <w:pStyle w:val="Textpoznpodarou"/>
      </w:pPr>
      <w:r w:rsidRPr="009C6EA8">
        <w:rPr>
          <w:rStyle w:val="Znakapoznpodarou"/>
          <w:sz w:val="16"/>
          <w:szCs w:val="16"/>
        </w:rPr>
        <w:footnoteRef/>
      </w:r>
      <w:r w:rsidRPr="009C6EA8">
        <w:rPr>
          <w:sz w:val="16"/>
          <w:szCs w:val="16"/>
        </w:rPr>
        <w:t xml:space="preserve"> </w:t>
      </w:r>
      <w:r>
        <w:rPr>
          <w:sz w:val="16"/>
          <w:szCs w:val="16"/>
        </w:rPr>
        <w:t>Zaměstnanost v</w:t>
      </w:r>
      <w:r w:rsidRPr="009C6EA8">
        <w:rPr>
          <w:sz w:val="16"/>
          <w:szCs w:val="16"/>
        </w:rPr>
        <w:t> pojetí národních účtů</w:t>
      </w:r>
      <w:r>
        <w:rPr>
          <w:sz w:val="16"/>
          <w:szCs w:val="16"/>
        </w:rPr>
        <w:t xml:space="preserve"> (osoby)</w:t>
      </w:r>
      <w:r w:rsidRPr="009C6EA8">
        <w:rPr>
          <w:sz w:val="16"/>
          <w:szCs w:val="16"/>
        </w:rPr>
        <w:t xml:space="preserve">, </w:t>
      </w:r>
      <w:r>
        <w:rPr>
          <w:sz w:val="16"/>
          <w:szCs w:val="16"/>
        </w:rPr>
        <w:t xml:space="preserve">údaj je </w:t>
      </w:r>
      <w:r w:rsidRPr="009C6EA8">
        <w:rPr>
          <w:sz w:val="16"/>
          <w:szCs w:val="16"/>
        </w:rPr>
        <w:t>sezónně očištěn</w:t>
      </w:r>
      <w:r w:rsidRPr="00004BA8">
        <w:rPr>
          <w:sz w:val="16"/>
        </w:rPr>
        <w:t>.</w:t>
      </w:r>
    </w:p>
  </w:footnote>
  <w:footnote w:id="7">
    <w:p w14:paraId="53D9AA03" w14:textId="77777777" w:rsidR="006B1AFC" w:rsidRPr="005F75B1" w:rsidRDefault="006B1AFC" w:rsidP="009324EF">
      <w:pPr>
        <w:pStyle w:val="Textpoznpodarou"/>
        <w:rPr>
          <w:sz w:val="16"/>
          <w:szCs w:val="16"/>
        </w:rPr>
      </w:pPr>
      <w:r w:rsidRPr="005F75B1">
        <w:rPr>
          <w:rStyle w:val="Znakapoznpodarou"/>
          <w:sz w:val="16"/>
          <w:szCs w:val="16"/>
        </w:rPr>
        <w:footnoteRef/>
      </w:r>
      <w:r w:rsidRPr="005F75B1">
        <w:rPr>
          <w:sz w:val="16"/>
          <w:szCs w:val="16"/>
        </w:rPr>
        <w:t xml:space="preserve"> Do reálného vyjádření převedeno s pomocí deflátoru spotřeby domácností.</w:t>
      </w:r>
    </w:p>
  </w:footnote>
  <w:footnote w:id="8">
    <w:p w14:paraId="605C0C14" w14:textId="77777777" w:rsidR="006B1AFC" w:rsidRPr="0053191D" w:rsidRDefault="006B1AFC" w:rsidP="009324EF">
      <w:pPr>
        <w:pStyle w:val="Textpoznpodarou"/>
        <w:rPr>
          <w:sz w:val="16"/>
          <w:szCs w:val="16"/>
        </w:rPr>
      </w:pPr>
      <w:r w:rsidRPr="0053191D">
        <w:rPr>
          <w:rStyle w:val="Znakapoznpodarou"/>
          <w:sz w:val="16"/>
          <w:szCs w:val="16"/>
        </w:rPr>
        <w:footnoteRef/>
      </w:r>
      <w:r w:rsidRPr="0053191D">
        <w:rPr>
          <w:sz w:val="16"/>
          <w:szCs w:val="16"/>
        </w:rPr>
        <w:t xml:space="preserve"> Tato sekce zahrnuje činnosti organizací sdružujících osoby za účelem prosazování společných zájmů, opravy počítačů a výrobků pro osobní potřebu a převážně pro domácnost a řadu jiných osobních služeb</w:t>
      </w:r>
      <w:r>
        <w:rPr>
          <w:sz w:val="16"/>
          <w:szCs w:val="16"/>
        </w:rPr>
        <w:t xml:space="preserve"> (kosmetické, kadeřnické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9EBB" w14:textId="77777777" w:rsidR="00763B85" w:rsidRPr="006F5416" w:rsidRDefault="00763B85" w:rsidP="00937AE2">
    <w:pPr>
      <w:pStyle w:val="Zhlav"/>
    </w:pPr>
    <w:r w:rsidRPr="006F5416">
      <w:t>Název publikace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A682" w14:textId="77777777" w:rsidR="00763B85" w:rsidRPr="006F5416" w:rsidRDefault="00763B85" w:rsidP="00937AE2">
    <w:pPr>
      <w:pStyle w:val="Zhlav"/>
    </w:pPr>
    <w:r w:rsidRPr="006F5416">
      <w:t>Název publikace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C5946"/>
    <w:multiLevelType w:val="hybridMultilevel"/>
    <w:tmpl w:val="4C1C2D78"/>
    <w:lvl w:ilvl="0" w:tplc="B01A56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5764B"/>
    <w:multiLevelType w:val="hybridMultilevel"/>
    <w:tmpl w:val="84788BC8"/>
    <w:lvl w:ilvl="0" w:tplc="1B96A2C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9D55121"/>
    <w:multiLevelType w:val="hybridMultilevel"/>
    <w:tmpl w:val="338E27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D361065"/>
    <w:multiLevelType w:val="hybridMultilevel"/>
    <w:tmpl w:val="991072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0E145AAD"/>
    <w:multiLevelType w:val="hybridMultilevel"/>
    <w:tmpl w:val="963044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B35353"/>
    <w:multiLevelType w:val="multilevel"/>
    <w:tmpl w:val="1C0E9EAE"/>
    <w:name w:val="Analyza"/>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pStyle w:val="Nadpis5"/>
      <w:suff w:val="space"/>
      <w:lvlText w:val="%1.%2.%3.%4.%5"/>
      <w:lvlJc w:val="left"/>
      <w:pPr>
        <w:ind w:left="1008" w:hanging="1008"/>
      </w:pPr>
      <w:rPr>
        <w:rFonts w:hint="default"/>
      </w:rPr>
    </w:lvl>
    <w:lvl w:ilvl="5">
      <w:start w:val="1"/>
      <w:numFmt w:val="decimal"/>
      <w:pStyle w:val="Nadpis6"/>
      <w:suff w:val="space"/>
      <w:lvlText w:val="%1.%2.%3.%4.%5.%6"/>
      <w:lvlJc w:val="left"/>
      <w:pPr>
        <w:ind w:left="1152" w:hanging="1152"/>
      </w:pPr>
      <w:rPr>
        <w:rFonts w:hint="default"/>
      </w:rPr>
    </w:lvl>
    <w:lvl w:ilvl="6">
      <w:start w:val="1"/>
      <w:numFmt w:val="decimal"/>
      <w:pStyle w:val="Nadpis7"/>
      <w:suff w:val="space"/>
      <w:lvlText w:val="%1.%2.%3.%4.%5.%6.%7"/>
      <w:lvlJc w:val="left"/>
      <w:pPr>
        <w:ind w:left="1296" w:hanging="1296"/>
      </w:pPr>
      <w:rPr>
        <w:rFonts w:hint="default"/>
      </w:rPr>
    </w:lvl>
    <w:lvl w:ilvl="7">
      <w:start w:val="1"/>
      <w:numFmt w:val="decimal"/>
      <w:pStyle w:val="Nadpis8"/>
      <w:suff w:val="space"/>
      <w:lvlText w:val="%1.%2.%3.%4.%5.%6.%7.%8"/>
      <w:lvlJc w:val="left"/>
      <w:pPr>
        <w:ind w:left="1440" w:hanging="1440"/>
      </w:pPr>
      <w:rPr>
        <w:rFonts w:hint="default"/>
      </w:rPr>
    </w:lvl>
    <w:lvl w:ilvl="8">
      <w:start w:val="1"/>
      <w:numFmt w:val="decimal"/>
      <w:pStyle w:val="Nadpis9"/>
      <w:suff w:val="space"/>
      <w:lvlText w:val="%1.%2.%3.%4.%5.%6.%7.%8.%9"/>
      <w:lvlJc w:val="left"/>
      <w:pPr>
        <w:ind w:left="1584" w:hanging="1584"/>
      </w:pPr>
      <w:rPr>
        <w:rFonts w:hint="default"/>
      </w:rPr>
    </w:lvl>
  </w:abstractNum>
  <w:abstractNum w:abstractNumId="16" w15:restartNumberingAfterBreak="0">
    <w:nsid w:val="1E462C8E"/>
    <w:multiLevelType w:val="hybridMultilevel"/>
    <w:tmpl w:val="84B464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C64F20"/>
    <w:multiLevelType w:val="hybridMultilevel"/>
    <w:tmpl w:val="ADE25A6C"/>
    <w:lvl w:ilvl="0" w:tplc="04050001">
      <w:start w:val="1"/>
      <w:numFmt w:val="bullet"/>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352333"/>
    <w:multiLevelType w:val="multilevel"/>
    <w:tmpl w:val="D0ACFA4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8DA62F8"/>
    <w:multiLevelType w:val="hybridMultilevel"/>
    <w:tmpl w:val="419C87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5A7A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2420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106E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11355C0"/>
    <w:multiLevelType w:val="multilevel"/>
    <w:tmpl w:val="697E8B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9914012"/>
    <w:multiLevelType w:val="multilevel"/>
    <w:tmpl w:val="F380F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C7C1667"/>
    <w:multiLevelType w:val="hybridMultilevel"/>
    <w:tmpl w:val="735E7570"/>
    <w:lvl w:ilvl="0" w:tplc="5588AF8E">
      <w:start w:val="1"/>
      <w:numFmt w:val="decimal"/>
      <w:lvlText w:val="%1."/>
      <w:lvlJc w:val="left"/>
      <w:pPr>
        <w:ind w:left="4800" w:hanging="360"/>
      </w:pPr>
      <w:rPr>
        <w:rFonts w:hint="default"/>
      </w:rPr>
    </w:lvl>
    <w:lvl w:ilvl="1" w:tplc="04050019" w:tentative="1">
      <w:start w:val="1"/>
      <w:numFmt w:val="lowerLetter"/>
      <w:lvlText w:val="%2."/>
      <w:lvlJc w:val="left"/>
      <w:pPr>
        <w:ind w:left="5520" w:hanging="360"/>
      </w:pPr>
    </w:lvl>
    <w:lvl w:ilvl="2" w:tplc="0405001B" w:tentative="1">
      <w:start w:val="1"/>
      <w:numFmt w:val="lowerRoman"/>
      <w:lvlText w:val="%3."/>
      <w:lvlJc w:val="right"/>
      <w:pPr>
        <w:ind w:left="6240" w:hanging="180"/>
      </w:pPr>
    </w:lvl>
    <w:lvl w:ilvl="3" w:tplc="0405000F" w:tentative="1">
      <w:start w:val="1"/>
      <w:numFmt w:val="decimal"/>
      <w:lvlText w:val="%4."/>
      <w:lvlJc w:val="left"/>
      <w:pPr>
        <w:ind w:left="6960" w:hanging="360"/>
      </w:pPr>
    </w:lvl>
    <w:lvl w:ilvl="4" w:tplc="04050019" w:tentative="1">
      <w:start w:val="1"/>
      <w:numFmt w:val="lowerLetter"/>
      <w:lvlText w:val="%5."/>
      <w:lvlJc w:val="left"/>
      <w:pPr>
        <w:ind w:left="7680" w:hanging="360"/>
      </w:pPr>
    </w:lvl>
    <w:lvl w:ilvl="5" w:tplc="0405001B" w:tentative="1">
      <w:start w:val="1"/>
      <w:numFmt w:val="lowerRoman"/>
      <w:lvlText w:val="%6."/>
      <w:lvlJc w:val="right"/>
      <w:pPr>
        <w:ind w:left="8400" w:hanging="180"/>
      </w:pPr>
    </w:lvl>
    <w:lvl w:ilvl="6" w:tplc="0405000F" w:tentative="1">
      <w:start w:val="1"/>
      <w:numFmt w:val="decimal"/>
      <w:lvlText w:val="%7."/>
      <w:lvlJc w:val="left"/>
      <w:pPr>
        <w:ind w:left="9120" w:hanging="360"/>
      </w:pPr>
    </w:lvl>
    <w:lvl w:ilvl="7" w:tplc="04050019" w:tentative="1">
      <w:start w:val="1"/>
      <w:numFmt w:val="lowerLetter"/>
      <w:lvlText w:val="%8."/>
      <w:lvlJc w:val="left"/>
      <w:pPr>
        <w:ind w:left="9840" w:hanging="360"/>
      </w:pPr>
    </w:lvl>
    <w:lvl w:ilvl="8" w:tplc="0405001B" w:tentative="1">
      <w:start w:val="1"/>
      <w:numFmt w:val="lowerRoman"/>
      <w:lvlText w:val="%9."/>
      <w:lvlJc w:val="right"/>
      <w:pPr>
        <w:ind w:left="10560" w:hanging="180"/>
      </w:pPr>
    </w:lvl>
  </w:abstractNum>
  <w:abstractNum w:abstractNumId="27" w15:restartNumberingAfterBreak="0">
    <w:nsid w:val="3D4D0562"/>
    <w:multiLevelType w:val="hybridMultilevel"/>
    <w:tmpl w:val="E8A8F2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BB1D16"/>
    <w:multiLevelType w:val="hybridMultilevel"/>
    <w:tmpl w:val="CA4409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4558D6"/>
    <w:multiLevelType w:val="hybridMultilevel"/>
    <w:tmpl w:val="1B90B8E0"/>
    <w:lvl w:ilvl="0" w:tplc="4B66ED1E">
      <w:start w:val="1"/>
      <w:numFmt w:val="decimal"/>
      <w:lvlText w:val="%1."/>
      <w:lvlJc w:val="left"/>
      <w:pPr>
        <w:ind w:left="4905" w:hanging="360"/>
      </w:pPr>
      <w:rPr>
        <w:rFonts w:hint="default"/>
      </w:rPr>
    </w:lvl>
    <w:lvl w:ilvl="1" w:tplc="04050019" w:tentative="1">
      <w:start w:val="1"/>
      <w:numFmt w:val="lowerLetter"/>
      <w:lvlText w:val="%2."/>
      <w:lvlJc w:val="left"/>
      <w:pPr>
        <w:ind w:left="5625" w:hanging="360"/>
      </w:pPr>
    </w:lvl>
    <w:lvl w:ilvl="2" w:tplc="0405001B" w:tentative="1">
      <w:start w:val="1"/>
      <w:numFmt w:val="lowerRoman"/>
      <w:lvlText w:val="%3."/>
      <w:lvlJc w:val="right"/>
      <w:pPr>
        <w:ind w:left="6345" w:hanging="180"/>
      </w:pPr>
    </w:lvl>
    <w:lvl w:ilvl="3" w:tplc="0405000F" w:tentative="1">
      <w:start w:val="1"/>
      <w:numFmt w:val="decimal"/>
      <w:lvlText w:val="%4."/>
      <w:lvlJc w:val="left"/>
      <w:pPr>
        <w:ind w:left="7065" w:hanging="360"/>
      </w:pPr>
    </w:lvl>
    <w:lvl w:ilvl="4" w:tplc="04050019" w:tentative="1">
      <w:start w:val="1"/>
      <w:numFmt w:val="lowerLetter"/>
      <w:lvlText w:val="%5."/>
      <w:lvlJc w:val="left"/>
      <w:pPr>
        <w:ind w:left="7785" w:hanging="360"/>
      </w:pPr>
    </w:lvl>
    <w:lvl w:ilvl="5" w:tplc="0405001B" w:tentative="1">
      <w:start w:val="1"/>
      <w:numFmt w:val="lowerRoman"/>
      <w:lvlText w:val="%6."/>
      <w:lvlJc w:val="right"/>
      <w:pPr>
        <w:ind w:left="8505" w:hanging="180"/>
      </w:pPr>
    </w:lvl>
    <w:lvl w:ilvl="6" w:tplc="0405000F" w:tentative="1">
      <w:start w:val="1"/>
      <w:numFmt w:val="decimal"/>
      <w:lvlText w:val="%7."/>
      <w:lvlJc w:val="left"/>
      <w:pPr>
        <w:ind w:left="9225" w:hanging="360"/>
      </w:pPr>
    </w:lvl>
    <w:lvl w:ilvl="7" w:tplc="04050019" w:tentative="1">
      <w:start w:val="1"/>
      <w:numFmt w:val="lowerLetter"/>
      <w:lvlText w:val="%8."/>
      <w:lvlJc w:val="left"/>
      <w:pPr>
        <w:ind w:left="9945" w:hanging="360"/>
      </w:pPr>
    </w:lvl>
    <w:lvl w:ilvl="8" w:tplc="0405001B" w:tentative="1">
      <w:start w:val="1"/>
      <w:numFmt w:val="lowerRoman"/>
      <w:lvlText w:val="%9."/>
      <w:lvlJc w:val="right"/>
      <w:pPr>
        <w:ind w:left="10665" w:hanging="180"/>
      </w:pPr>
    </w:lvl>
  </w:abstractNum>
  <w:abstractNum w:abstractNumId="30" w15:restartNumberingAfterBreak="0">
    <w:nsid w:val="479678F7"/>
    <w:multiLevelType w:val="hybridMultilevel"/>
    <w:tmpl w:val="A4DE7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5051A8"/>
    <w:multiLevelType w:val="hybridMultilevel"/>
    <w:tmpl w:val="DEACEA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DA4287"/>
    <w:multiLevelType w:val="multilevel"/>
    <w:tmpl w:val="1C0E9EA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4"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E490F3B"/>
    <w:multiLevelType w:val="hybridMultilevel"/>
    <w:tmpl w:val="D64CB604"/>
    <w:lvl w:ilvl="0" w:tplc="67AC8A1C">
      <w:start w:val="1"/>
      <w:numFmt w:val="bullet"/>
      <w:lvlText w:val=""/>
      <w:lvlJc w:val="left"/>
      <w:pPr>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655F88"/>
    <w:multiLevelType w:val="hybridMultilevel"/>
    <w:tmpl w:val="70283F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38567A6"/>
    <w:multiLevelType w:val="hybridMultilevel"/>
    <w:tmpl w:val="50E0F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8CB210F"/>
    <w:multiLevelType w:val="multilevel"/>
    <w:tmpl w:val="D64CB604"/>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CD405E1"/>
    <w:multiLevelType w:val="multilevel"/>
    <w:tmpl w:val="5FCA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EF3AA7"/>
    <w:multiLevelType w:val="multilevel"/>
    <w:tmpl w:val="909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B048D2"/>
    <w:multiLevelType w:val="hybridMultilevel"/>
    <w:tmpl w:val="D2A0FC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235D04"/>
    <w:multiLevelType w:val="hybridMultilevel"/>
    <w:tmpl w:val="26840E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7747AF"/>
    <w:multiLevelType w:val="hybridMultilevel"/>
    <w:tmpl w:val="76204D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B651B2D"/>
    <w:multiLevelType w:val="hybridMultilevel"/>
    <w:tmpl w:val="4C1C2D78"/>
    <w:lvl w:ilvl="0" w:tplc="B01A5632">
      <w:start w:val="1"/>
      <w:numFmt w:val="bullet"/>
      <w:pStyle w:val="Normalodrk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A7946"/>
    <w:multiLevelType w:val="multilevel"/>
    <w:tmpl w:val="6F3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8E301A"/>
    <w:multiLevelType w:val="hybridMultilevel"/>
    <w:tmpl w:val="1A92D79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00647203">
    <w:abstractNumId w:val="31"/>
  </w:num>
  <w:num w:numId="2" w16cid:durableId="2108306025">
    <w:abstractNumId w:val="8"/>
  </w:num>
  <w:num w:numId="3" w16cid:durableId="1851791032">
    <w:abstractNumId w:val="3"/>
  </w:num>
  <w:num w:numId="4" w16cid:durableId="1418281433">
    <w:abstractNumId w:val="2"/>
  </w:num>
  <w:num w:numId="5" w16cid:durableId="1057360773">
    <w:abstractNumId w:val="1"/>
  </w:num>
  <w:num w:numId="6" w16cid:durableId="917859753">
    <w:abstractNumId w:val="0"/>
  </w:num>
  <w:num w:numId="7" w16cid:durableId="1884097028">
    <w:abstractNumId w:val="9"/>
  </w:num>
  <w:num w:numId="8" w16cid:durableId="824902319">
    <w:abstractNumId w:val="7"/>
  </w:num>
  <w:num w:numId="9" w16cid:durableId="1803766138">
    <w:abstractNumId w:val="6"/>
  </w:num>
  <w:num w:numId="10" w16cid:durableId="566259340">
    <w:abstractNumId w:val="5"/>
  </w:num>
  <w:num w:numId="11" w16cid:durableId="52774508">
    <w:abstractNumId w:val="4"/>
  </w:num>
  <w:num w:numId="12" w16cid:durableId="1533685237">
    <w:abstractNumId w:val="18"/>
  </w:num>
  <w:num w:numId="13" w16cid:durableId="195428688">
    <w:abstractNumId w:val="34"/>
  </w:num>
  <w:num w:numId="14" w16cid:durableId="1684941278">
    <w:abstractNumId w:val="15"/>
  </w:num>
  <w:num w:numId="15" w16cid:durableId="1238784906">
    <w:abstractNumId w:val="24"/>
  </w:num>
  <w:num w:numId="16" w16cid:durableId="2045134713">
    <w:abstractNumId w:val="19"/>
  </w:num>
  <w:num w:numId="17" w16cid:durableId="1458451516">
    <w:abstractNumId w:val="35"/>
  </w:num>
  <w:num w:numId="18" w16cid:durableId="849877926">
    <w:abstractNumId w:val="25"/>
  </w:num>
  <w:num w:numId="19" w16cid:durableId="1118066606">
    <w:abstractNumId w:val="38"/>
  </w:num>
  <w:num w:numId="20" w16cid:durableId="508564300">
    <w:abstractNumId w:val="44"/>
  </w:num>
  <w:num w:numId="21" w16cid:durableId="316148911">
    <w:abstractNumId w:val="33"/>
  </w:num>
  <w:num w:numId="22" w16cid:durableId="360010707">
    <w:abstractNumId w:val="23"/>
  </w:num>
  <w:num w:numId="23" w16cid:durableId="999309269">
    <w:abstractNumId w:val="21"/>
  </w:num>
  <w:num w:numId="24" w16cid:durableId="1194266313">
    <w:abstractNumId w:val="22"/>
  </w:num>
  <w:num w:numId="25" w16cid:durableId="1815366340">
    <w:abstractNumId w:val="41"/>
  </w:num>
  <w:num w:numId="26" w16cid:durableId="1577863405">
    <w:abstractNumId w:val="43"/>
  </w:num>
  <w:num w:numId="27" w16cid:durableId="1207061094">
    <w:abstractNumId w:val="13"/>
  </w:num>
  <w:num w:numId="28" w16cid:durableId="1693920833">
    <w:abstractNumId w:val="27"/>
  </w:num>
  <w:num w:numId="29" w16cid:durableId="1876775477">
    <w:abstractNumId w:val="26"/>
  </w:num>
  <w:num w:numId="30" w16cid:durableId="179972127">
    <w:abstractNumId w:val="10"/>
  </w:num>
  <w:num w:numId="31" w16cid:durableId="970136012">
    <w:abstractNumId w:val="28"/>
  </w:num>
  <w:num w:numId="32" w16cid:durableId="1617836376">
    <w:abstractNumId w:val="12"/>
  </w:num>
  <w:num w:numId="33" w16cid:durableId="357007340">
    <w:abstractNumId w:val="46"/>
  </w:num>
  <w:num w:numId="34" w16cid:durableId="2131776467">
    <w:abstractNumId w:val="11"/>
  </w:num>
  <w:num w:numId="35" w16cid:durableId="1776095800">
    <w:abstractNumId w:val="37"/>
  </w:num>
  <w:num w:numId="36" w16cid:durableId="862209000">
    <w:abstractNumId w:val="30"/>
  </w:num>
  <w:num w:numId="37" w16cid:durableId="322010878">
    <w:abstractNumId w:val="29"/>
  </w:num>
  <w:num w:numId="38" w16cid:durableId="1458373311">
    <w:abstractNumId w:val="39"/>
  </w:num>
  <w:num w:numId="39" w16cid:durableId="288441997">
    <w:abstractNumId w:val="45"/>
  </w:num>
  <w:num w:numId="40" w16cid:durableId="952595072">
    <w:abstractNumId w:val="40"/>
  </w:num>
  <w:num w:numId="41" w16cid:durableId="1427652868">
    <w:abstractNumId w:val="32"/>
  </w:num>
  <w:num w:numId="42" w16cid:durableId="1024401835">
    <w:abstractNumId w:val="20"/>
  </w:num>
  <w:num w:numId="43" w16cid:durableId="428089243">
    <w:abstractNumId w:val="14"/>
  </w:num>
  <w:num w:numId="44" w16cid:durableId="82647767">
    <w:abstractNumId w:val="36"/>
  </w:num>
  <w:num w:numId="45" w16cid:durableId="215163427">
    <w:abstractNumId w:val="16"/>
  </w:num>
  <w:num w:numId="46" w16cid:durableId="1639922006">
    <w:abstractNumId w:val="44"/>
    <w:lvlOverride w:ilvl="0">
      <w:startOverride w:val="1"/>
    </w:lvlOverride>
  </w:num>
  <w:num w:numId="47" w16cid:durableId="1509101590">
    <w:abstractNumId w:val="17"/>
  </w:num>
  <w:num w:numId="48" w16cid:durableId="14816520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1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43"/>
    <w:rsid w:val="0000209D"/>
    <w:rsid w:val="00004D5A"/>
    <w:rsid w:val="000056D5"/>
    <w:rsid w:val="00006ABD"/>
    <w:rsid w:val="0000767A"/>
    <w:rsid w:val="00010256"/>
    <w:rsid w:val="00010702"/>
    <w:rsid w:val="00011912"/>
    <w:rsid w:val="00015E7C"/>
    <w:rsid w:val="0002195D"/>
    <w:rsid w:val="000234D6"/>
    <w:rsid w:val="00023D29"/>
    <w:rsid w:val="00026389"/>
    <w:rsid w:val="00031AE0"/>
    <w:rsid w:val="000322EF"/>
    <w:rsid w:val="00033FCD"/>
    <w:rsid w:val="00036F4B"/>
    <w:rsid w:val="00040D10"/>
    <w:rsid w:val="00041CEC"/>
    <w:rsid w:val="0004694F"/>
    <w:rsid w:val="000522E4"/>
    <w:rsid w:val="000610E1"/>
    <w:rsid w:val="00062EC5"/>
    <w:rsid w:val="00062F22"/>
    <w:rsid w:val="000712B3"/>
    <w:rsid w:val="0008263E"/>
    <w:rsid w:val="00082C19"/>
    <w:rsid w:val="00085395"/>
    <w:rsid w:val="00087634"/>
    <w:rsid w:val="00087F2B"/>
    <w:rsid w:val="00092231"/>
    <w:rsid w:val="00095135"/>
    <w:rsid w:val="000974D1"/>
    <w:rsid w:val="0009799E"/>
    <w:rsid w:val="000A1183"/>
    <w:rsid w:val="000A256D"/>
    <w:rsid w:val="000A3A2C"/>
    <w:rsid w:val="000A57D4"/>
    <w:rsid w:val="000B7FD1"/>
    <w:rsid w:val="000C3408"/>
    <w:rsid w:val="000C6AFD"/>
    <w:rsid w:val="000D3ACB"/>
    <w:rsid w:val="000D5637"/>
    <w:rsid w:val="000E6FBD"/>
    <w:rsid w:val="00100F5C"/>
    <w:rsid w:val="00101CDA"/>
    <w:rsid w:val="00104C4C"/>
    <w:rsid w:val="001062D9"/>
    <w:rsid w:val="00117623"/>
    <w:rsid w:val="0012192F"/>
    <w:rsid w:val="00125D69"/>
    <w:rsid w:val="0013332E"/>
    <w:rsid w:val="001405FA"/>
    <w:rsid w:val="001425C3"/>
    <w:rsid w:val="001476BD"/>
    <w:rsid w:val="001612F4"/>
    <w:rsid w:val="0016256B"/>
    <w:rsid w:val="00163793"/>
    <w:rsid w:val="001706D6"/>
    <w:rsid w:val="001714F2"/>
    <w:rsid w:val="00175B9F"/>
    <w:rsid w:val="00181BBC"/>
    <w:rsid w:val="00184B08"/>
    <w:rsid w:val="00185010"/>
    <w:rsid w:val="0019143B"/>
    <w:rsid w:val="001A0487"/>
    <w:rsid w:val="001A552F"/>
    <w:rsid w:val="001B2CA9"/>
    <w:rsid w:val="001B3110"/>
    <w:rsid w:val="001B4729"/>
    <w:rsid w:val="001B6310"/>
    <w:rsid w:val="001B6C09"/>
    <w:rsid w:val="001C05CD"/>
    <w:rsid w:val="001D48D4"/>
    <w:rsid w:val="001D68B2"/>
    <w:rsid w:val="001E504C"/>
    <w:rsid w:val="001E5803"/>
    <w:rsid w:val="001E6062"/>
    <w:rsid w:val="001F4597"/>
    <w:rsid w:val="00203DA4"/>
    <w:rsid w:val="002118B9"/>
    <w:rsid w:val="00214CF7"/>
    <w:rsid w:val="00217C5B"/>
    <w:rsid w:val="0022139E"/>
    <w:rsid w:val="00222729"/>
    <w:rsid w:val="002252E0"/>
    <w:rsid w:val="002255F6"/>
    <w:rsid w:val="00227850"/>
    <w:rsid w:val="00227A53"/>
    <w:rsid w:val="00230C6E"/>
    <w:rsid w:val="00236443"/>
    <w:rsid w:val="00241B06"/>
    <w:rsid w:val="002436BA"/>
    <w:rsid w:val="00244A15"/>
    <w:rsid w:val="00247319"/>
    <w:rsid w:val="0024799E"/>
    <w:rsid w:val="00253C0F"/>
    <w:rsid w:val="002558C1"/>
    <w:rsid w:val="00271465"/>
    <w:rsid w:val="00285412"/>
    <w:rsid w:val="00291640"/>
    <w:rsid w:val="002A16D4"/>
    <w:rsid w:val="002A230C"/>
    <w:rsid w:val="002A2B09"/>
    <w:rsid w:val="002B2299"/>
    <w:rsid w:val="002B4121"/>
    <w:rsid w:val="002B4845"/>
    <w:rsid w:val="002C43BD"/>
    <w:rsid w:val="002D0E59"/>
    <w:rsid w:val="002E02A1"/>
    <w:rsid w:val="002E42AC"/>
    <w:rsid w:val="002E4E4C"/>
    <w:rsid w:val="00302ADD"/>
    <w:rsid w:val="00304771"/>
    <w:rsid w:val="003052D4"/>
    <w:rsid w:val="00306C5B"/>
    <w:rsid w:val="003166B7"/>
    <w:rsid w:val="003209D6"/>
    <w:rsid w:val="00321924"/>
    <w:rsid w:val="0032656E"/>
    <w:rsid w:val="00332190"/>
    <w:rsid w:val="0034335E"/>
    <w:rsid w:val="00344668"/>
    <w:rsid w:val="003462D9"/>
    <w:rsid w:val="0036073B"/>
    <w:rsid w:val="00360C86"/>
    <w:rsid w:val="00360FBC"/>
    <w:rsid w:val="00362E90"/>
    <w:rsid w:val="00364FA0"/>
    <w:rsid w:val="003657F3"/>
    <w:rsid w:val="00366728"/>
    <w:rsid w:val="003818DC"/>
    <w:rsid w:val="00384327"/>
    <w:rsid w:val="00385D98"/>
    <w:rsid w:val="003A2B4D"/>
    <w:rsid w:val="003A2D12"/>
    <w:rsid w:val="003A478C"/>
    <w:rsid w:val="003A5525"/>
    <w:rsid w:val="003A6B38"/>
    <w:rsid w:val="003B2D3D"/>
    <w:rsid w:val="003B461F"/>
    <w:rsid w:val="003B5A32"/>
    <w:rsid w:val="003C3490"/>
    <w:rsid w:val="003C7E62"/>
    <w:rsid w:val="003D6920"/>
    <w:rsid w:val="003E4C91"/>
    <w:rsid w:val="003F313C"/>
    <w:rsid w:val="003F37FC"/>
    <w:rsid w:val="003F4B2C"/>
    <w:rsid w:val="003F551C"/>
    <w:rsid w:val="003F72ED"/>
    <w:rsid w:val="003F7D23"/>
    <w:rsid w:val="00407C13"/>
    <w:rsid w:val="0041041D"/>
    <w:rsid w:val="00410638"/>
    <w:rsid w:val="0041501E"/>
    <w:rsid w:val="004150B9"/>
    <w:rsid w:val="004159C3"/>
    <w:rsid w:val="00432A58"/>
    <w:rsid w:val="00434617"/>
    <w:rsid w:val="00440900"/>
    <w:rsid w:val="00441BF6"/>
    <w:rsid w:val="004441A0"/>
    <w:rsid w:val="004455BA"/>
    <w:rsid w:val="0045078A"/>
    <w:rsid w:val="0045086D"/>
    <w:rsid w:val="00451504"/>
    <w:rsid w:val="00460FB3"/>
    <w:rsid w:val="00476240"/>
    <w:rsid w:val="00476439"/>
    <w:rsid w:val="0047735C"/>
    <w:rsid w:val="004776BC"/>
    <w:rsid w:val="0048139F"/>
    <w:rsid w:val="00481E40"/>
    <w:rsid w:val="00484ECE"/>
    <w:rsid w:val="004915CB"/>
    <w:rsid w:val="004924DC"/>
    <w:rsid w:val="004A03CF"/>
    <w:rsid w:val="004A14E4"/>
    <w:rsid w:val="004A3212"/>
    <w:rsid w:val="004A4A88"/>
    <w:rsid w:val="004A5494"/>
    <w:rsid w:val="004A61C5"/>
    <w:rsid w:val="004A77DF"/>
    <w:rsid w:val="004B1417"/>
    <w:rsid w:val="004B55B7"/>
    <w:rsid w:val="004B6468"/>
    <w:rsid w:val="004B7125"/>
    <w:rsid w:val="004C384C"/>
    <w:rsid w:val="004C3867"/>
    <w:rsid w:val="004C4CD0"/>
    <w:rsid w:val="004C70DC"/>
    <w:rsid w:val="004D0211"/>
    <w:rsid w:val="004D0794"/>
    <w:rsid w:val="004F06F5"/>
    <w:rsid w:val="004F33A0"/>
    <w:rsid w:val="0050689D"/>
    <w:rsid w:val="005108C0"/>
    <w:rsid w:val="00511873"/>
    <w:rsid w:val="00512A2F"/>
    <w:rsid w:val="00513B7E"/>
    <w:rsid w:val="00515C74"/>
    <w:rsid w:val="0052007E"/>
    <w:rsid w:val="0052337A"/>
    <w:rsid w:val="00525137"/>
    <w:rsid w:val="005251DD"/>
    <w:rsid w:val="00532CE7"/>
    <w:rsid w:val="0053324C"/>
    <w:rsid w:val="00534A28"/>
    <w:rsid w:val="00541508"/>
    <w:rsid w:val="00543498"/>
    <w:rsid w:val="00555463"/>
    <w:rsid w:val="0055599F"/>
    <w:rsid w:val="00556D68"/>
    <w:rsid w:val="00563EB8"/>
    <w:rsid w:val="005647BF"/>
    <w:rsid w:val="00564AF1"/>
    <w:rsid w:val="005659B4"/>
    <w:rsid w:val="00572FB1"/>
    <w:rsid w:val="0057364B"/>
    <w:rsid w:val="00574773"/>
    <w:rsid w:val="00583FFD"/>
    <w:rsid w:val="005911BE"/>
    <w:rsid w:val="00593152"/>
    <w:rsid w:val="005A10F2"/>
    <w:rsid w:val="005A21E0"/>
    <w:rsid w:val="005A28FF"/>
    <w:rsid w:val="005A3DF8"/>
    <w:rsid w:val="005A5549"/>
    <w:rsid w:val="005B121D"/>
    <w:rsid w:val="005B6459"/>
    <w:rsid w:val="005C06ED"/>
    <w:rsid w:val="005C2609"/>
    <w:rsid w:val="005D5802"/>
    <w:rsid w:val="005D7119"/>
    <w:rsid w:val="005D7890"/>
    <w:rsid w:val="005E7C78"/>
    <w:rsid w:val="005F18C5"/>
    <w:rsid w:val="005F3EB1"/>
    <w:rsid w:val="005F46D8"/>
    <w:rsid w:val="005F5469"/>
    <w:rsid w:val="00604307"/>
    <w:rsid w:val="0060487F"/>
    <w:rsid w:val="00604EAD"/>
    <w:rsid w:val="006104FB"/>
    <w:rsid w:val="00612A2F"/>
    <w:rsid w:val="00616E05"/>
    <w:rsid w:val="00624093"/>
    <w:rsid w:val="006350D5"/>
    <w:rsid w:val="00635B43"/>
    <w:rsid w:val="006404A7"/>
    <w:rsid w:val="006451E4"/>
    <w:rsid w:val="00645B33"/>
    <w:rsid w:val="00650942"/>
    <w:rsid w:val="006516CB"/>
    <w:rsid w:val="00656FC8"/>
    <w:rsid w:val="00657E87"/>
    <w:rsid w:val="00664803"/>
    <w:rsid w:val="00665BA4"/>
    <w:rsid w:val="00667AF2"/>
    <w:rsid w:val="006710C9"/>
    <w:rsid w:val="006741AC"/>
    <w:rsid w:val="00674D89"/>
    <w:rsid w:val="00675E37"/>
    <w:rsid w:val="0068174E"/>
    <w:rsid w:val="00681DCE"/>
    <w:rsid w:val="0068260E"/>
    <w:rsid w:val="00683398"/>
    <w:rsid w:val="00695BEF"/>
    <w:rsid w:val="006977F6"/>
    <w:rsid w:val="00697A13"/>
    <w:rsid w:val="006A109C"/>
    <w:rsid w:val="006B0F92"/>
    <w:rsid w:val="006B1AFC"/>
    <w:rsid w:val="006B344A"/>
    <w:rsid w:val="006B78D8"/>
    <w:rsid w:val="006C113F"/>
    <w:rsid w:val="006C123E"/>
    <w:rsid w:val="006C1752"/>
    <w:rsid w:val="006C56D4"/>
    <w:rsid w:val="006C6924"/>
    <w:rsid w:val="006C7CA6"/>
    <w:rsid w:val="006D3E8A"/>
    <w:rsid w:val="006D61F6"/>
    <w:rsid w:val="006E279A"/>
    <w:rsid w:val="006E313B"/>
    <w:rsid w:val="006E7227"/>
    <w:rsid w:val="006F438E"/>
    <w:rsid w:val="006F5416"/>
    <w:rsid w:val="00705242"/>
    <w:rsid w:val="00706AD4"/>
    <w:rsid w:val="00707150"/>
    <w:rsid w:val="007140BE"/>
    <w:rsid w:val="007211F5"/>
    <w:rsid w:val="00723946"/>
    <w:rsid w:val="007240E2"/>
    <w:rsid w:val="00725BB5"/>
    <w:rsid w:val="00730AE8"/>
    <w:rsid w:val="00730F1B"/>
    <w:rsid w:val="00741493"/>
    <w:rsid w:val="0075027A"/>
    <w:rsid w:val="00752180"/>
    <w:rsid w:val="00753CAB"/>
    <w:rsid w:val="00755202"/>
    <w:rsid w:val="00755D3A"/>
    <w:rsid w:val="007578D3"/>
    <w:rsid w:val="007609C6"/>
    <w:rsid w:val="00760EA4"/>
    <w:rsid w:val="00761600"/>
    <w:rsid w:val="0076175D"/>
    <w:rsid w:val="00763B85"/>
    <w:rsid w:val="0076521E"/>
    <w:rsid w:val="007661E9"/>
    <w:rsid w:val="00776169"/>
    <w:rsid w:val="00776527"/>
    <w:rsid w:val="00780EF1"/>
    <w:rsid w:val="00790764"/>
    <w:rsid w:val="0079453C"/>
    <w:rsid w:val="00794677"/>
    <w:rsid w:val="00797445"/>
    <w:rsid w:val="007A516D"/>
    <w:rsid w:val="007B6689"/>
    <w:rsid w:val="007C6BBD"/>
    <w:rsid w:val="007C7443"/>
    <w:rsid w:val="007D2975"/>
    <w:rsid w:val="007D40DF"/>
    <w:rsid w:val="007E29B4"/>
    <w:rsid w:val="007E435A"/>
    <w:rsid w:val="007E7E61"/>
    <w:rsid w:val="007F0845"/>
    <w:rsid w:val="007F708D"/>
    <w:rsid w:val="00801E13"/>
    <w:rsid w:val="00807C82"/>
    <w:rsid w:val="00814B15"/>
    <w:rsid w:val="00816905"/>
    <w:rsid w:val="008207EF"/>
    <w:rsid w:val="00821777"/>
    <w:rsid w:val="00821FF6"/>
    <w:rsid w:val="00822574"/>
    <w:rsid w:val="00825C4D"/>
    <w:rsid w:val="0083143E"/>
    <w:rsid w:val="00831CDE"/>
    <w:rsid w:val="00834304"/>
    <w:rsid w:val="00834FAA"/>
    <w:rsid w:val="00836086"/>
    <w:rsid w:val="00846121"/>
    <w:rsid w:val="0084708F"/>
    <w:rsid w:val="008477C8"/>
    <w:rsid w:val="0085114D"/>
    <w:rsid w:val="00852217"/>
    <w:rsid w:val="00855408"/>
    <w:rsid w:val="00856D65"/>
    <w:rsid w:val="00861B41"/>
    <w:rsid w:val="00861BE3"/>
    <w:rsid w:val="00863434"/>
    <w:rsid w:val="00865E4C"/>
    <w:rsid w:val="008701E4"/>
    <w:rsid w:val="00871069"/>
    <w:rsid w:val="00875A32"/>
    <w:rsid w:val="00876086"/>
    <w:rsid w:val="008825B0"/>
    <w:rsid w:val="00884AD6"/>
    <w:rsid w:val="008873D4"/>
    <w:rsid w:val="0089126C"/>
    <w:rsid w:val="0089296D"/>
    <w:rsid w:val="00893E85"/>
    <w:rsid w:val="00894031"/>
    <w:rsid w:val="00895508"/>
    <w:rsid w:val="0089685F"/>
    <w:rsid w:val="008B167B"/>
    <w:rsid w:val="008B7C02"/>
    <w:rsid w:val="008B7D2B"/>
    <w:rsid w:val="008C0049"/>
    <w:rsid w:val="008C0E88"/>
    <w:rsid w:val="008C53CB"/>
    <w:rsid w:val="008D17C7"/>
    <w:rsid w:val="008D1E6A"/>
    <w:rsid w:val="008D2A16"/>
    <w:rsid w:val="008E2C57"/>
    <w:rsid w:val="008E31FF"/>
    <w:rsid w:val="008E6F06"/>
    <w:rsid w:val="008E7FC9"/>
    <w:rsid w:val="008F029B"/>
    <w:rsid w:val="008F3FC9"/>
    <w:rsid w:val="008F585B"/>
    <w:rsid w:val="009003A8"/>
    <w:rsid w:val="00902500"/>
    <w:rsid w:val="00902EFF"/>
    <w:rsid w:val="00906401"/>
    <w:rsid w:val="0091155E"/>
    <w:rsid w:val="00912634"/>
    <w:rsid w:val="00912A92"/>
    <w:rsid w:val="0091728D"/>
    <w:rsid w:val="009203C8"/>
    <w:rsid w:val="0092180B"/>
    <w:rsid w:val="00921F14"/>
    <w:rsid w:val="009231A3"/>
    <w:rsid w:val="00924AC8"/>
    <w:rsid w:val="0092597A"/>
    <w:rsid w:val="00930FB1"/>
    <w:rsid w:val="0093139F"/>
    <w:rsid w:val="00932443"/>
    <w:rsid w:val="009324EF"/>
    <w:rsid w:val="00933121"/>
    <w:rsid w:val="00937AE2"/>
    <w:rsid w:val="0094427A"/>
    <w:rsid w:val="00945245"/>
    <w:rsid w:val="0095759C"/>
    <w:rsid w:val="00966405"/>
    <w:rsid w:val="009721DB"/>
    <w:rsid w:val="00974923"/>
    <w:rsid w:val="00975148"/>
    <w:rsid w:val="00980D3D"/>
    <w:rsid w:val="00987A30"/>
    <w:rsid w:val="00992CF3"/>
    <w:rsid w:val="00994868"/>
    <w:rsid w:val="009968D6"/>
    <w:rsid w:val="009A1CAB"/>
    <w:rsid w:val="009A60D1"/>
    <w:rsid w:val="009B1F0B"/>
    <w:rsid w:val="009B6FD3"/>
    <w:rsid w:val="009C1750"/>
    <w:rsid w:val="009C2E29"/>
    <w:rsid w:val="009C554B"/>
    <w:rsid w:val="009C719E"/>
    <w:rsid w:val="009C7A10"/>
    <w:rsid w:val="009D3ACD"/>
    <w:rsid w:val="009E5273"/>
    <w:rsid w:val="009E5DDB"/>
    <w:rsid w:val="009F4CA7"/>
    <w:rsid w:val="00A0439C"/>
    <w:rsid w:val="00A10D66"/>
    <w:rsid w:val="00A14114"/>
    <w:rsid w:val="00A16413"/>
    <w:rsid w:val="00A16E1D"/>
    <w:rsid w:val="00A171A3"/>
    <w:rsid w:val="00A17D5B"/>
    <w:rsid w:val="00A23E43"/>
    <w:rsid w:val="00A25216"/>
    <w:rsid w:val="00A30F65"/>
    <w:rsid w:val="00A33A89"/>
    <w:rsid w:val="00A40EAC"/>
    <w:rsid w:val="00A418BC"/>
    <w:rsid w:val="00A46DE0"/>
    <w:rsid w:val="00A50D73"/>
    <w:rsid w:val="00A52CAD"/>
    <w:rsid w:val="00A53FC7"/>
    <w:rsid w:val="00A62CE1"/>
    <w:rsid w:val="00A6741E"/>
    <w:rsid w:val="00A75E40"/>
    <w:rsid w:val="00A77D1D"/>
    <w:rsid w:val="00A84A6A"/>
    <w:rsid w:val="00A857C0"/>
    <w:rsid w:val="00A90FED"/>
    <w:rsid w:val="00AA2996"/>
    <w:rsid w:val="00AA52BF"/>
    <w:rsid w:val="00AA559A"/>
    <w:rsid w:val="00AB2AF1"/>
    <w:rsid w:val="00AC224B"/>
    <w:rsid w:val="00AC45BD"/>
    <w:rsid w:val="00AD0D0E"/>
    <w:rsid w:val="00AD1119"/>
    <w:rsid w:val="00AD168E"/>
    <w:rsid w:val="00AD306C"/>
    <w:rsid w:val="00AD68C4"/>
    <w:rsid w:val="00AE09B3"/>
    <w:rsid w:val="00AE1A83"/>
    <w:rsid w:val="00AF6128"/>
    <w:rsid w:val="00B00913"/>
    <w:rsid w:val="00B01593"/>
    <w:rsid w:val="00B023F2"/>
    <w:rsid w:val="00B04705"/>
    <w:rsid w:val="00B10A4D"/>
    <w:rsid w:val="00B14BC1"/>
    <w:rsid w:val="00B17E71"/>
    <w:rsid w:val="00B17FDE"/>
    <w:rsid w:val="00B2379C"/>
    <w:rsid w:val="00B2687D"/>
    <w:rsid w:val="00B32DDB"/>
    <w:rsid w:val="00B34528"/>
    <w:rsid w:val="00B34CC9"/>
    <w:rsid w:val="00B402FC"/>
    <w:rsid w:val="00B439DA"/>
    <w:rsid w:val="00B46604"/>
    <w:rsid w:val="00B530CD"/>
    <w:rsid w:val="00B536DD"/>
    <w:rsid w:val="00B55F5E"/>
    <w:rsid w:val="00B5752E"/>
    <w:rsid w:val="00B6336A"/>
    <w:rsid w:val="00B63A11"/>
    <w:rsid w:val="00B63B6A"/>
    <w:rsid w:val="00B64C24"/>
    <w:rsid w:val="00B6608F"/>
    <w:rsid w:val="00B679FB"/>
    <w:rsid w:val="00B76D1E"/>
    <w:rsid w:val="00B80EC6"/>
    <w:rsid w:val="00B84CF6"/>
    <w:rsid w:val="00B92D1D"/>
    <w:rsid w:val="00B938C5"/>
    <w:rsid w:val="00B95940"/>
    <w:rsid w:val="00BA6C2B"/>
    <w:rsid w:val="00BB099E"/>
    <w:rsid w:val="00BB2F43"/>
    <w:rsid w:val="00BB46F3"/>
    <w:rsid w:val="00BB4CB1"/>
    <w:rsid w:val="00BB4F98"/>
    <w:rsid w:val="00BC5C12"/>
    <w:rsid w:val="00BC7154"/>
    <w:rsid w:val="00BC731E"/>
    <w:rsid w:val="00BD366B"/>
    <w:rsid w:val="00BD6D50"/>
    <w:rsid w:val="00BE18B9"/>
    <w:rsid w:val="00BE2495"/>
    <w:rsid w:val="00BF1578"/>
    <w:rsid w:val="00C21F94"/>
    <w:rsid w:val="00C27913"/>
    <w:rsid w:val="00C27D07"/>
    <w:rsid w:val="00C33B68"/>
    <w:rsid w:val="00C35666"/>
    <w:rsid w:val="00C36A79"/>
    <w:rsid w:val="00C401D2"/>
    <w:rsid w:val="00C405D4"/>
    <w:rsid w:val="00C446A2"/>
    <w:rsid w:val="00C4513B"/>
    <w:rsid w:val="00C5390B"/>
    <w:rsid w:val="00C54697"/>
    <w:rsid w:val="00C73885"/>
    <w:rsid w:val="00C747B1"/>
    <w:rsid w:val="00C82191"/>
    <w:rsid w:val="00C83134"/>
    <w:rsid w:val="00C85545"/>
    <w:rsid w:val="00C90CF4"/>
    <w:rsid w:val="00C92EB6"/>
    <w:rsid w:val="00C93389"/>
    <w:rsid w:val="00CA0914"/>
    <w:rsid w:val="00CA6AB4"/>
    <w:rsid w:val="00CB4930"/>
    <w:rsid w:val="00CC2E7D"/>
    <w:rsid w:val="00CD10A5"/>
    <w:rsid w:val="00CD2076"/>
    <w:rsid w:val="00CD29B5"/>
    <w:rsid w:val="00CD5BA3"/>
    <w:rsid w:val="00CD6331"/>
    <w:rsid w:val="00CE670B"/>
    <w:rsid w:val="00CF4908"/>
    <w:rsid w:val="00CF51EC"/>
    <w:rsid w:val="00CF73AE"/>
    <w:rsid w:val="00D040DD"/>
    <w:rsid w:val="00D075BE"/>
    <w:rsid w:val="00D13986"/>
    <w:rsid w:val="00D21D83"/>
    <w:rsid w:val="00D235B7"/>
    <w:rsid w:val="00D25F28"/>
    <w:rsid w:val="00D26071"/>
    <w:rsid w:val="00D27973"/>
    <w:rsid w:val="00D35E1A"/>
    <w:rsid w:val="00D50F46"/>
    <w:rsid w:val="00D57677"/>
    <w:rsid w:val="00D66223"/>
    <w:rsid w:val="00D71625"/>
    <w:rsid w:val="00D76A18"/>
    <w:rsid w:val="00D8084C"/>
    <w:rsid w:val="00D915EA"/>
    <w:rsid w:val="00D94D95"/>
    <w:rsid w:val="00DA7C0C"/>
    <w:rsid w:val="00DB08A9"/>
    <w:rsid w:val="00DB2EC8"/>
    <w:rsid w:val="00DC5B3B"/>
    <w:rsid w:val="00DD129F"/>
    <w:rsid w:val="00DD1A46"/>
    <w:rsid w:val="00DE02BD"/>
    <w:rsid w:val="00DE0F3B"/>
    <w:rsid w:val="00DF42FF"/>
    <w:rsid w:val="00E01C0E"/>
    <w:rsid w:val="00E03F9A"/>
    <w:rsid w:val="00E04694"/>
    <w:rsid w:val="00E12B1E"/>
    <w:rsid w:val="00E17262"/>
    <w:rsid w:val="00E253A2"/>
    <w:rsid w:val="00E3309D"/>
    <w:rsid w:val="00E47EBA"/>
    <w:rsid w:val="00E50156"/>
    <w:rsid w:val="00E51643"/>
    <w:rsid w:val="00E53470"/>
    <w:rsid w:val="00E539F6"/>
    <w:rsid w:val="00E62697"/>
    <w:rsid w:val="00E6519D"/>
    <w:rsid w:val="00E67696"/>
    <w:rsid w:val="00E71A58"/>
    <w:rsid w:val="00E72A7A"/>
    <w:rsid w:val="00E75C94"/>
    <w:rsid w:val="00E76A3F"/>
    <w:rsid w:val="00E93820"/>
    <w:rsid w:val="00E94A86"/>
    <w:rsid w:val="00E96143"/>
    <w:rsid w:val="00E963D6"/>
    <w:rsid w:val="00EA0987"/>
    <w:rsid w:val="00EA0C68"/>
    <w:rsid w:val="00EA32BC"/>
    <w:rsid w:val="00EB4511"/>
    <w:rsid w:val="00EB4A3B"/>
    <w:rsid w:val="00EC03D7"/>
    <w:rsid w:val="00ED62C6"/>
    <w:rsid w:val="00ED64C1"/>
    <w:rsid w:val="00EE3446"/>
    <w:rsid w:val="00EE3E78"/>
    <w:rsid w:val="00EE4B1B"/>
    <w:rsid w:val="00EE7F19"/>
    <w:rsid w:val="00EF150D"/>
    <w:rsid w:val="00EF1F5A"/>
    <w:rsid w:val="00EF47BF"/>
    <w:rsid w:val="00F04811"/>
    <w:rsid w:val="00F0488C"/>
    <w:rsid w:val="00F10F11"/>
    <w:rsid w:val="00F15AAA"/>
    <w:rsid w:val="00F15BEF"/>
    <w:rsid w:val="00F24407"/>
    <w:rsid w:val="00F24931"/>
    <w:rsid w:val="00F24FAA"/>
    <w:rsid w:val="00F3364D"/>
    <w:rsid w:val="00F3443C"/>
    <w:rsid w:val="00F437CC"/>
    <w:rsid w:val="00F44537"/>
    <w:rsid w:val="00F44B6A"/>
    <w:rsid w:val="00F47067"/>
    <w:rsid w:val="00F525EB"/>
    <w:rsid w:val="00F63DDE"/>
    <w:rsid w:val="00F63FB7"/>
    <w:rsid w:val="00F6421B"/>
    <w:rsid w:val="00F649D2"/>
    <w:rsid w:val="00F6602B"/>
    <w:rsid w:val="00F73A0C"/>
    <w:rsid w:val="00F756DB"/>
    <w:rsid w:val="00F84E7D"/>
    <w:rsid w:val="00F85066"/>
    <w:rsid w:val="00F87A4D"/>
    <w:rsid w:val="00F9785E"/>
    <w:rsid w:val="00FA5D4D"/>
    <w:rsid w:val="00FB0EE2"/>
    <w:rsid w:val="00FB542E"/>
    <w:rsid w:val="00FB6529"/>
    <w:rsid w:val="00FC0E5F"/>
    <w:rsid w:val="00FC1A95"/>
    <w:rsid w:val="00FC56DE"/>
    <w:rsid w:val="00FC684B"/>
    <w:rsid w:val="00FD3265"/>
    <w:rsid w:val="00FE2F78"/>
    <w:rsid w:val="00FF7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16D78745"/>
  <w15:docId w15:val="{FC3C9807-8A20-484D-A937-0CB633FC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4FA0"/>
    <w:pPr>
      <w:spacing w:after="240" w:line="276" w:lineRule="auto"/>
      <w:jc w:val="both"/>
    </w:pPr>
    <w:rPr>
      <w:rFonts w:ascii="Arial" w:eastAsia="Times New Roman" w:hAnsi="Arial"/>
      <w:szCs w:val="24"/>
      <w:lang w:eastAsia="cs-CZ"/>
    </w:rPr>
  </w:style>
  <w:style w:type="paragraph" w:styleId="Nadpis1">
    <w:name w:val="heading 1"/>
    <w:next w:val="Normln"/>
    <w:link w:val="Nadpis1Char"/>
    <w:uiPriority w:val="9"/>
    <w:qFormat/>
    <w:rsid w:val="00EA0987"/>
    <w:pPr>
      <w:keepNext/>
      <w:keepLines/>
      <w:spacing w:after="100" w:line="276" w:lineRule="auto"/>
      <w:contextualSpacing/>
      <w:outlineLvl w:val="0"/>
    </w:pPr>
    <w:rPr>
      <w:rFonts w:ascii="Arial" w:eastAsia="MS Gothic" w:hAnsi="Arial"/>
      <w:b/>
      <w:bCs/>
      <w:color w:val="86BF5E"/>
      <w:sz w:val="32"/>
      <w:szCs w:val="28"/>
      <w:lang w:eastAsia="cs-CZ"/>
    </w:rPr>
  </w:style>
  <w:style w:type="paragraph" w:styleId="Nadpis2">
    <w:name w:val="heading 2"/>
    <w:next w:val="Normln"/>
    <w:link w:val="Nadpis2Char"/>
    <w:uiPriority w:val="9"/>
    <w:qFormat/>
    <w:rsid w:val="00EA0987"/>
    <w:pPr>
      <w:keepNext/>
      <w:keepLines/>
      <w:spacing w:line="276" w:lineRule="auto"/>
      <w:outlineLvl w:val="1"/>
    </w:pPr>
    <w:rPr>
      <w:rFonts w:ascii="Arial" w:eastAsia="MS Gothic" w:hAnsi="Arial"/>
      <w:b/>
      <w:bCs/>
      <w:color w:val="86BF5E"/>
      <w:sz w:val="28"/>
      <w:szCs w:val="26"/>
      <w:lang w:eastAsia="cs-CZ"/>
    </w:rPr>
  </w:style>
  <w:style w:type="paragraph" w:styleId="Nadpis3">
    <w:name w:val="heading 3"/>
    <w:next w:val="Normln"/>
    <w:link w:val="Nadpis3Char"/>
    <w:uiPriority w:val="9"/>
    <w:qFormat/>
    <w:rsid w:val="00EA0987"/>
    <w:pPr>
      <w:keepNext/>
      <w:keepLines/>
      <w:spacing w:line="276" w:lineRule="auto"/>
      <w:outlineLvl w:val="2"/>
    </w:pPr>
    <w:rPr>
      <w:rFonts w:ascii="Arial" w:eastAsia="MS Gothic" w:hAnsi="Arial"/>
      <w:b/>
      <w:bCs/>
      <w:color w:val="86BF5E"/>
      <w:sz w:val="24"/>
      <w:szCs w:val="24"/>
      <w:lang w:eastAsia="cs-CZ"/>
    </w:rPr>
  </w:style>
  <w:style w:type="paragraph" w:styleId="Nadpis4">
    <w:name w:val="heading 4"/>
    <w:next w:val="Normln"/>
    <w:link w:val="Nadpis4Char"/>
    <w:uiPriority w:val="9"/>
    <w:qFormat/>
    <w:rsid w:val="0041041D"/>
    <w:pPr>
      <w:keepNext/>
      <w:keepLines/>
      <w:spacing w:line="276" w:lineRule="auto"/>
      <w:outlineLvl w:val="3"/>
    </w:pPr>
    <w:rPr>
      <w:rFonts w:ascii="Arial" w:eastAsia="MS Gothic" w:hAnsi="Arial"/>
      <w:b/>
      <w:bCs/>
      <w:iCs/>
      <w:color w:val="86BF5E"/>
      <w:szCs w:val="24"/>
      <w:lang w:eastAsia="cs-CZ"/>
    </w:rPr>
  </w:style>
  <w:style w:type="paragraph" w:styleId="Nadpis5">
    <w:name w:val="heading 5"/>
    <w:basedOn w:val="Normln"/>
    <w:next w:val="Normln"/>
    <w:link w:val="Nadpis5Char"/>
    <w:uiPriority w:val="9"/>
    <w:semiHidden/>
    <w:unhideWhenUsed/>
    <w:rsid w:val="007A516D"/>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7A516D"/>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A516D"/>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A516D"/>
    <w:pPr>
      <w:keepNext/>
      <w:keepLines/>
      <w:numPr>
        <w:ilvl w:val="7"/>
        <w:numId w:val="14"/>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7A516D"/>
    <w:pPr>
      <w:numPr>
        <w:ilvl w:val="8"/>
        <w:numId w:val="14"/>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qFormat/>
    <w:rsid w:val="00EA0987"/>
    <w:rPr>
      <w:rFonts w:ascii="Arial" w:eastAsia="MS Gothic" w:hAnsi="Arial"/>
      <w:b/>
      <w:bCs/>
      <w:color w:val="86BF5E"/>
      <w:sz w:val="32"/>
      <w:szCs w:val="28"/>
      <w:lang w:eastAsia="cs-CZ"/>
    </w:rPr>
  </w:style>
  <w:style w:type="character" w:customStyle="1" w:styleId="Nadpis2Char">
    <w:name w:val="Nadpis 2 Char"/>
    <w:link w:val="Nadpis2"/>
    <w:uiPriority w:val="9"/>
    <w:rsid w:val="00EA0987"/>
    <w:rPr>
      <w:rFonts w:ascii="Arial" w:eastAsia="MS Gothic" w:hAnsi="Arial"/>
      <w:b/>
      <w:bCs/>
      <w:color w:val="86BF5E"/>
      <w:sz w:val="28"/>
      <w:szCs w:val="26"/>
      <w:lang w:eastAsia="cs-CZ"/>
    </w:rPr>
  </w:style>
  <w:style w:type="character" w:customStyle="1" w:styleId="Nadpis3Char">
    <w:name w:val="Nadpis 3 Char"/>
    <w:link w:val="Nadpis3"/>
    <w:uiPriority w:val="9"/>
    <w:rsid w:val="00EA0987"/>
    <w:rPr>
      <w:rFonts w:ascii="Arial" w:eastAsia="MS Gothic" w:hAnsi="Arial"/>
      <w:b/>
      <w:bCs/>
      <w:color w:val="86BF5E"/>
      <w:sz w:val="24"/>
      <w:szCs w:val="24"/>
      <w:lang w:eastAsia="cs-CZ"/>
    </w:rPr>
  </w:style>
  <w:style w:type="character" w:customStyle="1" w:styleId="Nadpis4Char">
    <w:name w:val="Nadpis 4 Char"/>
    <w:link w:val="Nadpis4"/>
    <w:uiPriority w:val="9"/>
    <w:rsid w:val="0041041D"/>
    <w:rPr>
      <w:rFonts w:ascii="Arial" w:eastAsia="MS Gothic" w:hAnsi="Arial"/>
      <w:b/>
      <w:bCs/>
      <w:iCs/>
      <w:color w:val="86BF5E"/>
      <w:szCs w:val="24"/>
      <w:lang w:eastAsia="cs-CZ"/>
    </w:rPr>
  </w:style>
  <w:style w:type="character" w:customStyle="1" w:styleId="Nadpis9Char">
    <w:name w:val="Nadpis 9 Char"/>
    <w:link w:val="Nadpis9"/>
    <w:uiPriority w:val="9"/>
    <w:semiHidden/>
    <w:rsid w:val="007A516D"/>
    <w:rPr>
      <w:rFonts w:ascii="Cambria" w:eastAsia="Times New Roman" w:hAnsi="Cambria"/>
      <w:sz w:val="22"/>
      <w:szCs w:val="22"/>
      <w:lang w:eastAsia="cs-CZ"/>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rPr>
  </w:style>
  <w:style w:type="character" w:customStyle="1" w:styleId="ZhlavChar">
    <w:name w:val="Záhlaví Char"/>
    <w:link w:val="Zhlav"/>
    <w:uiPriority w:val="99"/>
    <w:rsid w:val="00A418BC"/>
    <w:rPr>
      <w:rFonts w:ascii="Arial" w:hAnsi="Arial"/>
      <w:sz w:val="16"/>
      <w:szCs w:val="22"/>
      <w:lang w:eastAsia="en-US"/>
    </w:rPr>
  </w:style>
  <w:style w:type="paragraph" w:styleId="Zpat">
    <w:name w:val="footer"/>
    <w:link w:val="ZpatChar"/>
    <w:uiPriority w:val="99"/>
    <w:unhideWhenUsed/>
    <w:qFormat/>
    <w:rsid w:val="00031AE0"/>
    <w:pPr>
      <w:tabs>
        <w:tab w:val="center" w:pos="4820"/>
        <w:tab w:val="right" w:pos="9639"/>
      </w:tabs>
    </w:pPr>
    <w:rPr>
      <w:rFonts w:ascii="Arial" w:hAnsi="Arial" w:cs="Arial"/>
      <w:noProof/>
      <w:sz w:val="16"/>
    </w:rPr>
  </w:style>
  <w:style w:type="character" w:customStyle="1" w:styleId="ZpatChar">
    <w:name w:val="Zápatí Char"/>
    <w:link w:val="Zpat"/>
    <w:uiPriority w:val="99"/>
    <w:rsid w:val="00031AE0"/>
    <w:rPr>
      <w:rFonts w:ascii="Arial" w:hAnsi="Arial" w:cs="Arial"/>
      <w:noProof/>
      <w:sz w:val="16"/>
      <w:lang w:eastAsia="en-US"/>
    </w:rPr>
  </w:style>
  <w:style w:type="paragraph" w:styleId="Textbubliny">
    <w:name w:val="Balloon Text"/>
    <w:basedOn w:val="Normln"/>
    <w:link w:val="TextbublinyChar"/>
    <w:uiPriority w:val="99"/>
    <w:semiHidden/>
    <w:unhideWhenUsed/>
    <w:rsid w:val="00E71A58"/>
    <w:rPr>
      <w:rFonts w:ascii="Tahoma" w:eastAsia="Calibri" w:hAnsi="Tahoma"/>
      <w:sz w:val="16"/>
      <w:szCs w:val="16"/>
      <w:lang w:val="x-none" w:eastAsia="x-none"/>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s="Minion Pro"/>
      <w:color w:val="000000"/>
      <w:szCs w:val="24"/>
      <w:lang w:eastAsia="cs-CZ"/>
    </w:rPr>
  </w:style>
  <w:style w:type="character" w:customStyle="1" w:styleId="ZkladnodstavecChar">
    <w:name w:val="[Základní odstavec] Char"/>
    <w:link w:val="Zkladnodstavec"/>
    <w:uiPriority w:val="99"/>
    <w:rsid w:val="0008263E"/>
    <w:rPr>
      <w:rFonts w:ascii="Arial" w:hAnsi="Arial" w:cs="Minion Pro"/>
      <w:color w:val="000000"/>
      <w:szCs w:val="24"/>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lang w:eastAsia="cs-CZ"/>
    </w:rPr>
  </w:style>
  <w:style w:type="paragraph" w:customStyle="1" w:styleId="Obsah">
    <w:name w:val="Obsah"/>
    <w:next w:val="Normln"/>
    <w:qFormat/>
    <w:rsid w:val="000A57D4"/>
    <w:pPr>
      <w:spacing w:after="80" w:line="288" w:lineRule="auto"/>
    </w:pPr>
    <w:rPr>
      <w:rFonts w:ascii="Arial" w:eastAsia="Times New Roman" w:hAnsi="Arial"/>
      <w:b/>
      <w:color w:val="86BF5E"/>
      <w:sz w:val="32"/>
      <w:szCs w:val="24"/>
      <w:lang w:eastAsia="cs-CZ"/>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lang w:eastAsia="cs-CZ"/>
    </w:rPr>
  </w:style>
  <w:style w:type="paragraph" w:customStyle="1" w:styleId="A-Box1">
    <w:name w:val="A-Box 1"/>
    <w:next w:val="Normln"/>
    <w:qFormat/>
    <w:rsid w:val="00EA0987"/>
    <w:pPr>
      <w:shd w:val="clear" w:color="auto" w:fill="F0F6E9"/>
      <w:spacing w:before="240" w:after="240" w:line="276" w:lineRule="auto"/>
      <w:contextualSpacing/>
      <w:jc w:val="both"/>
    </w:pPr>
    <w:rPr>
      <w:rFonts w:ascii="Arial" w:hAnsi="Arial" w:cs="Arial"/>
      <w:lang w:eastAsia="cs-CZ"/>
    </w:rPr>
  </w:style>
  <w:style w:type="paragraph" w:customStyle="1" w:styleId="A-Box2">
    <w:name w:val="A-Box 2"/>
    <w:next w:val="Normln"/>
    <w:qFormat/>
    <w:rsid w:val="00EA0987"/>
    <w:pPr>
      <w:spacing w:before="240" w:after="240" w:line="276" w:lineRule="auto"/>
      <w:contextualSpacing/>
      <w:jc w:val="both"/>
    </w:pPr>
    <w:rPr>
      <w:rFonts w:ascii="Arial" w:hAnsi="Arial" w:cs="Arial"/>
      <w:color w:val="86BF5E"/>
      <w:lang w:eastAsia="cs-CZ"/>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0A57D4"/>
    <w:pPr>
      <w:spacing w:after="40"/>
      <w:contextualSpacing/>
    </w:pPr>
    <w:rPr>
      <w:b/>
      <w:caps/>
      <w:sz w:val="24"/>
    </w:rPr>
  </w:style>
  <w:style w:type="paragraph" w:customStyle="1" w:styleId="TLKontakty">
    <w:name w:val="TL Kontakty"/>
    <w:qFormat/>
    <w:rsid w:val="000A57D4"/>
    <w:pPr>
      <w:spacing w:after="160" w:line="259" w:lineRule="auto"/>
      <w:contextualSpacing/>
    </w:pPr>
    <w:rPr>
      <w:rFonts w:ascii="Arial" w:eastAsia="Times New Roman" w:hAnsi="Arial"/>
      <w:b/>
      <w:color w:val="86BF5E"/>
      <w:lang w:eastAsia="cs-CZ"/>
    </w:rPr>
  </w:style>
  <w:style w:type="paragraph" w:styleId="Nzev">
    <w:name w:val="Title"/>
    <w:link w:val="NzevChar"/>
    <w:uiPriority w:val="10"/>
    <w:qFormat/>
    <w:rsid w:val="001E6062"/>
    <w:pPr>
      <w:spacing w:line="288" w:lineRule="auto"/>
    </w:pPr>
    <w:rPr>
      <w:rFonts w:ascii="Arial" w:eastAsia="Times New Roman" w:hAnsi="Arial"/>
      <w:b/>
      <w:bCs/>
      <w:caps/>
      <w:color w:val="000000" w:themeColor="text1"/>
      <w:kern w:val="28"/>
      <w:sz w:val="56"/>
      <w:szCs w:val="32"/>
      <w:lang w:eastAsia="cs-CZ"/>
    </w:rPr>
  </w:style>
  <w:style w:type="character" w:customStyle="1" w:styleId="NzevChar">
    <w:name w:val="Název Char"/>
    <w:link w:val="Nzev"/>
    <w:uiPriority w:val="10"/>
    <w:rsid w:val="001E6062"/>
    <w:rPr>
      <w:rFonts w:ascii="Arial" w:eastAsia="Times New Roman" w:hAnsi="Arial"/>
      <w:b/>
      <w:bCs/>
      <w:caps/>
      <w:color w:val="000000" w:themeColor="text1"/>
      <w:kern w:val="28"/>
      <w:sz w:val="56"/>
      <w:szCs w:val="32"/>
      <w:lang w:eastAsia="cs-CZ"/>
    </w:rPr>
  </w:style>
  <w:style w:type="paragraph" w:styleId="Podnadpis">
    <w:name w:val="Subtitle"/>
    <w:link w:val="PodnadpisChar"/>
    <w:uiPriority w:val="11"/>
    <w:qFormat/>
    <w:rsid w:val="001E6062"/>
    <w:pPr>
      <w:spacing w:line="288" w:lineRule="auto"/>
    </w:pPr>
    <w:rPr>
      <w:rFonts w:ascii="Arial" w:eastAsia="Times New Roman" w:hAnsi="Arial" w:cs="Arial"/>
      <w:b/>
      <w:color w:val="000000" w:themeColor="text1"/>
      <w:sz w:val="28"/>
      <w:szCs w:val="24"/>
      <w:lang w:eastAsia="cs-CZ"/>
    </w:rPr>
  </w:style>
  <w:style w:type="character" w:customStyle="1" w:styleId="PodnadpisChar">
    <w:name w:val="Podnadpis Char"/>
    <w:link w:val="Podnadpis"/>
    <w:uiPriority w:val="11"/>
    <w:rsid w:val="001E6062"/>
    <w:rPr>
      <w:rFonts w:ascii="Arial" w:eastAsia="Times New Roman" w:hAnsi="Arial" w:cs="Arial"/>
      <w:b/>
      <w:color w:val="000000" w:themeColor="text1"/>
      <w:sz w:val="28"/>
      <w:szCs w:val="24"/>
      <w:lang w:eastAsia="cs-CZ"/>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customStyle="1" w:styleId="Nadpis5Char">
    <w:name w:val="Nadpis 5 Char"/>
    <w:basedOn w:val="Standardnpsmoodstavce"/>
    <w:link w:val="Nadpis5"/>
    <w:uiPriority w:val="9"/>
    <w:semiHidden/>
    <w:rsid w:val="007A516D"/>
    <w:rPr>
      <w:rFonts w:asciiTheme="majorHAnsi" w:eastAsiaTheme="majorEastAsia" w:hAnsiTheme="majorHAnsi" w:cstheme="majorBidi"/>
      <w:color w:val="243F60" w:themeColor="accent1" w:themeShade="7F"/>
      <w:szCs w:val="24"/>
      <w:lang w:eastAsia="cs-CZ"/>
    </w:rPr>
  </w:style>
  <w:style w:type="character" w:customStyle="1" w:styleId="Nadpis6Char">
    <w:name w:val="Nadpis 6 Char"/>
    <w:basedOn w:val="Standardnpsmoodstavce"/>
    <w:link w:val="Nadpis6"/>
    <w:uiPriority w:val="9"/>
    <w:semiHidden/>
    <w:rsid w:val="007A516D"/>
    <w:rPr>
      <w:rFonts w:asciiTheme="majorHAnsi" w:eastAsiaTheme="majorEastAsia" w:hAnsiTheme="majorHAnsi" w:cstheme="majorBidi"/>
      <w:i/>
      <w:iCs/>
      <w:color w:val="243F60" w:themeColor="accent1" w:themeShade="7F"/>
      <w:szCs w:val="24"/>
      <w:lang w:eastAsia="cs-CZ"/>
    </w:rPr>
  </w:style>
  <w:style w:type="character" w:customStyle="1" w:styleId="Nadpis7Char">
    <w:name w:val="Nadpis 7 Char"/>
    <w:basedOn w:val="Standardnpsmoodstavce"/>
    <w:link w:val="Nadpis7"/>
    <w:uiPriority w:val="9"/>
    <w:semiHidden/>
    <w:rsid w:val="007A516D"/>
    <w:rPr>
      <w:rFonts w:asciiTheme="majorHAnsi" w:eastAsiaTheme="majorEastAsia" w:hAnsiTheme="majorHAnsi" w:cstheme="majorBidi"/>
      <w:i/>
      <w:iCs/>
      <w:color w:val="404040" w:themeColor="text1" w:themeTint="BF"/>
      <w:szCs w:val="24"/>
      <w:lang w:eastAsia="cs-CZ"/>
    </w:rPr>
  </w:style>
  <w:style w:type="character" w:customStyle="1" w:styleId="Nadpis8Char">
    <w:name w:val="Nadpis 8 Char"/>
    <w:basedOn w:val="Standardnpsmoodstavce"/>
    <w:link w:val="Nadpis8"/>
    <w:uiPriority w:val="9"/>
    <w:semiHidden/>
    <w:rsid w:val="007A516D"/>
    <w:rPr>
      <w:rFonts w:asciiTheme="majorHAnsi" w:eastAsiaTheme="majorEastAsia" w:hAnsiTheme="majorHAnsi" w:cstheme="majorBidi"/>
      <w:color w:val="404040" w:themeColor="text1" w:themeTint="BF"/>
      <w:lang w:eastAsia="cs-CZ"/>
    </w:rPr>
  </w:style>
  <w:style w:type="paragraph" w:styleId="Textpoznpodarou">
    <w:name w:val="footnote text"/>
    <w:aliases w:val="Text pozn. pod čarou_martin_ang"/>
    <w:basedOn w:val="Normln"/>
    <w:link w:val="TextpoznpodarouChar"/>
    <w:qFormat/>
    <w:rsid w:val="008E7FC9"/>
    <w:pPr>
      <w:spacing w:after="0" w:line="240" w:lineRule="auto"/>
      <w:jc w:val="left"/>
    </w:pPr>
    <w:rPr>
      <w:rFonts w:eastAsia="Calibri"/>
      <w:szCs w:val="20"/>
    </w:rPr>
  </w:style>
  <w:style w:type="character" w:customStyle="1" w:styleId="TextpoznpodarouChar">
    <w:name w:val="Text pozn. pod čarou Char"/>
    <w:aliases w:val="Text pozn. pod čarou_martin_ang Char"/>
    <w:basedOn w:val="Standardnpsmoodstavce"/>
    <w:link w:val="Textpoznpodarou"/>
    <w:qFormat/>
    <w:rsid w:val="008E7FC9"/>
    <w:rPr>
      <w:rFonts w:ascii="Arial" w:hAnsi="Arial"/>
      <w:lang w:eastAsia="cs-CZ"/>
    </w:rPr>
  </w:style>
  <w:style w:type="paragraph" w:styleId="Bezmezer">
    <w:name w:val="No Spacing"/>
    <w:uiPriority w:val="1"/>
    <w:qFormat/>
    <w:rsid w:val="00AD68C4"/>
    <w:pPr>
      <w:jc w:val="both"/>
    </w:pPr>
    <w:rPr>
      <w:rFonts w:ascii="Arial" w:eastAsia="Times New Roman" w:hAnsi="Arial"/>
      <w:szCs w:val="24"/>
      <w:lang w:eastAsia="cs-CZ"/>
    </w:rPr>
  </w:style>
  <w:style w:type="paragraph" w:customStyle="1" w:styleId="Marginlie">
    <w:name w:val="Marginálie"/>
    <w:basedOn w:val="Normln"/>
    <w:qFormat/>
    <w:rsid w:val="0089296D"/>
    <w:pPr>
      <w:spacing w:after="0"/>
      <w:jc w:val="left"/>
    </w:pPr>
    <w:rPr>
      <w:spacing w:val="-2"/>
      <w:sz w:val="16"/>
      <w:szCs w:val="16"/>
    </w:rPr>
  </w:style>
  <w:style w:type="paragraph" w:styleId="Odstavecseseznamem">
    <w:name w:val="List Paragraph"/>
    <w:basedOn w:val="Normln"/>
    <w:link w:val="OdstavecseseznamemChar"/>
    <w:uiPriority w:val="34"/>
    <w:qFormat/>
    <w:rsid w:val="006B0F92"/>
    <w:pPr>
      <w:ind w:left="720"/>
      <w:contextualSpacing/>
    </w:pPr>
  </w:style>
  <w:style w:type="paragraph" w:customStyle="1" w:styleId="Normalodrka">
    <w:name w:val="Normal odrážka"/>
    <w:qFormat/>
    <w:rsid w:val="006B0F92"/>
    <w:pPr>
      <w:numPr>
        <w:numId w:val="20"/>
      </w:numPr>
      <w:spacing w:after="240" w:line="276" w:lineRule="auto"/>
      <w:ind w:left="357" w:hanging="357"/>
      <w:jc w:val="both"/>
    </w:pPr>
    <w:rPr>
      <w:rFonts w:ascii="Arial" w:eastAsia="Times New Roman" w:hAnsi="Arial"/>
      <w:szCs w:val="24"/>
      <w:lang w:eastAsia="cs-CZ"/>
    </w:rPr>
  </w:style>
  <w:style w:type="paragraph" w:customStyle="1" w:styleId="Box1">
    <w:name w:val="Box 1"/>
    <w:next w:val="Normln"/>
    <w:qFormat/>
    <w:rsid w:val="00EA0987"/>
    <w:pPr>
      <w:shd w:val="clear" w:color="auto" w:fill="F0F6E9"/>
      <w:spacing w:before="240" w:after="240" w:line="276" w:lineRule="auto"/>
      <w:ind w:left="709"/>
      <w:contextualSpacing/>
      <w:jc w:val="both"/>
    </w:pPr>
    <w:rPr>
      <w:rFonts w:ascii="Arial" w:hAnsi="Arial" w:cs="Arial"/>
      <w:lang w:eastAsia="cs-CZ"/>
    </w:rPr>
  </w:style>
  <w:style w:type="paragraph" w:customStyle="1" w:styleId="Box2">
    <w:name w:val="Box 2"/>
    <w:next w:val="Normln"/>
    <w:qFormat/>
    <w:rsid w:val="00EA0987"/>
    <w:pPr>
      <w:spacing w:before="240" w:after="240" w:line="276" w:lineRule="auto"/>
      <w:ind w:left="709"/>
      <w:contextualSpacing/>
      <w:jc w:val="both"/>
    </w:pPr>
    <w:rPr>
      <w:rFonts w:ascii="Arial" w:hAnsi="Arial" w:cs="Arial"/>
      <w:b/>
      <w:color w:val="86BF5E"/>
      <w:lang w:eastAsia="cs-CZ"/>
    </w:rPr>
  </w:style>
  <w:style w:type="character" w:styleId="Zdraznnintenzivn">
    <w:name w:val="Intense Emphasis"/>
    <w:basedOn w:val="Standardnpsmoodstavce"/>
    <w:uiPriority w:val="21"/>
    <w:qFormat/>
    <w:rsid w:val="001E6062"/>
    <w:rPr>
      <w:i/>
      <w:iCs/>
      <w:color w:val="000000" w:themeColor="text1"/>
    </w:rPr>
  </w:style>
  <w:style w:type="character" w:styleId="Odkazintenzivn">
    <w:name w:val="Intense Reference"/>
    <w:basedOn w:val="Standardnpsmoodstavce"/>
    <w:uiPriority w:val="32"/>
    <w:qFormat/>
    <w:rsid w:val="001E6062"/>
    <w:rPr>
      <w:b/>
      <w:bCs/>
      <w:smallCaps/>
      <w:color w:val="000000" w:themeColor="text1"/>
      <w:spacing w:val="5"/>
    </w:rPr>
  </w:style>
  <w:style w:type="character" w:styleId="Znakapoznpodarou">
    <w:name w:val="footnote reference"/>
    <w:basedOn w:val="Standardnpsmoodstavce"/>
    <w:rsid w:val="009324EF"/>
    <w:rPr>
      <w:rFonts w:cs="Times New Roman"/>
      <w:vertAlign w:val="superscript"/>
    </w:rPr>
  </w:style>
  <w:style w:type="paragraph" w:customStyle="1" w:styleId="Nadpis11">
    <w:name w:val="Nadpis 11"/>
    <w:basedOn w:val="Normln"/>
    <w:uiPriority w:val="9"/>
    <w:qFormat/>
    <w:rsid w:val="009324EF"/>
    <w:pPr>
      <w:keepNext/>
      <w:keepLines/>
      <w:spacing w:after="100"/>
      <w:contextualSpacing/>
      <w:jc w:val="left"/>
      <w:outlineLvl w:val="0"/>
    </w:pPr>
    <w:rPr>
      <w:rFonts w:eastAsia="MS Gothic"/>
      <w:b/>
      <w:bCs/>
      <w:color w:val="71818C"/>
      <w:sz w:val="32"/>
      <w:szCs w:val="28"/>
    </w:rPr>
  </w:style>
  <w:style w:type="paragraph" w:customStyle="1" w:styleId="Textpoznpodarou1">
    <w:name w:val="Text pozn. pod čarou1"/>
    <w:basedOn w:val="Normln"/>
    <w:qFormat/>
    <w:rsid w:val="009324EF"/>
    <w:pPr>
      <w:spacing w:after="0" w:line="240" w:lineRule="auto"/>
      <w:jc w:val="left"/>
    </w:pPr>
    <w:rPr>
      <w:rFonts w:eastAsia="Calibri"/>
      <w:szCs w:val="20"/>
    </w:rPr>
  </w:style>
  <w:style w:type="character" w:styleId="Zdraznn">
    <w:name w:val="Emphasis"/>
    <w:basedOn w:val="Standardnpsmoodstavce"/>
    <w:uiPriority w:val="20"/>
    <w:qFormat/>
    <w:rsid w:val="009324EF"/>
    <w:rPr>
      <w:i/>
      <w:iCs/>
    </w:rPr>
  </w:style>
  <w:style w:type="character" w:customStyle="1" w:styleId="normaltextrun">
    <w:name w:val="normaltextrun"/>
    <w:basedOn w:val="Standardnpsmoodstavce"/>
    <w:rsid w:val="009324EF"/>
  </w:style>
  <w:style w:type="paragraph" w:customStyle="1" w:styleId="paragraph">
    <w:name w:val="paragraph"/>
    <w:basedOn w:val="Normln"/>
    <w:rsid w:val="009324EF"/>
    <w:pPr>
      <w:spacing w:before="100" w:beforeAutospacing="1" w:after="100" w:afterAutospacing="1" w:line="240" w:lineRule="auto"/>
      <w:jc w:val="left"/>
    </w:pPr>
    <w:rPr>
      <w:rFonts w:ascii="Times New Roman" w:hAnsi="Times New Roman"/>
      <w:sz w:val="24"/>
    </w:rPr>
  </w:style>
  <w:style w:type="character" w:customStyle="1" w:styleId="eop">
    <w:name w:val="eop"/>
    <w:basedOn w:val="Standardnpsmoodstavce"/>
    <w:rsid w:val="009324EF"/>
  </w:style>
  <w:style w:type="table" w:styleId="Mkatabulky">
    <w:name w:val="Table Grid"/>
    <w:basedOn w:val="Normlntabulka"/>
    <w:uiPriority w:val="59"/>
    <w:rsid w:val="009324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dpisobsahu">
    <w:name w:val="TOC Heading"/>
    <w:basedOn w:val="Nadpis1"/>
    <w:next w:val="Normln"/>
    <w:uiPriority w:val="39"/>
    <w:unhideWhenUsed/>
    <w:qFormat/>
    <w:rsid w:val="009324EF"/>
    <w:pPr>
      <w:spacing w:before="240" w:after="0" w:line="259" w:lineRule="auto"/>
      <w:contextualSpacing w:val="0"/>
      <w:outlineLvl w:val="9"/>
    </w:pPr>
    <w:rPr>
      <w:rFonts w:asciiTheme="majorHAnsi" w:eastAsiaTheme="majorEastAsia" w:hAnsiTheme="majorHAnsi" w:cstheme="majorBidi"/>
      <w:b w:val="0"/>
      <w:bCs w:val="0"/>
      <w:color w:val="365F91" w:themeColor="accent1" w:themeShade="BF"/>
      <w:szCs w:val="32"/>
    </w:rPr>
  </w:style>
  <w:style w:type="character" w:styleId="Odkaznakoment">
    <w:name w:val="annotation reference"/>
    <w:basedOn w:val="Standardnpsmoodstavce"/>
    <w:uiPriority w:val="99"/>
    <w:semiHidden/>
    <w:unhideWhenUsed/>
    <w:rsid w:val="009324EF"/>
    <w:rPr>
      <w:sz w:val="16"/>
      <w:szCs w:val="16"/>
    </w:rPr>
  </w:style>
  <w:style w:type="paragraph" w:styleId="Textkomente">
    <w:name w:val="annotation text"/>
    <w:basedOn w:val="Normln"/>
    <w:link w:val="TextkomenteChar"/>
    <w:uiPriority w:val="99"/>
    <w:unhideWhenUsed/>
    <w:rsid w:val="009324EF"/>
    <w:pPr>
      <w:spacing w:line="240" w:lineRule="auto"/>
    </w:pPr>
    <w:rPr>
      <w:szCs w:val="20"/>
    </w:rPr>
  </w:style>
  <w:style w:type="character" w:customStyle="1" w:styleId="TextkomenteChar">
    <w:name w:val="Text komentáře Char"/>
    <w:basedOn w:val="Standardnpsmoodstavce"/>
    <w:link w:val="Textkomente"/>
    <w:uiPriority w:val="99"/>
    <w:rsid w:val="009324EF"/>
    <w:rPr>
      <w:rFonts w:ascii="Arial" w:eastAsia="Times New Roman" w:hAnsi="Arial"/>
      <w:lang w:eastAsia="cs-CZ"/>
    </w:rPr>
  </w:style>
  <w:style w:type="paragraph" w:styleId="Pedmtkomente">
    <w:name w:val="annotation subject"/>
    <w:basedOn w:val="Textkomente"/>
    <w:next w:val="Textkomente"/>
    <w:link w:val="PedmtkomenteChar"/>
    <w:uiPriority w:val="99"/>
    <w:semiHidden/>
    <w:unhideWhenUsed/>
    <w:rsid w:val="009324EF"/>
    <w:rPr>
      <w:b/>
      <w:bCs/>
    </w:rPr>
  </w:style>
  <w:style w:type="character" w:customStyle="1" w:styleId="PedmtkomenteChar">
    <w:name w:val="Předmět komentáře Char"/>
    <w:basedOn w:val="TextkomenteChar"/>
    <w:link w:val="Pedmtkomente"/>
    <w:uiPriority w:val="99"/>
    <w:semiHidden/>
    <w:rsid w:val="009324EF"/>
    <w:rPr>
      <w:rFonts w:ascii="Arial" w:eastAsia="Times New Roman" w:hAnsi="Arial"/>
      <w:b/>
      <w:bCs/>
      <w:lang w:eastAsia="cs-CZ"/>
    </w:rPr>
  </w:style>
  <w:style w:type="paragraph" w:styleId="Rozloendokumentu">
    <w:name w:val="Document Map"/>
    <w:basedOn w:val="Normln"/>
    <w:link w:val="RozloendokumentuChar"/>
    <w:uiPriority w:val="99"/>
    <w:semiHidden/>
    <w:rsid w:val="009324EF"/>
    <w:pPr>
      <w:spacing w:after="0" w:line="288" w:lineRule="auto"/>
      <w:jc w:val="left"/>
    </w:pPr>
    <w:rPr>
      <w:rFonts w:ascii="Tahoma" w:eastAsia="Calibri" w:hAnsi="Tahoma" w:cs="Tahoma"/>
      <w:sz w:val="16"/>
      <w:szCs w:val="16"/>
    </w:rPr>
  </w:style>
  <w:style w:type="character" w:customStyle="1" w:styleId="RozloendokumentuChar">
    <w:name w:val="Rozložení dokumentu Char"/>
    <w:basedOn w:val="Standardnpsmoodstavce"/>
    <w:link w:val="Rozloendokumentu"/>
    <w:uiPriority w:val="99"/>
    <w:semiHidden/>
    <w:rsid w:val="009324EF"/>
    <w:rPr>
      <w:rFonts w:ascii="Tahoma" w:hAnsi="Tahoma" w:cs="Tahoma"/>
      <w:sz w:val="16"/>
      <w:szCs w:val="16"/>
      <w:lang w:eastAsia="cs-CZ"/>
    </w:rPr>
  </w:style>
  <w:style w:type="paragraph" w:customStyle="1" w:styleId="Nadpis12">
    <w:name w:val="Nadpis 12"/>
    <w:basedOn w:val="Normln"/>
    <w:uiPriority w:val="9"/>
    <w:qFormat/>
    <w:rsid w:val="009324EF"/>
    <w:pPr>
      <w:keepNext/>
      <w:keepLines/>
      <w:spacing w:after="100"/>
      <w:contextualSpacing/>
      <w:jc w:val="left"/>
      <w:outlineLvl w:val="0"/>
    </w:pPr>
    <w:rPr>
      <w:rFonts w:eastAsia="MS Gothic"/>
      <w:b/>
      <w:bCs/>
      <w:color w:val="71818C"/>
      <w:sz w:val="32"/>
      <w:szCs w:val="28"/>
    </w:rPr>
  </w:style>
  <w:style w:type="character" w:customStyle="1" w:styleId="spelle">
    <w:name w:val="spelle"/>
    <w:basedOn w:val="Standardnpsmoodstavce"/>
    <w:rsid w:val="009324EF"/>
  </w:style>
  <w:style w:type="paragraph" w:styleId="Revize">
    <w:name w:val="Revision"/>
    <w:hidden/>
    <w:uiPriority w:val="99"/>
    <w:semiHidden/>
    <w:rsid w:val="009324EF"/>
    <w:rPr>
      <w:rFonts w:ascii="Arial" w:eastAsia="Times New Roman" w:hAnsi="Arial"/>
      <w:szCs w:val="24"/>
      <w:lang w:eastAsia="cs-CZ"/>
    </w:rPr>
  </w:style>
  <w:style w:type="character" w:customStyle="1" w:styleId="odkaz-style-wrapper">
    <w:name w:val="odkaz-style-wrapper"/>
    <w:basedOn w:val="Standardnpsmoodstavce"/>
    <w:rsid w:val="009324EF"/>
  </w:style>
  <w:style w:type="character" w:customStyle="1" w:styleId="tabulka">
    <w:name w:val="tabulka"/>
    <w:basedOn w:val="Standardnpsmoodstavce"/>
    <w:rsid w:val="009324EF"/>
  </w:style>
  <w:style w:type="paragraph" w:customStyle="1" w:styleId="Default">
    <w:name w:val="Default"/>
    <w:rsid w:val="009324EF"/>
    <w:pPr>
      <w:autoSpaceDE w:val="0"/>
      <w:autoSpaceDN w:val="0"/>
      <w:adjustRightInd w:val="0"/>
    </w:pPr>
    <w:rPr>
      <w:rFonts w:cs="Calibri"/>
      <w:color w:val="000000"/>
      <w:sz w:val="24"/>
      <w:szCs w:val="24"/>
    </w:rPr>
  </w:style>
  <w:style w:type="paragraph" w:styleId="Normlnweb">
    <w:name w:val="Normal (Web)"/>
    <w:basedOn w:val="Normln"/>
    <w:uiPriority w:val="99"/>
    <w:semiHidden/>
    <w:unhideWhenUsed/>
    <w:rsid w:val="009324EF"/>
    <w:pPr>
      <w:spacing w:before="100" w:beforeAutospacing="1" w:after="100" w:afterAutospacing="1" w:line="240" w:lineRule="auto"/>
      <w:jc w:val="left"/>
    </w:pPr>
    <w:rPr>
      <w:rFonts w:ascii="Times New Roman" w:hAnsi="Times New Roman"/>
      <w:sz w:val="24"/>
    </w:rPr>
  </w:style>
  <w:style w:type="paragraph" w:styleId="FormtovanvHTML">
    <w:name w:val="HTML Preformatted"/>
    <w:basedOn w:val="Normln"/>
    <w:link w:val="FormtovanvHTMLChar"/>
    <w:uiPriority w:val="99"/>
    <w:semiHidden/>
    <w:unhideWhenUsed/>
    <w:rsid w:val="009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rPr>
  </w:style>
  <w:style w:type="character" w:customStyle="1" w:styleId="FormtovanvHTMLChar">
    <w:name w:val="Formátovaný v HTML Char"/>
    <w:basedOn w:val="Standardnpsmoodstavce"/>
    <w:link w:val="FormtovanvHTML"/>
    <w:uiPriority w:val="99"/>
    <w:semiHidden/>
    <w:rsid w:val="009324EF"/>
    <w:rPr>
      <w:rFonts w:ascii="Courier New" w:eastAsia="Times New Roman" w:hAnsi="Courier New" w:cs="Courier New"/>
      <w:lang w:eastAsia="cs-CZ"/>
    </w:rPr>
  </w:style>
  <w:style w:type="paragraph" w:customStyle="1" w:styleId="cay">
    <w:name w:val="c_ay"/>
    <w:basedOn w:val="Normln"/>
    <w:rsid w:val="009324EF"/>
    <w:pPr>
      <w:spacing w:before="100" w:beforeAutospacing="1" w:after="100" w:afterAutospacing="1" w:line="240" w:lineRule="auto"/>
      <w:jc w:val="left"/>
    </w:pPr>
    <w:rPr>
      <w:rFonts w:ascii="Times New Roman" w:hAnsi="Times New Roman"/>
      <w:sz w:val="24"/>
    </w:rPr>
  </w:style>
  <w:style w:type="character" w:customStyle="1" w:styleId="cew">
    <w:name w:val="c_ew"/>
    <w:basedOn w:val="Standardnpsmoodstavce"/>
    <w:rsid w:val="009324EF"/>
  </w:style>
  <w:style w:type="character" w:styleId="Sledovanodkaz">
    <w:name w:val="FollowedHyperlink"/>
    <w:basedOn w:val="Standardnpsmoodstavce"/>
    <w:uiPriority w:val="99"/>
    <w:semiHidden/>
    <w:unhideWhenUsed/>
    <w:rsid w:val="009324EF"/>
    <w:rPr>
      <w:color w:val="800080" w:themeColor="followedHyperlink"/>
      <w:u w:val="single"/>
    </w:rPr>
  </w:style>
  <w:style w:type="character" w:customStyle="1" w:styleId="cfu">
    <w:name w:val="c_fu"/>
    <w:basedOn w:val="Standardnpsmoodstavce"/>
    <w:rsid w:val="009324EF"/>
  </w:style>
  <w:style w:type="character" w:customStyle="1" w:styleId="OdstavecseseznamemChar">
    <w:name w:val="Odstavec se seznamem Char"/>
    <w:basedOn w:val="Standardnpsmoodstavce"/>
    <w:link w:val="Odstavecseseznamem"/>
    <w:uiPriority w:val="34"/>
    <w:rsid w:val="009324EF"/>
    <w:rPr>
      <w:rFonts w:ascii="Arial" w:eastAsia="Times New Roman" w:hAnsi="Arial"/>
      <w:szCs w:val="24"/>
      <w:lang w:eastAsia="cs-CZ"/>
    </w:rPr>
  </w:style>
  <w:style w:type="paragraph" w:styleId="Textvysvtlivek">
    <w:name w:val="endnote text"/>
    <w:basedOn w:val="Normln"/>
    <w:link w:val="TextvysvtlivekChar"/>
    <w:uiPriority w:val="99"/>
    <w:semiHidden/>
    <w:unhideWhenUsed/>
    <w:rsid w:val="00BB2F43"/>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BB2F43"/>
    <w:rPr>
      <w:rFonts w:ascii="Arial" w:eastAsia="Times New Roman" w:hAnsi="Arial"/>
      <w:lang w:eastAsia="cs-CZ"/>
    </w:rPr>
  </w:style>
  <w:style w:type="character" w:styleId="Odkaznavysvtlivky">
    <w:name w:val="endnote reference"/>
    <w:basedOn w:val="Standardnpsmoodstavce"/>
    <w:uiPriority w:val="99"/>
    <w:semiHidden/>
    <w:unhideWhenUsed/>
    <w:rsid w:val="00BB2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112676334">
      <w:bodyDiv w:val="1"/>
      <w:marLeft w:val="0"/>
      <w:marRight w:val="0"/>
      <w:marTop w:val="0"/>
      <w:marBottom w:val="0"/>
      <w:divBdr>
        <w:top w:val="none" w:sz="0" w:space="0" w:color="auto"/>
        <w:left w:val="none" w:sz="0" w:space="0" w:color="auto"/>
        <w:bottom w:val="none" w:sz="0" w:space="0" w:color="auto"/>
        <w:right w:val="none" w:sz="0" w:space="0" w:color="auto"/>
      </w:divBdr>
    </w:div>
    <w:div w:id="243729605">
      <w:bodyDiv w:val="1"/>
      <w:marLeft w:val="0"/>
      <w:marRight w:val="0"/>
      <w:marTop w:val="0"/>
      <w:marBottom w:val="0"/>
      <w:divBdr>
        <w:top w:val="none" w:sz="0" w:space="0" w:color="auto"/>
        <w:left w:val="none" w:sz="0" w:space="0" w:color="auto"/>
        <w:bottom w:val="none" w:sz="0" w:space="0" w:color="auto"/>
        <w:right w:val="none" w:sz="0" w:space="0" w:color="auto"/>
      </w:divBdr>
    </w:div>
    <w:div w:id="255015632">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883518353">
      <w:bodyDiv w:val="1"/>
      <w:marLeft w:val="0"/>
      <w:marRight w:val="0"/>
      <w:marTop w:val="0"/>
      <w:marBottom w:val="0"/>
      <w:divBdr>
        <w:top w:val="none" w:sz="0" w:space="0" w:color="auto"/>
        <w:left w:val="none" w:sz="0" w:space="0" w:color="auto"/>
        <w:bottom w:val="none" w:sz="0" w:space="0" w:color="auto"/>
        <w:right w:val="none" w:sz="0" w:space="0" w:color="auto"/>
      </w:divBdr>
    </w:div>
    <w:div w:id="932319695">
      <w:bodyDiv w:val="1"/>
      <w:marLeft w:val="0"/>
      <w:marRight w:val="0"/>
      <w:marTop w:val="0"/>
      <w:marBottom w:val="0"/>
      <w:divBdr>
        <w:top w:val="none" w:sz="0" w:space="0" w:color="auto"/>
        <w:left w:val="none" w:sz="0" w:space="0" w:color="auto"/>
        <w:bottom w:val="none" w:sz="0" w:space="0" w:color="auto"/>
        <w:right w:val="none" w:sz="0" w:space="0" w:color="auto"/>
      </w:divBdr>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276136441">
      <w:bodyDiv w:val="1"/>
      <w:marLeft w:val="0"/>
      <w:marRight w:val="0"/>
      <w:marTop w:val="0"/>
      <w:marBottom w:val="0"/>
      <w:divBdr>
        <w:top w:val="none" w:sz="0" w:space="0" w:color="auto"/>
        <w:left w:val="none" w:sz="0" w:space="0" w:color="auto"/>
        <w:bottom w:val="none" w:sz="0" w:space="0" w:color="auto"/>
        <w:right w:val="none" w:sz="0" w:space="0" w:color="auto"/>
      </w:divBdr>
    </w:div>
    <w:div w:id="1283000633">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856962653">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bojnikova31519.CZSO\Downloads\Form_c444_Publikace_regiony%20a%20zeme%20-%20analyz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629137115839245E-2"/>
          <c:y val="2.8458510079622041E-2"/>
          <c:w val="0.93688386524822698"/>
          <c:h val="0.67476668918158278"/>
        </c:manualLayout>
      </c:layout>
      <c:barChart>
        <c:barDir val="col"/>
        <c:grouping val="stacked"/>
        <c:varyColors val="0"/>
        <c:ser>
          <c:idx val="1"/>
          <c:order val="1"/>
          <c:tx>
            <c:strRef>
              <c:f>'souhrnná výkonnost 3'!$F$5</c:f>
              <c:strCache>
                <c:ptCount val="1"/>
                <c:pt idx="0">
                  <c:v>Bilance zahraničního obchodu</c:v>
                </c:pt>
              </c:strCache>
            </c:strRef>
          </c:tx>
          <c:spPr>
            <a:solidFill>
              <a:srgbClr val="86BF5E"/>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3'!$F$18:$F$39</c:f>
              <c:numCache>
                <c:formatCode>#\ ##0.0</c:formatCode>
                <c:ptCount val="22"/>
                <c:pt idx="0">
                  <c:v>-1.572114852316302</c:v>
                </c:pt>
                <c:pt idx="1">
                  <c:v>-1.5138299604773375</c:v>
                </c:pt>
                <c:pt idx="2">
                  <c:v>-1.7542886615440048</c:v>
                </c:pt>
                <c:pt idx="3">
                  <c:v>1.2696539341890052</c:v>
                </c:pt>
                <c:pt idx="4">
                  <c:v>0.22964932571003693</c:v>
                </c:pt>
                <c:pt idx="5">
                  <c:v>-0.11004697577581091</c:v>
                </c:pt>
                <c:pt idx="6">
                  <c:v>1.9732589332036894</c:v>
                </c:pt>
                <c:pt idx="7">
                  <c:v>-0.54920361460869893</c:v>
                </c:pt>
                <c:pt idx="8">
                  <c:v>0.10096096945202841</c:v>
                </c:pt>
                <c:pt idx="9">
                  <c:v>0.63158358948084747</c:v>
                </c:pt>
                <c:pt idx="10">
                  <c:v>-0.28357108599465985</c:v>
                </c:pt>
                <c:pt idx="11">
                  <c:v>1.4519103347850035</c:v>
                </c:pt>
                <c:pt idx="12">
                  <c:v>-0.19084875573963384</c:v>
                </c:pt>
                <c:pt idx="13">
                  <c:v>-0.20909274122971575</c:v>
                </c:pt>
                <c:pt idx="14">
                  <c:v>-0.1689383816891461</c:v>
                </c:pt>
                <c:pt idx="15">
                  <c:v>-0.39576395450318369</c:v>
                </c:pt>
                <c:pt idx="16">
                  <c:v>0.65040380033904144</c:v>
                </c:pt>
                <c:pt idx="17">
                  <c:v>-0.43012996800353942</c:v>
                </c:pt>
                <c:pt idx="18">
                  <c:v>0.10028620043318404</c:v>
                </c:pt>
                <c:pt idx="19">
                  <c:v>0.20815671873668223</c:v>
                </c:pt>
                <c:pt idx="20">
                  <c:v>-0.6963979442632191</c:v>
                </c:pt>
                <c:pt idx="21">
                  <c:v>0.63475841760430651</c:v>
                </c:pt>
              </c:numCache>
            </c:numRef>
          </c:val>
          <c:extLst>
            <c:ext xmlns:c16="http://schemas.microsoft.com/office/drawing/2014/chart" uri="{C3380CC4-5D6E-409C-BE32-E72D297353CC}">
              <c16:uniqueId val="{00000000-8EF1-444C-B39A-2644AB3A8B20}"/>
            </c:ext>
          </c:extLst>
        </c:ser>
        <c:ser>
          <c:idx val="2"/>
          <c:order val="2"/>
          <c:tx>
            <c:strRef>
              <c:f>'souhrnná výkonnost 3'!$H$5</c:f>
              <c:strCache>
                <c:ptCount val="1"/>
                <c:pt idx="0">
                  <c:v>Změna zásob</c:v>
                </c:pt>
              </c:strCache>
            </c:strRef>
          </c:tx>
          <c:spPr>
            <a:solidFill>
              <a:srgbClr val="D8A7B7"/>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3'!$H$18:$H$39</c:f>
              <c:numCache>
                <c:formatCode>#\ ##0.0</c:formatCode>
                <c:ptCount val="22"/>
                <c:pt idx="0">
                  <c:v>1.3365945277321665</c:v>
                </c:pt>
                <c:pt idx="1">
                  <c:v>-0.36695188614329377</c:v>
                </c:pt>
                <c:pt idx="2">
                  <c:v>1.1659783844974942</c:v>
                </c:pt>
                <c:pt idx="3">
                  <c:v>-0.72306063816145894</c:v>
                </c:pt>
                <c:pt idx="4">
                  <c:v>0.58332729431417452</c:v>
                </c:pt>
                <c:pt idx="5">
                  <c:v>0.60971730412013903</c:v>
                </c:pt>
                <c:pt idx="6">
                  <c:v>-1.1821207849855591</c:v>
                </c:pt>
                <c:pt idx="7">
                  <c:v>1.0031296712860207</c:v>
                </c:pt>
                <c:pt idx="8">
                  <c:v>-4.1757091292765766E-2</c:v>
                </c:pt>
                <c:pt idx="9">
                  <c:v>-1.1730403412974955</c:v>
                </c:pt>
                <c:pt idx="10">
                  <c:v>-0.18219801876103775</c:v>
                </c:pt>
                <c:pt idx="11">
                  <c:v>-2.0781369736726605</c:v>
                </c:pt>
                <c:pt idx="12">
                  <c:v>0.46550063094222882</c:v>
                </c:pt>
                <c:pt idx="13">
                  <c:v>0.70101021726914592</c:v>
                </c:pt>
                <c:pt idx="14">
                  <c:v>0.71413244296712086</c:v>
                </c:pt>
                <c:pt idx="15">
                  <c:v>0.80114565530051229</c:v>
                </c:pt>
                <c:pt idx="16">
                  <c:v>-0.72524720114282126</c:v>
                </c:pt>
                <c:pt idx="17">
                  <c:v>0.2762174716761655</c:v>
                </c:pt>
                <c:pt idx="18">
                  <c:v>-0.23757589644799904</c:v>
                </c:pt>
                <c:pt idx="19">
                  <c:v>-0.39101279007341094</c:v>
                </c:pt>
                <c:pt idx="20">
                  <c:v>0.30410441362448765</c:v>
                </c:pt>
                <c:pt idx="21">
                  <c:v>-0.99500932312229962</c:v>
                </c:pt>
              </c:numCache>
            </c:numRef>
          </c:val>
          <c:extLst>
            <c:ext xmlns:c16="http://schemas.microsoft.com/office/drawing/2014/chart" uri="{C3380CC4-5D6E-409C-BE32-E72D297353CC}">
              <c16:uniqueId val="{00000001-8EF1-444C-B39A-2644AB3A8B20}"/>
            </c:ext>
          </c:extLst>
        </c:ser>
        <c:ser>
          <c:idx val="3"/>
          <c:order val="3"/>
          <c:tx>
            <c:strRef>
              <c:f>'souhrnná výkonnost 3'!$G$5</c:f>
              <c:strCache>
                <c:ptCount val="1"/>
                <c:pt idx="0">
                  <c:v>Tvorba hrubého fixního kapitálu</c:v>
                </c:pt>
              </c:strCache>
            </c:strRef>
          </c:tx>
          <c:spPr>
            <a:solidFill>
              <a:srgbClr val="BC5B80"/>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3'!$G$18:$G$39</c:f>
              <c:numCache>
                <c:formatCode>#\ ##0.0</c:formatCode>
                <c:ptCount val="22"/>
                <c:pt idx="0">
                  <c:v>0.57512775567585606</c:v>
                </c:pt>
                <c:pt idx="1">
                  <c:v>0.4817190165773777</c:v>
                </c:pt>
                <c:pt idx="2">
                  <c:v>0.76091094174649998</c:v>
                </c:pt>
                <c:pt idx="3">
                  <c:v>0.17096756690074219</c:v>
                </c:pt>
                <c:pt idx="4">
                  <c:v>0.59615671823006411</c:v>
                </c:pt>
                <c:pt idx="5">
                  <c:v>-8.4731040096779439E-2</c:v>
                </c:pt>
                <c:pt idx="6">
                  <c:v>0.22983978431866303</c:v>
                </c:pt>
                <c:pt idx="7">
                  <c:v>0.11167423587798433</c:v>
                </c:pt>
                <c:pt idx="8">
                  <c:v>9.4351221814449521E-2</c:v>
                </c:pt>
                <c:pt idx="9">
                  <c:v>0.40404018591700336</c:v>
                </c:pt>
                <c:pt idx="10">
                  <c:v>0.19262671310157786</c:v>
                </c:pt>
                <c:pt idx="11">
                  <c:v>0.32325650926501154</c:v>
                </c:pt>
                <c:pt idx="12">
                  <c:v>-0.76968968658976133</c:v>
                </c:pt>
                <c:pt idx="13">
                  <c:v>-0.13004039873506257</c:v>
                </c:pt>
                <c:pt idx="14">
                  <c:v>-0.3146999491756089</c:v>
                </c:pt>
                <c:pt idx="15">
                  <c:v>-0.16734511323324033</c:v>
                </c:pt>
                <c:pt idx="16">
                  <c:v>0.68507477777387193</c:v>
                </c:pt>
                <c:pt idx="17">
                  <c:v>0.16970587959768244</c:v>
                </c:pt>
                <c:pt idx="18">
                  <c:v>0.42825752813640633</c:v>
                </c:pt>
                <c:pt idx="19">
                  <c:v>0.40258782266780163</c:v>
                </c:pt>
                <c:pt idx="20">
                  <c:v>0.42862490167304917</c:v>
                </c:pt>
                <c:pt idx="21">
                  <c:v>0.41766453537062265</c:v>
                </c:pt>
              </c:numCache>
            </c:numRef>
          </c:val>
          <c:extLst>
            <c:ext xmlns:c16="http://schemas.microsoft.com/office/drawing/2014/chart" uri="{C3380CC4-5D6E-409C-BE32-E72D297353CC}">
              <c16:uniqueId val="{00000002-8EF1-444C-B39A-2644AB3A8B20}"/>
            </c:ext>
          </c:extLst>
        </c:ser>
        <c:ser>
          <c:idx val="5"/>
          <c:order val="4"/>
          <c:tx>
            <c:strRef>
              <c:f>'souhrnná výkonnost 3'!$D$5</c:f>
              <c:strCache>
                <c:ptCount val="1"/>
                <c:pt idx="0">
                  <c:v>Výdaje na konečnou spotřebu domácností (vč. nezisk. inst.)</c:v>
                </c:pt>
              </c:strCache>
            </c:strRef>
          </c:tx>
          <c:spPr>
            <a:solidFill>
              <a:srgbClr val="009CB5"/>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3'!$D$18:$D$39</c:f>
              <c:numCache>
                <c:formatCode>#\ ##0.0</c:formatCode>
                <c:ptCount val="22"/>
                <c:pt idx="0">
                  <c:v>0.59367883203516825</c:v>
                </c:pt>
                <c:pt idx="1">
                  <c:v>2.8540577195452901</c:v>
                </c:pt>
                <c:pt idx="2">
                  <c:v>0.69899115314300364</c:v>
                </c:pt>
                <c:pt idx="3">
                  <c:v>-0.33115993559977402</c:v>
                </c:pt>
                <c:pt idx="4">
                  <c:v>0.11335665498909482</c:v>
                </c:pt>
                <c:pt idx="5">
                  <c:v>-0.26852017086466601</c:v>
                </c:pt>
                <c:pt idx="6">
                  <c:v>-0.82682588617400865</c:v>
                </c:pt>
                <c:pt idx="7">
                  <c:v>-1.1227844164807612</c:v>
                </c:pt>
                <c:pt idx="8">
                  <c:v>-0.33643210303489929</c:v>
                </c:pt>
                <c:pt idx="9">
                  <c:v>0.59167689443727067</c:v>
                </c:pt>
                <c:pt idx="10">
                  <c:v>-0.26478594755725626</c:v>
                </c:pt>
                <c:pt idx="11">
                  <c:v>0.26745135339500464</c:v>
                </c:pt>
                <c:pt idx="12">
                  <c:v>0.8284391474389422</c:v>
                </c:pt>
                <c:pt idx="13">
                  <c:v>-0.24950839388697255</c:v>
                </c:pt>
                <c:pt idx="14">
                  <c:v>0.35503202784406535</c:v>
                </c:pt>
                <c:pt idx="15">
                  <c:v>0.33574916520873399</c:v>
                </c:pt>
                <c:pt idx="16">
                  <c:v>3.2179231663109827E-2</c:v>
                </c:pt>
                <c:pt idx="17">
                  <c:v>0.42414614114302979</c:v>
                </c:pt>
                <c:pt idx="18">
                  <c:v>0.23687845360611126</c:v>
                </c:pt>
                <c:pt idx="19">
                  <c:v>0.47639542925898271</c:v>
                </c:pt>
                <c:pt idx="20">
                  <c:v>0.15113023045996615</c:v>
                </c:pt>
                <c:pt idx="21">
                  <c:v>0.2526653407638349</c:v>
                </c:pt>
              </c:numCache>
            </c:numRef>
          </c:val>
          <c:extLst>
            <c:ext xmlns:c16="http://schemas.microsoft.com/office/drawing/2014/chart" uri="{C3380CC4-5D6E-409C-BE32-E72D297353CC}">
              <c16:uniqueId val="{00000003-8EF1-444C-B39A-2644AB3A8B20}"/>
            </c:ext>
          </c:extLst>
        </c:ser>
        <c:ser>
          <c:idx val="4"/>
          <c:order val="5"/>
          <c:tx>
            <c:strRef>
              <c:f>'souhrnná výkonnost 3'!$E$5</c:f>
              <c:strCache>
                <c:ptCount val="1"/>
                <c:pt idx="0">
                  <c:v>Výdaje na konečnou spotřebu vládních institucí</c:v>
                </c:pt>
              </c:strCache>
            </c:strRef>
          </c:tx>
          <c:spPr>
            <a:solidFill>
              <a:srgbClr val="9FC9D7"/>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3'!$E$18:$E$39</c:f>
              <c:numCache>
                <c:formatCode>#\ ##0.0</c:formatCode>
                <c:ptCount val="22"/>
                <c:pt idx="0">
                  <c:v>-0.92875095384869155</c:v>
                </c:pt>
                <c:pt idx="1">
                  <c:v>-2.9787360236476428E-2</c:v>
                </c:pt>
                <c:pt idx="2">
                  <c:v>0.80775044990006306</c:v>
                </c:pt>
                <c:pt idx="3">
                  <c:v>0.15816803848621536</c:v>
                </c:pt>
                <c:pt idx="4">
                  <c:v>-0.55971693206488571</c:v>
                </c:pt>
                <c:pt idx="5">
                  <c:v>0.12731563941259708</c:v>
                </c:pt>
                <c:pt idx="6">
                  <c:v>-4.7188199945732347E-2</c:v>
                </c:pt>
                <c:pt idx="7">
                  <c:v>0.20946156961033643</c:v>
                </c:pt>
                <c:pt idx="8">
                  <c:v>0.29278143423784864</c:v>
                </c:pt>
                <c:pt idx="9">
                  <c:v>-2.0320691458915133E-2</c:v>
                </c:pt>
                <c:pt idx="10">
                  <c:v>0.13263607190554347</c:v>
                </c:pt>
                <c:pt idx="11">
                  <c:v>0.22319251770780366</c:v>
                </c:pt>
                <c:pt idx="12">
                  <c:v>8.9996058469672388E-2</c:v>
                </c:pt>
                <c:pt idx="13">
                  <c:v>0.1392190059853684</c:v>
                </c:pt>
                <c:pt idx="14">
                  <c:v>5.579128676255779E-2</c:v>
                </c:pt>
                <c:pt idx="15">
                  <c:v>0.12746134722536551</c:v>
                </c:pt>
                <c:pt idx="16">
                  <c:v>0.10843878809630265</c:v>
                </c:pt>
                <c:pt idx="17">
                  <c:v>0.11118221212668528</c:v>
                </c:pt>
                <c:pt idx="18">
                  <c:v>0.14583067599553443</c:v>
                </c:pt>
                <c:pt idx="19">
                  <c:v>-9.1340841717672174E-3</c:v>
                </c:pt>
                <c:pt idx="20">
                  <c:v>1.3229649501889318E-2</c:v>
                </c:pt>
                <c:pt idx="21">
                  <c:v>2.9115298987551885E-2</c:v>
                </c:pt>
              </c:numCache>
            </c:numRef>
          </c:val>
          <c:extLst>
            <c:ext xmlns:c16="http://schemas.microsoft.com/office/drawing/2014/chart" uri="{C3380CC4-5D6E-409C-BE32-E72D297353CC}">
              <c16:uniqueId val="{00000004-8EF1-444C-B39A-2644AB3A8B20}"/>
            </c:ext>
          </c:extLst>
        </c:ser>
        <c:dLbls>
          <c:showLegendKey val="0"/>
          <c:showVal val="0"/>
          <c:showCatName val="0"/>
          <c:showSerName val="0"/>
          <c:showPercent val="0"/>
          <c:showBubbleSize val="0"/>
        </c:dLbls>
        <c:gapWidth val="90"/>
        <c:overlap val="100"/>
        <c:axId val="267591040"/>
        <c:axId val="267605120"/>
      </c:barChart>
      <c:lineChart>
        <c:grouping val="standard"/>
        <c:varyColors val="0"/>
        <c:ser>
          <c:idx val="0"/>
          <c:order val="0"/>
          <c:tx>
            <c:strRef>
              <c:f>'souhrnná výkonnost 3'!$C$5</c:f>
              <c:strCache>
                <c:ptCount val="1"/>
                <c:pt idx="0">
                  <c:v>HDP</c:v>
                </c:pt>
              </c:strCache>
            </c:strRef>
          </c:tx>
          <c:spPr>
            <a:ln w="19050">
              <a:solidFill>
                <a:schemeClr val="tx1"/>
              </a:solidFill>
            </a:ln>
          </c:spPr>
          <c:marker>
            <c:symbol val="none"/>
          </c:marker>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3'!$C$18:$C$39</c:f>
              <c:numCache>
                <c:formatCode>#\ ##0.0</c:formatCode>
                <c:ptCount val="22"/>
                <c:pt idx="0">
                  <c:v>2.9256757030054814E-2</c:v>
                </c:pt>
                <c:pt idx="1">
                  <c:v>1.4365987982629065</c:v>
                </c:pt>
                <c:pt idx="2">
                  <c:v>1.7350211172300334</c:v>
                </c:pt>
                <c:pt idx="3">
                  <c:v>0.61863116182236411</c:v>
                </c:pt>
                <c:pt idx="4">
                  <c:v>0.94875441098109548</c:v>
                </c:pt>
                <c:pt idx="5">
                  <c:v>0.30648557421844203</c:v>
                </c:pt>
                <c:pt idx="6">
                  <c:v>0.13614145379075637</c:v>
                </c:pt>
                <c:pt idx="7">
                  <c:v>-0.38584978486377963</c:v>
                </c:pt>
                <c:pt idx="8">
                  <c:v>0.18557572813413969</c:v>
                </c:pt>
                <c:pt idx="9">
                  <c:v>0.39906973522346334</c:v>
                </c:pt>
                <c:pt idx="10">
                  <c:v>-0.41332662130082554</c:v>
                </c:pt>
                <c:pt idx="11">
                  <c:v>0.28629565623481312</c:v>
                </c:pt>
                <c:pt idx="12">
                  <c:v>0.31752509529270867</c:v>
                </c:pt>
                <c:pt idx="13">
                  <c:v>0.28457474789659898</c:v>
                </c:pt>
                <c:pt idx="14">
                  <c:v>0.65495991780097995</c:v>
                </c:pt>
                <c:pt idx="15">
                  <c:v>0.71449823096783405</c:v>
                </c:pt>
                <c:pt idx="16">
                  <c:v>0.79121664847778561</c:v>
                </c:pt>
                <c:pt idx="17">
                  <c:v>0.57697752637686506</c:v>
                </c:pt>
                <c:pt idx="18">
                  <c:v>0.69505842784639071</c:v>
                </c:pt>
                <c:pt idx="19">
                  <c:v>0.70408558888750861</c:v>
                </c:pt>
                <c:pt idx="20">
                  <c:v>0.17584321765021116</c:v>
                </c:pt>
                <c:pt idx="21">
                  <c:v>0.35795161775615725</c:v>
                </c:pt>
              </c:numCache>
            </c:numRef>
          </c:val>
          <c:smooth val="0"/>
          <c:extLst>
            <c:ext xmlns:c16="http://schemas.microsoft.com/office/drawing/2014/chart" uri="{C3380CC4-5D6E-409C-BE32-E72D297353CC}">
              <c16:uniqueId val="{00000005-8EF1-444C-B39A-2644AB3A8B20}"/>
            </c:ext>
          </c:extLst>
        </c:ser>
        <c:dLbls>
          <c:showLegendKey val="0"/>
          <c:showVal val="0"/>
          <c:showCatName val="0"/>
          <c:showSerName val="0"/>
          <c:showPercent val="0"/>
          <c:showBubbleSize val="0"/>
        </c:dLbls>
        <c:marker val="1"/>
        <c:smooth val="0"/>
        <c:axId val="267591040"/>
        <c:axId val="267605120"/>
      </c:lineChart>
      <c:catAx>
        <c:axId val="267591040"/>
        <c:scaling>
          <c:orientation val="minMax"/>
        </c:scaling>
        <c:delete val="0"/>
        <c:axPos val="b"/>
        <c:numFmt formatCode="General" sourceLinked="1"/>
        <c:majorTickMark val="out"/>
        <c:minorTickMark val="none"/>
        <c:tickLblPos val="low"/>
        <c:spPr>
          <a:ln>
            <a:solidFill>
              <a:schemeClr val="tx1"/>
            </a:solidFill>
          </a:ln>
        </c:spPr>
        <c:txPr>
          <a:bodyPr rot="0" vert="horz"/>
          <a:lstStyle/>
          <a:p>
            <a:pPr>
              <a:defRPr/>
            </a:pPr>
            <a:endParaRPr lang="cs-CZ"/>
          </a:p>
        </c:txPr>
        <c:crossAx val="267605120"/>
        <c:crosses val="autoZero"/>
        <c:auto val="1"/>
        <c:lblAlgn val="ctr"/>
        <c:lblOffset val="100"/>
        <c:noMultiLvlLbl val="0"/>
      </c:catAx>
      <c:valAx>
        <c:axId val="267605120"/>
        <c:scaling>
          <c:orientation val="minMax"/>
        </c:scaling>
        <c:delete val="0"/>
        <c:axPos val="l"/>
        <c:majorGridlines>
          <c:spPr>
            <a:ln w="6350">
              <a:solidFill>
                <a:schemeClr val="bg1">
                  <a:lumMod val="75000"/>
                </a:schemeClr>
              </a:solidFill>
            </a:ln>
          </c:spPr>
        </c:majorGridlines>
        <c:numFmt formatCode="#,##0" sourceLinked="0"/>
        <c:majorTickMark val="out"/>
        <c:minorTickMark val="none"/>
        <c:tickLblPos val="nextTo"/>
        <c:spPr>
          <a:ln>
            <a:solidFill>
              <a:schemeClr val="tx1"/>
            </a:solidFill>
          </a:ln>
        </c:spPr>
        <c:crossAx val="267591040"/>
        <c:crosses val="autoZero"/>
        <c:crossBetween val="between"/>
      </c:valAx>
      <c:spPr>
        <a:ln>
          <a:solidFill>
            <a:schemeClr val="tx1"/>
          </a:solidFill>
        </a:ln>
      </c:spPr>
    </c:plotArea>
    <c:legend>
      <c:legendPos val="b"/>
      <c:layout>
        <c:manualLayout>
          <c:xMode val="edge"/>
          <c:yMode val="edge"/>
          <c:x val="4.7571766295170556E-2"/>
          <c:y val="0.81445992344928519"/>
          <c:w val="0.94432624113475194"/>
          <c:h val="0.17481734774287963"/>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734014481433791E-2"/>
          <c:y val="4.1729893778452203E-2"/>
          <c:w val="0.92686115978130079"/>
          <c:h val="0.79069695195536072"/>
        </c:manualLayout>
      </c:layout>
      <c:barChart>
        <c:barDir val="col"/>
        <c:grouping val="clustered"/>
        <c:varyColors val="0"/>
        <c:ser>
          <c:idx val="0"/>
          <c:order val="0"/>
          <c:tx>
            <c:strRef>
              <c:f>'HDP EU'!$C$3</c:f>
              <c:strCache>
                <c:ptCount val="1"/>
                <c:pt idx="0">
                  <c:v>Mezičtvrtletně</c:v>
                </c:pt>
              </c:strCache>
            </c:strRef>
          </c:tx>
          <c:spPr>
            <a:solidFill>
              <a:schemeClr val="accent1"/>
            </a:solidFill>
            <a:ln>
              <a:noFill/>
            </a:ln>
            <a:effectLst/>
          </c:spPr>
          <c:invertIfNegative val="0"/>
          <c:dPt>
            <c:idx val="28"/>
            <c:invertIfNegative val="0"/>
            <c:bubble3D val="0"/>
            <c:spPr>
              <a:solidFill>
                <a:srgbClr val="009CB5"/>
              </a:solidFill>
              <a:ln>
                <a:noFill/>
              </a:ln>
              <a:effectLst/>
            </c:spPr>
            <c:extLst>
              <c:ext xmlns:c16="http://schemas.microsoft.com/office/drawing/2014/chart" uri="{C3380CC4-5D6E-409C-BE32-E72D297353CC}">
                <c16:uniqueId val="{00000001-A296-4FF7-8AC3-9890D48F095B}"/>
              </c:ext>
            </c:extLst>
          </c:dPt>
          <c:cat>
            <c:strRef>
              <c:f>'HDP EU'!$B$4:$B$31</c:f>
              <c:strCache>
                <c:ptCount val="28"/>
                <c:pt idx="0">
                  <c:v>EU</c:v>
                </c:pt>
                <c:pt idx="1">
                  <c:v>CZ</c:v>
                </c:pt>
                <c:pt idx="3">
                  <c:v>MT</c:v>
                </c:pt>
                <c:pt idx="4">
                  <c:v>SI</c:v>
                </c:pt>
                <c:pt idx="5">
                  <c:v>DK</c:v>
                </c:pt>
                <c:pt idx="6">
                  <c:v>LT</c:v>
                </c:pt>
                <c:pt idx="7">
                  <c:v>PL</c:v>
                </c:pt>
                <c:pt idx="8">
                  <c:v>CY</c:v>
                </c:pt>
                <c:pt idx="9">
                  <c:v>SE</c:v>
                </c:pt>
                <c:pt idx="10">
                  <c:v>LV</c:v>
                </c:pt>
                <c:pt idx="11">
                  <c:v>BG</c:v>
                </c:pt>
                <c:pt idx="12">
                  <c:v>ES</c:v>
                </c:pt>
                <c:pt idx="13">
                  <c:v>PT</c:v>
                </c:pt>
                <c:pt idx="14">
                  <c:v>GR</c:v>
                </c:pt>
                <c:pt idx="15">
                  <c:v>EE</c:v>
                </c:pt>
                <c:pt idx="16">
                  <c:v>HR</c:v>
                </c:pt>
                <c:pt idx="17">
                  <c:v>HU</c:v>
                </c:pt>
                <c:pt idx="18">
                  <c:v>FI</c:v>
                </c:pt>
                <c:pt idx="19">
                  <c:v>NL</c:v>
                </c:pt>
                <c:pt idx="20">
                  <c:v>DE</c:v>
                </c:pt>
                <c:pt idx="21">
                  <c:v>IT</c:v>
                </c:pt>
                <c:pt idx="22">
                  <c:v>SK</c:v>
                </c:pt>
                <c:pt idx="23">
                  <c:v>BE</c:v>
                </c:pt>
                <c:pt idx="24">
                  <c:v>FR</c:v>
                </c:pt>
                <c:pt idx="25">
                  <c:v>AT</c:v>
                </c:pt>
                <c:pt idx="26">
                  <c:v>IE</c:v>
                </c:pt>
                <c:pt idx="27">
                  <c:v>RO</c:v>
                </c:pt>
              </c:strCache>
            </c:strRef>
          </c:cat>
          <c:val>
            <c:numRef>
              <c:f>'HDP EU'!$C$4:$C$31</c:f>
              <c:numCache>
                <c:formatCode>#\ ##0.##########</c:formatCode>
                <c:ptCount val="28"/>
                <c:pt idx="0">
                  <c:v>0.7</c:v>
                </c:pt>
                <c:pt idx="1">
                  <c:v>0.4</c:v>
                </c:pt>
                <c:pt idx="3">
                  <c:v>1.1000000000000001</c:v>
                </c:pt>
                <c:pt idx="4">
                  <c:v>1.8</c:v>
                </c:pt>
                <c:pt idx="5">
                  <c:v>0.3</c:v>
                </c:pt>
                <c:pt idx="6">
                  <c:v>1.7</c:v>
                </c:pt>
                <c:pt idx="7" formatCode="#\ ##0.0">
                  <c:v>1</c:v>
                </c:pt>
                <c:pt idx="8">
                  <c:v>0.8</c:v>
                </c:pt>
                <c:pt idx="9">
                  <c:v>1.6</c:v>
                </c:pt>
                <c:pt idx="10">
                  <c:v>0.7</c:v>
                </c:pt>
                <c:pt idx="11">
                  <c:v>0.7</c:v>
                </c:pt>
                <c:pt idx="12">
                  <c:v>0.7</c:v>
                </c:pt>
                <c:pt idx="13">
                  <c:v>0.8</c:v>
                </c:pt>
                <c:pt idx="14">
                  <c:v>0.3</c:v>
                </c:pt>
                <c:pt idx="15">
                  <c:v>0.3</c:v>
                </c:pt>
                <c:pt idx="16">
                  <c:v>0.4</c:v>
                </c:pt>
                <c:pt idx="17">
                  <c:v>0.5</c:v>
                </c:pt>
                <c:pt idx="18">
                  <c:v>0.4</c:v>
                </c:pt>
                <c:pt idx="19">
                  <c:v>0.4</c:v>
                </c:pt>
                <c:pt idx="20">
                  <c:v>0.3</c:v>
                </c:pt>
                <c:pt idx="21">
                  <c:v>0.2</c:v>
                </c:pt>
                <c:pt idx="22">
                  <c:v>0.2</c:v>
                </c:pt>
                <c:pt idx="23" formatCode="#\ ##0.0">
                  <c:v>0</c:v>
                </c:pt>
                <c:pt idx="24" formatCode="#\ ##0.0">
                  <c:v>0</c:v>
                </c:pt>
                <c:pt idx="25">
                  <c:v>-0.1</c:v>
                </c:pt>
                <c:pt idx="26">
                  <c:v>10.199999999999999</c:v>
                </c:pt>
                <c:pt idx="27" formatCode="#\ ##0.0">
                  <c:v>0</c:v>
                </c:pt>
              </c:numCache>
            </c:numRef>
          </c:val>
          <c:extLst>
            <c:ext xmlns:c16="http://schemas.microsoft.com/office/drawing/2014/chart" uri="{C3380CC4-5D6E-409C-BE32-E72D297353CC}">
              <c16:uniqueId val="{00000002-A296-4FF7-8AC3-9890D48F095B}"/>
            </c:ext>
          </c:extLst>
        </c:ser>
        <c:ser>
          <c:idx val="1"/>
          <c:order val="1"/>
          <c:tx>
            <c:strRef>
              <c:f>'HDP EU'!$D$3</c:f>
              <c:strCache>
                <c:ptCount val="1"/>
                <c:pt idx="0">
                  <c:v>Meziročně</c:v>
                </c:pt>
              </c:strCache>
            </c:strRef>
          </c:tx>
          <c:spPr>
            <a:solidFill>
              <a:srgbClr val="BC5B80"/>
            </a:solidFill>
            <a:ln>
              <a:noFill/>
            </a:ln>
            <a:effectLst/>
          </c:spPr>
          <c:invertIfNegative val="0"/>
          <c:cat>
            <c:strRef>
              <c:f>'HDP EU'!$B$4:$B$31</c:f>
              <c:strCache>
                <c:ptCount val="28"/>
                <c:pt idx="0">
                  <c:v>EU</c:v>
                </c:pt>
                <c:pt idx="1">
                  <c:v>CZ</c:v>
                </c:pt>
                <c:pt idx="3">
                  <c:v>MT</c:v>
                </c:pt>
                <c:pt idx="4">
                  <c:v>SI</c:v>
                </c:pt>
                <c:pt idx="5">
                  <c:v>DK</c:v>
                </c:pt>
                <c:pt idx="6">
                  <c:v>LT</c:v>
                </c:pt>
                <c:pt idx="7">
                  <c:v>PL</c:v>
                </c:pt>
                <c:pt idx="8">
                  <c:v>CY</c:v>
                </c:pt>
                <c:pt idx="9">
                  <c:v>SE</c:v>
                </c:pt>
                <c:pt idx="10">
                  <c:v>LV</c:v>
                </c:pt>
                <c:pt idx="11">
                  <c:v>BG</c:v>
                </c:pt>
                <c:pt idx="12">
                  <c:v>ES</c:v>
                </c:pt>
                <c:pt idx="13">
                  <c:v>PT</c:v>
                </c:pt>
                <c:pt idx="14">
                  <c:v>GR</c:v>
                </c:pt>
                <c:pt idx="15">
                  <c:v>EE</c:v>
                </c:pt>
                <c:pt idx="16">
                  <c:v>HR</c:v>
                </c:pt>
                <c:pt idx="17">
                  <c:v>HU</c:v>
                </c:pt>
                <c:pt idx="18">
                  <c:v>FI</c:v>
                </c:pt>
                <c:pt idx="19">
                  <c:v>NL</c:v>
                </c:pt>
                <c:pt idx="20">
                  <c:v>DE</c:v>
                </c:pt>
                <c:pt idx="21">
                  <c:v>IT</c:v>
                </c:pt>
                <c:pt idx="22">
                  <c:v>SK</c:v>
                </c:pt>
                <c:pt idx="23">
                  <c:v>BE</c:v>
                </c:pt>
                <c:pt idx="24">
                  <c:v>FR</c:v>
                </c:pt>
                <c:pt idx="25">
                  <c:v>AT</c:v>
                </c:pt>
                <c:pt idx="26">
                  <c:v>IE</c:v>
                </c:pt>
                <c:pt idx="27">
                  <c:v>RO</c:v>
                </c:pt>
              </c:strCache>
            </c:strRef>
          </c:cat>
          <c:val>
            <c:numRef>
              <c:f>'HDP EU'!$D$4:$D$31</c:f>
              <c:numCache>
                <c:formatCode>#\ ##0.##########</c:formatCode>
                <c:ptCount val="28"/>
                <c:pt idx="0">
                  <c:v>1.4</c:v>
                </c:pt>
                <c:pt idx="1">
                  <c:v>1.9</c:v>
                </c:pt>
                <c:pt idx="3" formatCode="#\ ##0.0">
                  <c:v>5</c:v>
                </c:pt>
                <c:pt idx="4">
                  <c:v>4.8</c:v>
                </c:pt>
                <c:pt idx="5">
                  <c:v>4.5999999999999996</c:v>
                </c:pt>
                <c:pt idx="6">
                  <c:v>3.8</c:v>
                </c:pt>
                <c:pt idx="7">
                  <c:v>3.8</c:v>
                </c:pt>
                <c:pt idx="8">
                  <c:v>3.3</c:v>
                </c:pt>
                <c:pt idx="9">
                  <c:v>3.2</c:v>
                </c:pt>
                <c:pt idx="10" formatCode="#\ ##0.0">
                  <c:v>3</c:v>
                </c:pt>
                <c:pt idx="11">
                  <c:v>2.8</c:v>
                </c:pt>
                <c:pt idx="12">
                  <c:v>2.7</c:v>
                </c:pt>
                <c:pt idx="13">
                  <c:v>2.5</c:v>
                </c:pt>
                <c:pt idx="14">
                  <c:v>1.9</c:v>
                </c:pt>
                <c:pt idx="15">
                  <c:v>1.8</c:v>
                </c:pt>
                <c:pt idx="16">
                  <c:v>1.7</c:v>
                </c:pt>
                <c:pt idx="17">
                  <c:v>1.7</c:v>
                </c:pt>
                <c:pt idx="18">
                  <c:v>1.6</c:v>
                </c:pt>
                <c:pt idx="19">
                  <c:v>1.5</c:v>
                </c:pt>
                <c:pt idx="20" formatCode="#\ ##0.0">
                  <c:v>1</c:v>
                </c:pt>
                <c:pt idx="21" formatCode="#\ ##0.0">
                  <c:v>1</c:v>
                </c:pt>
                <c:pt idx="22">
                  <c:v>0.9</c:v>
                </c:pt>
                <c:pt idx="23">
                  <c:v>0.5</c:v>
                </c:pt>
                <c:pt idx="24">
                  <c:v>0.5</c:v>
                </c:pt>
                <c:pt idx="25">
                  <c:v>0.4</c:v>
                </c:pt>
                <c:pt idx="26">
                  <c:v>-0.4</c:v>
                </c:pt>
                <c:pt idx="27" formatCode="#\ ##0.0">
                  <c:v>-2</c:v>
                </c:pt>
              </c:numCache>
            </c:numRef>
          </c:val>
          <c:extLst>
            <c:ext xmlns:c16="http://schemas.microsoft.com/office/drawing/2014/chart" uri="{C3380CC4-5D6E-409C-BE32-E72D297353CC}">
              <c16:uniqueId val="{00000003-A296-4FF7-8AC3-9890D48F095B}"/>
            </c:ext>
          </c:extLst>
        </c:ser>
        <c:dLbls>
          <c:showLegendKey val="0"/>
          <c:showVal val="0"/>
          <c:showCatName val="0"/>
          <c:showSerName val="0"/>
          <c:showPercent val="0"/>
          <c:showBubbleSize val="0"/>
        </c:dLbls>
        <c:gapWidth val="89"/>
        <c:overlap val="-27"/>
        <c:axId val="879411855"/>
        <c:axId val="588021199"/>
      </c:barChart>
      <c:catAx>
        <c:axId val="879411855"/>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588021199"/>
        <c:crosses val="autoZero"/>
        <c:auto val="1"/>
        <c:lblAlgn val="ctr"/>
        <c:lblOffset val="100"/>
        <c:noMultiLvlLbl val="0"/>
      </c:catAx>
      <c:valAx>
        <c:axId val="588021199"/>
        <c:scaling>
          <c:orientation val="minMax"/>
          <c:max val="11"/>
          <c:min val="-3"/>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879411855"/>
        <c:crosses val="autoZero"/>
        <c:crossBetween val="between"/>
        <c:majorUnit val="1"/>
      </c:valAx>
      <c:spPr>
        <a:noFill/>
        <a:ln>
          <a:solidFill>
            <a:schemeClr val="tx1"/>
          </a:solidFill>
        </a:ln>
        <a:effectLst/>
      </c:spPr>
    </c:plotArea>
    <c:legend>
      <c:legendPos val="b"/>
      <c:layout>
        <c:manualLayout>
          <c:xMode val="edge"/>
          <c:yMode val="edge"/>
          <c:x val="5.1237546437014517E-2"/>
          <c:y val="0.90194851851851854"/>
          <c:w val="0.92969411665364887"/>
          <c:h val="6.9829259259259258E-2"/>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36457277946645E-2"/>
          <c:y val="3.9316672295395698E-2"/>
          <c:w val="0.89767603850050659"/>
          <c:h val="0.62669734323989645"/>
        </c:manualLayout>
      </c:layout>
      <c:barChart>
        <c:barDir val="col"/>
        <c:grouping val="stacked"/>
        <c:varyColors val="0"/>
        <c:ser>
          <c:idx val="5"/>
          <c:order val="0"/>
          <c:tx>
            <c:strRef>
              <c:f>investice!$H$4</c:f>
              <c:strCache>
                <c:ptCount val="1"/>
                <c:pt idx="0">
                  <c:v>Pěstované biologické zdroje</c:v>
                </c:pt>
              </c:strCache>
            </c:strRef>
          </c:tx>
          <c:spPr>
            <a:solidFill>
              <a:srgbClr val="86BF5E"/>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investice!$H$5:$H$26</c:f>
              <c:numCache>
                <c:formatCode>0.0</c:formatCode>
                <c:ptCount val="22"/>
                <c:pt idx="0">
                  <c:v>3.0738538301111971E-2</c:v>
                </c:pt>
                <c:pt idx="1">
                  <c:v>-3.2588274859741119E-2</c:v>
                </c:pt>
                <c:pt idx="2">
                  <c:v>2.3666265410798637E-2</c:v>
                </c:pt>
                <c:pt idx="3">
                  <c:v>-2.7370117131170539E-2</c:v>
                </c:pt>
                <c:pt idx="4">
                  <c:v>6.2812038273908272E-2</c:v>
                </c:pt>
                <c:pt idx="5">
                  <c:v>-7.2101621392254622E-2</c:v>
                </c:pt>
                <c:pt idx="6">
                  <c:v>5.5358903631902143E-2</c:v>
                </c:pt>
                <c:pt idx="7">
                  <c:v>-6.5931180157547176E-2</c:v>
                </c:pt>
                <c:pt idx="8">
                  <c:v>-8.9204503858158507E-2</c:v>
                </c:pt>
                <c:pt idx="9">
                  <c:v>1.2988487575960894E-2</c:v>
                </c:pt>
                <c:pt idx="10">
                  <c:v>-3.6292215592629198E-2</c:v>
                </c:pt>
                <c:pt idx="11">
                  <c:v>8.3790062665832069E-2</c:v>
                </c:pt>
                <c:pt idx="12">
                  <c:v>-2.338570151249213E-2</c:v>
                </c:pt>
                <c:pt idx="13">
                  <c:v>1.8808328856882668E-2</c:v>
                </c:pt>
                <c:pt idx="14">
                  <c:v>-2.5065309301931134E-2</c:v>
                </c:pt>
                <c:pt idx="15">
                  <c:v>6.174304115924991E-2</c:v>
                </c:pt>
                <c:pt idx="16">
                  <c:v>-5.0156568662491595E-2</c:v>
                </c:pt>
                <c:pt idx="17">
                  <c:v>3.1297615632434196E-2</c:v>
                </c:pt>
                <c:pt idx="18">
                  <c:v>-3.0833757901778867E-2</c:v>
                </c:pt>
                <c:pt idx="19">
                  <c:v>-2.8820989809435586E-2</c:v>
                </c:pt>
                <c:pt idx="20">
                  <c:v>4.6243030540614724E-2</c:v>
                </c:pt>
                <c:pt idx="21">
                  <c:v>0.1321260276374068</c:v>
                </c:pt>
              </c:numCache>
            </c:numRef>
          </c:val>
          <c:extLst>
            <c:ext xmlns:c16="http://schemas.microsoft.com/office/drawing/2014/chart" uri="{C3380CC4-5D6E-409C-BE32-E72D297353CC}">
              <c16:uniqueId val="{00000000-A22A-427B-9015-9E1BC682279F}"/>
            </c:ext>
          </c:extLst>
        </c:ser>
        <c:ser>
          <c:idx val="3"/>
          <c:order val="2"/>
          <c:tx>
            <c:strRef>
              <c:f>investice!$F$4</c:f>
              <c:strCache>
                <c:ptCount val="1"/>
                <c:pt idx="0">
                  <c:v>Dopravní prostředky a zařízení</c:v>
                </c:pt>
              </c:strCache>
            </c:strRef>
          </c:tx>
          <c:spPr>
            <a:solidFill>
              <a:srgbClr val="174F70"/>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investice!$F$5:$F$26</c:f>
              <c:numCache>
                <c:formatCode>0.0</c:formatCode>
                <c:ptCount val="22"/>
                <c:pt idx="0">
                  <c:v>0.77609299860059067</c:v>
                </c:pt>
                <c:pt idx="1">
                  <c:v>0.56446383547894274</c:v>
                </c:pt>
                <c:pt idx="2">
                  <c:v>0.37311608531634627</c:v>
                </c:pt>
                <c:pt idx="3">
                  <c:v>0.51119654689773886</c:v>
                </c:pt>
                <c:pt idx="4">
                  <c:v>-0.19167104503118937</c:v>
                </c:pt>
                <c:pt idx="5">
                  <c:v>-0.11103691265491474</c:v>
                </c:pt>
                <c:pt idx="6">
                  <c:v>0.45333123567521166</c:v>
                </c:pt>
                <c:pt idx="7">
                  <c:v>-0.22224034181840396</c:v>
                </c:pt>
                <c:pt idx="8">
                  <c:v>0.82607867560831527</c:v>
                </c:pt>
                <c:pt idx="9">
                  <c:v>0.75961577603220709</c:v>
                </c:pt>
                <c:pt idx="10">
                  <c:v>-0.15675858772258128</c:v>
                </c:pt>
                <c:pt idx="11">
                  <c:v>0.50030620918446667</c:v>
                </c:pt>
                <c:pt idx="12">
                  <c:v>-0.17553544828982826</c:v>
                </c:pt>
                <c:pt idx="13">
                  <c:v>-0.36959996978171888</c:v>
                </c:pt>
                <c:pt idx="14">
                  <c:v>0.25757953269403411</c:v>
                </c:pt>
                <c:pt idx="15">
                  <c:v>-0.25631880901370541</c:v>
                </c:pt>
                <c:pt idx="16">
                  <c:v>-0.16760212733727109</c:v>
                </c:pt>
                <c:pt idx="17">
                  <c:v>-6.4469987669966589E-2</c:v>
                </c:pt>
                <c:pt idx="18">
                  <c:v>-9.2106083470221936E-2</c:v>
                </c:pt>
                <c:pt idx="19">
                  <c:v>-0.31806113441215506</c:v>
                </c:pt>
                <c:pt idx="20">
                  <c:v>2.5108822185522284</c:v>
                </c:pt>
                <c:pt idx="21">
                  <c:v>-0.5007882228404188</c:v>
                </c:pt>
              </c:numCache>
            </c:numRef>
          </c:val>
          <c:extLst>
            <c:ext xmlns:c16="http://schemas.microsoft.com/office/drawing/2014/chart" uri="{C3380CC4-5D6E-409C-BE32-E72D297353CC}">
              <c16:uniqueId val="{00000001-A22A-427B-9015-9E1BC682279F}"/>
            </c:ext>
          </c:extLst>
        </c:ser>
        <c:ser>
          <c:idx val="4"/>
          <c:order val="3"/>
          <c:tx>
            <c:strRef>
              <c:f>investice!$G$4</c:f>
              <c:strCache>
                <c:ptCount val="1"/>
                <c:pt idx="0">
                  <c:v>ICT, Ostatní stroje a zařízení, Zbraňové systémy</c:v>
                </c:pt>
              </c:strCache>
            </c:strRef>
          </c:tx>
          <c:spPr>
            <a:solidFill>
              <a:srgbClr val="009CB5"/>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investice!$G$5:$G$26</c:f>
              <c:numCache>
                <c:formatCode>0.0</c:formatCode>
                <c:ptCount val="22"/>
                <c:pt idx="0">
                  <c:v>1.2952583739919341</c:v>
                </c:pt>
                <c:pt idx="1">
                  <c:v>1.0363583441354891</c:v>
                </c:pt>
                <c:pt idx="2">
                  <c:v>0.7454825739739257</c:v>
                </c:pt>
                <c:pt idx="3">
                  <c:v>0.37119645183751565</c:v>
                </c:pt>
                <c:pt idx="4">
                  <c:v>1.5739586681827347</c:v>
                </c:pt>
                <c:pt idx="5">
                  <c:v>0.593357979104434</c:v>
                </c:pt>
                <c:pt idx="6">
                  <c:v>1.0387707860470698</c:v>
                </c:pt>
                <c:pt idx="7">
                  <c:v>0.35060305766036448</c:v>
                </c:pt>
                <c:pt idx="8">
                  <c:v>-0.29970535590131087</c:v>
                </c:pt>
                <c:pt idx="9">
                  <c:v>0.37921483272770068</c:v>
                </c:pt>
                <c:pt idx="10">
                  <c:v>0.66213414853158969</c:v>
                </c:pt>
                <c:pt idx="11">
                  <c:v>5.7311593244073348E-3</c:v>
                </c:pt>
                <c:pt idx="12">
                  <c:v>-3.1291694782267667</c:v>
                </c:pt>
                <c:pt idx="13">
                  <c:v>-9.4791601576193221E-2</c:v>
                </c:pt>
                <c:pt idx="14">
                  <c:v>0.11089947264874424</c:v>
                </c:pt>
                <c:pt idx="15">
                  <c:v>0.21056734493342372</c:v>
                </c:pt>
                <c:pt idx="16">
                  <c:v>0.10795844601621753</c:v>
                </c:pt>
                <c:pt idx="17">
                  <c:v>0.26349843303742343</c:v>
                </c:pt>
                <c:pt idx="18">
                  <c:v>-3.8078566347798715E-2</c:v>
                </c:pt>
                <c:pt idx="19">
                  <c:v>0.4874525041303901</c:v>
                </c:pt>
                <c:pt idx="20">
                  <c:v>0.61097034787427906</c:v>
                </c:pt>
                <c:pt idx="21">
                  <c:v>-1.8109020040757153</c:v>
                </c:pt>
              </c:numCache>
            </c:numRef>
          </c:val>
          <c:extLst>
            <c:ext xmlns:c16="http://schemas.microsoft.com/office/drawing/2014/chart" uri="{C3380CC4-5D6E-409C-BE32-E72D297353CC}">
              <c16:uniqueId val="{00000002-A22A-427B-9015-9E1BC682279F}"/>
            </c:ext>
          </c:extLst>
        </c:ser>
        <c:ser>
          <c:idx val="6"/>
          <c:order val="4"/>
          <c:tx>
            <c:strRef>
              <c:f>investice!$I$4</c:f>
              <c:strCache>
                <c:ptCount val="1"/>
                <c:pt idx="0">
                  <c:v>Produkty duševního vlastnictví</c:v>
                </c:pt>
              </c:strCache>
            </c:strRef>
          </c:tx>
          <c:spPr>
            <a:solidFill>
              <a:srgbClr val="CC9610"/>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investice!$I$5:$I$26</c:f>
              <c:numCache>
                <c:formatCode>0.0</c:formatCode>
                <c:ptCount val="22"/>
                <c:pt idx="0">
                  <c:v>0.12533711964176303</c:v>
                </c:pt>
                <c:pt idx="1">
                  <c:v>0.3319508920336906</c:v>
                </c:pt>
                <c:pt idx="2">
                  <c:v>0.43922049774535071</c:v>
                </c:pt>
                <c:pt idx="3">
                  <c:v>0.15277140780745296</c:v>
                </c:pt>
                <c:pt idx="4">
                  <c:v>0.62885267705109427</c:v>
                </c:pt>
                <c:pt idx="5">
                  <c:v>7.203237397670359E-2</c:v>
                </c:pt>
                <c:pt idx="6">
                  <c:v>0.51266926269511004</c:v>
                </c:pt>
                <c:pt idx="7">
                  <c:v>0.21466980083176232</c:v>
                </c:pt>
                <c:pt idx="8">
                  <c:v>-0.58446104570148061</c:v>
                </c:pt>
                <c:pt idx="9">
                  <c:v>9.6229411574107998E-2</c:v>
                </c:pt>
                <c:pt idx="10">
                  <c:v>-7.0364111207940117E-2</c:v>
                </c:pt>
                <c:pt idx="11">
                  <c:v>0.37420674127269804</c:v>
                </c:pt>
                <c:pt idx="12">
                  <c:v>0.12244498567945532</c:v>
                </c:pt>
                <c:pt idx="13">
                  <c:v>0.2298657693502234</c:v>
                </c:pt>
                <c:pt idx="14">
                  <c:v>0.56672697853624654</c:v>
                </c:pt>
                <c:pt idx="15">
                  <c:v>-0.40263662863543853</c:v>
                </c:pt>
                <c:pt idx="16">
                  <c:v>0.71402868194331248</c:v>
                </c:pt>
                <c:pt idx="17">
                  <c:v>0.3766019548163535</c:v>
                </c:pt>
                <c:pt idx="18">
                  <c:v>-0.47316020455836544</c:v>
                </c:pt>
                <c:pt idx="19">
                  <c:v>0.86548826473649065</c:v>
                </c:pt>
                <c:pt idx="20">
                  <c:v>-0.75209494938812582</c:v>
                </c:pt>
                <c:pt idx="21">
                  <c:v>0.64858742119975954</c:v>
                </c:pt>
              </c:numCache>
            </c:numRef>
          </c:val>
          <c:extLst>
            <c:ext xmlns:c16="http://schemas.microsoft.com/office/drawing/2014/chart" uri="{C3380CC4-5D6E-409C-BE32-E72D297353CC}">
              <c16:uniqueId val="{00000003-A22A-427B-9015-9E1BC682279F}"/>
            </c:ext>
          </c:extLst>
        </c:ser>
        <c:ser>
          <c:idx val="2"/>
          <c:order val="5"/>
          <c:tx>
            <c:strRef>
              <c:f>investice!$E$4</c:f>
              <c:strCache>
                <c:ptCount val="1"/>
                <c:pt idx="0">
                  <c:v>Ostatní budovy a stavby</c:v>
                </c:pt>
              </c:strCache>
            </c:strRef>
          </c:tx>
          <c:spPr>
            <a:solidFill>
              <a:srgbClr val="D8A7B7"/>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investice!$E$5:$E$26</c:f>
              <c:numCache>
                <c:formatCode>0.0</c:formatCode>
                <c:ptCount val="22"/>
                <c:pt idx="0">
                  <c:v>0.73197354447088037</c:v>
                </c:pt>
                <c:pt idx="1">
                  <c:v>-0.41413613498233887</c:v>
                </c:pt>
                <c:pt idx="2">
                  <c:v>0.11590214489191845</c:v>
                </c:pt>
                <c:pt idx="3">
                  <c:v>0.12323325373311775</c:v>
                </c:pt>
                <c:pt idx="4">
                  <c:v>-0.49808922298804303</c:v>
                </c:pt>
                <c:pt idx="5">
                  <c:v>0.30590713776964479</c:v>
                </c:pt>
                <c:pt idx="6">
                  <c:v>0.56632813347407407</c:v>
                </c:pt>
                <c:pt idx="7">
                  <c:v>-1.1738716923079755</c:v>
                </c:pt>
                <c:pt idx="8">
                  <c:v>1.9413950503077628</c:v>
                </c:pt>
                <c:pt idx="9">
                  <c:v>0.42462350808406035</c:v>
                </c:pt>
                <c:pt idx="10">
                  <c:v>-2.2812623963593386E-2</c:v>
                </c:pt>
                <c:pt idx="11">
                  <c:v>0.29639862597044186</c:v>
                </c:pt>
                <c:pt idx="12">
                  <c:v>-0.52659258033607392</c:v>
                </c:pt>
                <c:pt idx="13">
                  <c:v>2.9195472967904541E-2</c:v>
                </c:pt>
                <c:pt idx="14">
                  <c:v>-4.3811179474178077E-2</c:v>
                </c:pt>
                <c:pt idx="15">
                  <c:v>0.38005644338110667</c:v>
                </c:pt>
                <c:pt idx="16">
                  <c:v>0.26895156338973253</c:v>
                </c:pt>
                <c:pt idx="17">
                  <c:v>0.53557739926960857</c:v>
                </c:pt>
                <c:pt idx="18">
                  <c:v>1.0850514165995224</c:v>
                </c:pt>
                <c:pt idx="19">
                  <c:v>0.86510225527061868</c:v>
                </c:pt>
                <c:pt idx="20">
                  <c:v>0.19518510160490096</c:v>
                </c:pt>
                <c:pt idx="21">
                  <c:v>1.1633048662590477</c:v>
                </c:pt>
              </c:numCache>
            </c:numRef>
          </c:val>
          <c:extLst>
            <c:ext xmlns:c16="http://schemas.microsoft.com/office/drawing/2014/chart" uri="{C3380CC4-5D6E-409C-BE32-E72D297353CC}">
              <c16:uniqueId val="{00000004-A22A-427B-9015-9E1BC682279F}"/>
            </c:ext>
          </c:extLst>
        </c:ser>
        <c:ser>
          <c:idx val="1"/>
          <c:order val="6"/>
          <c:tx>
            <c:strRef>
              <c:f>investice!$D$4</c:f>
              <c:strCache>
                <c:ptCount val="1"/>
                <c:pt idx="0">
                  <c:v>Obydlí</c:v>
                </c:pt>
              </c:strCache>
            </c:strRef>
          </c:tx>
          <c:spPr>
            <a:solidFill>
              <a:srgbClr val="BC5B80"/>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investice!$D$5:$D$26</c:f>
              <c:numCache>
                <c:formatCode>0.0</c:formatCode>
                <c:ptCount val="22"/>
                <c:pt idx="0">
                  <c:v>-0.47948976626078499</c:v>
                </c:pt>
                <c:pt idx="1">
                  <c:v>1.2329652559766819</c:v>
                </c:pt>
                <c:pt idx="2">
                  <c:v>1.0028720168513254</c:v>
                </c:pt>
                <c:pt idx="3">
                  <c:v>-0.32048566237340076</c:v>
                </c:pt>
                <c:pt idx="4">
                  <c:v>1.1372882106634921</c:v>
                </c:pt>
                <c:pt idx="5">
                  <c:v>-0.76746072654484498</c:v>
                </c:pt>
                <c:pt idx="6">
                  <c:v>-1.5325965609005514</c:v>
                </c:pt>
                <c:pt idx="7">
                  <c:v>1.7185076572677638</c:v>
                </c:pt>
                <c:pt idx="8">
                  <c:v>0.1690157749724884</c:v>
                </c:pt>
                <c:pt idx="9">
                  <c:v>-0.29899559127628916</c:v>
                </c:pt>
                <c:pt idx="10">
                  <c:v>-0.11317175128899748</c:v>
                </c:pt>
                <c:pt idx="11">
                  <c:v>-0.23515852597416698</c:v>
                </c:pt>
                <c:pt idx="12">
                  <c:v>0.58870904408774427</c:v>
                </c:pt>
                <c:pt idx="13">
                  <c:v>-0.16751710746024906</c:v>
                </c:pt>
                <c:pt idx="14">
                  <c:v>-1.3509046720392508</c:v>
                </c:pt>
                <c:pt idx="15">
                  <c:v>-0.7051766902429748</c:v>
                </c:pt>
                <c:pt idx="16">
                  <c:v>1.2076639110303695</c:v>
                </c:pt>
                <c:pt idx="17">
                  <c:v>-0.20268838032769212</c:v>
                </c:pt>
                <c:pt idx="18">
                  <c:v>1.3731476227040436</c:v>
                </c:pt>
                <c:pt idx="19">
                  <c:v>-0.20290896470853864</c:v>
                </c:pt>
                <c:pt idx="20">
                  <c:v>-0.68794507441219388</c:v>
                </c:pt>
                <c:pt idx="21">
                  <c:v>1.899336655411068</c:v>
                </c:pt>
              </c:numCache>
            </c:numRef>
          </c:val>
          <c:extLst>
            <c:ext xmlns:c16="http://schemas.microsoft.com/office/drawing/2014/chart" uri="{C3380CC4-5D6E-409C-BE32-E72D297353CC}">
              <c16:uniqueId val="{00000005-A22A-427B-9015-9E1BC682279F}"/>
            </c:ext>
          </c:extLst>
        </c:ser>
        <c:dLbls>
          <c:showLegendKey val="0"/>
          <c:showVal val="0"/>
          <c:showCatName val="0"/>
          <c:showSerName val="0"/>
          <c:showPercent val="0"/>
          <c:showBubbleSize val="0"/>
        </c:dLbls>
        <c:gapWidth val="96"/>
        <c:overlap val="100"/>
        <c:axId val="844820719"/>
        <c:axId val="588086959"/>
      </c:barChart>
      <c:lineChart>
        <c:grouping val="standard"/>
        <c:varyColors val="0"/>
        <c:ser>
          <c:idx val="0"/>
          <c:order val="1"/>
          <c:tx>
            <c:strRef>
              <c:f>investice!$C$4</c:f>
              <c:strCache>
                <c:ptCount val="1"/>
                <c:pt idx="0">
                  <c:v>Tvorba hrubého fixního kapitálu</c:v>
                </c:pt>
              </c:strCache>
            </c:strRef>
          </c:tx>
          <c:spPr>
            <a:ln w="19050" cap="rnd">
              <a:solidFill>
                <a:schemeClr val="tx1"/>
              </a:solidFill>
              <a:round/>
            </a:ln>
            <a:effectLst/>
          </c:spPr>
          <c:marker>
            <c:symbol val="none"/>
          </c:marker>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investice!$C$5:$C$26</c:f>
              <c:numCache>
                <c:formatCode>0.0</c:formatCode>
                <c:ptCount val="22"/>
                <c:pt idx="0">
                  <c:v>2.4977204560262578</c:v>
                </c:pt>
                <c:pt idx="1">
                  <c:v>2.7307703358155209</c:v>
                </c:pt>
                <c:pt idx="2">
                  <c:v>2.6983529698917437</c:v>
                </c:pt>
                <c:pt idx="3">
                  <c:v>0.87392028757670914</c:v>
                </c:pt>
                <c:pt idx="4">
                  <c:v>2.7498649092652556</c:v>
                </c:pt>
                <c:pt idx="5">
                  <c:v>3.9211010268246582E-2</c:v>
                </c:pt>
                <c:pt idx="6">
                  <c:v>1.1705973094828295</c:v>
                </c:pt>
                <c:pt idx="7">
                  <c:v>0.79727219176220387</c:v>
                </c:pt>
                <c:pt idx="8">
                  <c:v>1.841165372165122</c:v>
                </c:pt>
                <c:pt idx="9">
                  <c:v>1.3707704243002894</c:v>
                </c:pt>
                <c:pt idx="10">
                  <c:v>0.28139662206314142</c:v>
                </c:pt>
                <c:pt idx="11">
                  <c:v>1.005019225689054</c:v>
                </c:pt>
                <c:pt idx="12">
                  <c:v>-3.1637675295082346</c:v>
                </c:pt>
                <c:pt idx="13">
                  <c:v>-0.33316915751180431</c:v>
                </c:pt>
                <c:pt idx="14">
                  <c:v>-0.51687918688358536</c:v>
                </c:pt>
                <c:pt idx="15">
                  <c:v>-0.70272613243625415</c:v>
                </c:pt>
                <c:pt idx="16">
                  <c:v>2.0747435769817457</c:v>
                </c:pt>
                <c:pt idx="17">
                  <c:v>0.94273775168372254</c:v>
                </c:pt>
                <c:pt idx="18">
                  <c:v>1.8012741921359208</c:v>
                </c:pt>
                <c:pt idx="19">
                  <c:v>1.6613349821231793</c:v>
                </c:pt>
                <c:pt idx="20">
                  <c:v>1.9661255849792667</c:v>
                </c:pt>
                <c:pt idx="21">
                  <c:v>1.5180160794157729</c:v>
                </c:pt>
              </c:numCache>
            </c:numRef>
          </c:val>
          <c:smooth val="0"/>
          <c:extLst>
            <c:ext xmlns:c16="http://schemas.microsoft.com/office/drawing/2014/chart" uri="{C3380CC4-5D6E-409C-BE32-E72D297353CC}">
              <c16:uniqueId val="{00000006-A22A-427B-9015-9E1BC682279F}"/>
            </c:ext>
          </c:extLst>
        </c:ser>
        <c:dLbls>
          <c:showLegendKey val="0"/>
          <c:showVal val="0"/>
          <c:showCatName val="0"/>
          <c:showSerName val="0"/>
          <c:showPercent val="0"/>
          <c:showBubbleSize val="0"/>
        </c:dLbls>
        <c:marker val="1"/>
        <c:smooth val="0"/>
        <c:axId val="844820719"/>
        <c:axId val="588086959"/>
      </c:lineChart>
      <c:catAx>
        <c:axId val="844820719"/>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588086959"/>
        <c:crosses val="autoZero"/>
        <c:auto val="1"/>
        <c:lblAlgn val="ctr"/>
        <c:lblOffset val="100"/>
        <c:noMultiLvlLbl val="0"/>
      </c:catAx>
      <c:valAx>
        <c:axId val="588086959"/>
        <c:scaling>
          <c:orientation val="minMax"/>
          <c:max val="4"/>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844820719"/>
        <c:crosses val="autoZero"/>
        <c:crossBetween val="between"/>
      </c:valAx>
      <c:spPr>
        <a:noFill/>
        <a:ln>
          <a:solidFill>
            <a:schemeClr val="tx1"/>
          </a:solidFill>
        </a:ln>
        <a:effectLst/>
      </c:spPr>
    </c:plotArea>
    <c:legend>
      <c:legendPos val="b"/>
      <c:layout>
        <c:manualLayout>
          <c:xMode val="edge"/>
          <c:yMode val="edge"/>
          <c:x val="7.0243372171563651E-2"/>
          <c:y val="0.78043031633457161"/>
          <c:w val="0.89620694022289771"/>
          <c:h val="0.20608887763143086"/>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126857480580882E-2"/>
          <c:y val="2.9499886988623526E-2"/>
          <c:w val="0.9260266801756164"/>
          <c:h val="0.63445260610154264"/>
        </c:manualLayout>
      </c:layout>
      <c:barChart>
        <c:barDir val="col"/>
        <c:grouping val="stacked"/>
        <c:varyColors val="0"/>
        <c:ser>
          <c:idx val="4"/>
          <c:order val="0"/>
          <c:tx>
            <c:strRef>
              <c:f>'souhrnná výkonnost 4'!$C$5</c:f>
              <c:strCache>
                <c:ptCount val="1"/>
                <c:pt idx="0">
                  <c:v>Zemědělství, lesnictví a rybářství</c:v>
                </c:pt>
              </c:strCache>
            </c:strRef>
          </c:tx>
          <c:spPr>
            <a:solidFill>
              <a:srgbClr val="86BF5E"/>
            </a:solidFill>
            <a:ln>
              <a:noFill/>
            </a:ln>
          </c:spPr>
          <c:invertIfNegative val="0"/>
          <c:val>
            <c:numRef>
              <c:f>'souhrnná výkonnost 4'!$C$18:$C$39</c:f>
              <c:numCache>
                <c:formatCode>#\ ##0.0</c:formatCode>
                <c:ptCount val="22"/>
                <c:pt idx="0">
                  <c:v>-0.21016465618804914</c:v>
                </c:pt>
                <c:pt idx="1">
                  <c:v>-8.9010015639096246E-2</c:v>
                </c:pt>
                <c:pt idx="2">
                  <c:v>6.9318767349345048E-3</c:v>
                </c:pt>
                <c:pt idx="3">
                  <c:v>7.314112826928427E-3</c:v>
                </c:pt>
                <c:pt idx="4">
                  <c:v>4.3654501255089143E-2</c:v>
                </c:pt>
                <c:pt idx="5">
                  <c:v>2.9170556017792563E-2</c:v>
                </c:pt>
                <c:pt idx="6">
                  <c:v>2.56111746452365E-2</c:v>
                </c:pt>
                <c:pt idx="7">
                  <c:v>-0.17462814540655808</c:v>
                </c:pt>
                <c:pt idx="8">
                  <c:v>0.67438072358646262</c:v>
                </c:pt>
                <c:pt idx="9">
                  <c:v>-8.5713136501994344E-2</c:v>
                </c:pt>
                <c:pt idx="10">
                  <c:v>-0.17801416987642235</c:v>
                </c:pt>
                <c:pt idx="11">
                  <c:v>0.16308403498801113</c:v>
                </c:pt>
                <c:pt idx="12">
                  <c:v>-7.2497584012224642E-2</c:v>
                </c:pt>
                <c:pt idx="13">
                  <c:v>3.7719645806134263E-3</c:v>
                </c:pt>
                <c:pt idx="14">
                  <c:v>2.6941715364738446E-2</c:v>
                </c:pt>
                <c:pt idx="15">
                  <c:v>-1.3440094606297486E-2</c:v>
                </c:pt>
                <c:pt idx="16">
                  <c:v>2.9477912245653704E-2</c:v>
                </c:pt>
                <c:pt idx="17">
                  <c:v>1.6974176283027838E-2</c:v>
                </c:pt>
                <c:pt idx="18">
                  <c:v>2.419604455944043E-3</c:v>
                </c:pt>
                <c:pt idx="19">
                  <c:v>1.9296737074314226E-2</c:v>
                </c:pt>
                <c:pt idx="20">
                  <c:v>4.151774924263385E-3</c:v>
                </c:pt>
                <c:pt idx="21">
                  <c:v>-3.103831935538599E-2</c:v>
                </c:pt>
              </c:numCache>
            </c:numRef>
          </c:val>
          <c:extLst>
            <c:ext xmlns:c16="http://schemas.microsoft.com/office/drawing/2014/chart" uri="{C3380CC4-5D6E-409C-BE32-E72D297353CC}">
              <c16:uniqueId val="{00000000-34B8-4DA4-B027-56BDE760F23B}"/>
            </c:ext>
          </c:extLst>
        </c:ser>
        <c:ser>
          <c:idx val="3"/>
          <c:order val="1"/>
          <c:tx>
            <c:strRef>
              <c:f>'souhrnná výkonnost 4'!$D$5</c:f>
              <c:strCache>
                <c:ptCount val="1"/>
                <c:pt idx="0">
                  <c:v>Zpracovatelský průmysl (CZ-NACE C)</c:v>
                </c:pt>
              </c:strCache>
            </c:strRef>
          </c:tx>
          <c:spPr>
            <a:solidFill>
              <a:srgbClr val="009CB5"/>
            </a:solidFill>
            <a:ln>
              <a:noFill/>
            </a:ln>
          </c:spPr>
          <c:invertIfNegative val="0"/>
          <c:val>
            <c:numRef>
              <c:f>'souhrnná výkonnost 4'!$D$18:$D$39</c:f>
              <c:numCache>
                <c:formatCode>#\ ##0.0</c:formatCode>
                <c:ptCount val="22"/>
                <c:pt idx="0">
                  <c:v>-0.39422606990664882</c:v>
                </c:pt>
                <c:pt idx="1">
                  <c:v>-0.23770475545776903</c:v>
                </c:pt>
                <c:pt idx="2">
                  <c:v>-0.30339729961955442</c:v>
                </c:pt>
                <c:pt idx="3">
                  <c:v>6.2169959028891629E-2</c:v>
                </c:pt>
                <c:pt idx="4">
                  <c:v>1.1664430306314715</c:v>
                </c:pt>
                <c:pt idx="5">
                  <c:v>0.64214092464415184</c:v>
                </c:pt>
                <c:pt idx="6">
                  <c:v>0.33215772583964209</c:v>
                </c:pt>
                <c:pt idx="7">
                  <c:v>0.45563549275672938</c:v>
                </c:pt>
                <c:pt idx="8">
                  <c:v>0.22805323820112217</c:v>
                </c:pt>
                <c:pt idx="9">
                  <c:v>0.12890925792840582</c:v>
                </c:pt>
                <c:pt idx="10">
                  <c:v>-0.23908499350748316</c:v>
                </c:pt>
                <c:pt idx="11">
                  <c:v>0.34492850643024814</c:v>
                </c:pt>
                <c:pt idx="12">
                  <c:v>-0.65909802846951171</c:v>
                </c:pt>
                <c:pt idx="13">
                  <c:v>-0.16445960583624705</c:v>
                </c:pt>
                <c:pt idx="14">
                  <c:v>0.37798758306928826</c:v>
                </c:pt>
                <c:pt idx="15">
                  <c:v>-2.2754724702839374E-2</c:v>
                </c:pt>
                <c:pt idx="16">
                  <c:v>-3.071489630096284E-2</c:v>
                </c:pt>
                <c:pt idx="17">
                  <c:v>0.17978958166749304</c:v>
                </c:pt>
                <c:pt idx="18">
                  <c:v>0.21726493860777191</c:v>
                </c:pt>
                <c:pt idx="19">
                  <c:v>0.23252610796091144</c:v>
                </c:pt>
                <c:pt idx="20">
                  <c:v>-0.16934779925295232</c:v>
                </c:pt>
                <c:pt idx="21">
                  <c:v>6.7923922312820878E-2</c:v>
                </c:pt>
              </c:numCache>
            </c:numRef>
          </c:val>
          <c:extLst>
            <c:ext xmlns:c16="http://schemas.microsoft.com/office/drawing/2014/chart" uri="{C3380CC4-5D6E-409C-BE32-E72D297353CC}">
              <c16:uniqueId val="{00000001-34B8-4DA4-B027-56BDE760F23B}"/>
            </c:ext>
          </c:extLst>
        </c:ser>
        <c:ser>
          <c:idx val="2"/>
          <c:order val="2"/>
          <c:tx>
            <c:strRef>
              <c:f>'souhrnná výkonnost 4'!$E$5</c:f>
              <c:strCache>
                <c:ptCount val="1"/>
                <c:pt idx="0">
                  <c:v>Ostatní průmyslová odvětví (CZ-NACE B, D, E)</c:v>
                </c:pt>
              </c:strCache>
            </c:strRef>
          </c:tx>
          <c:spPr>
            <a:solidFill>
              <a:srgbClr val="9FC9D7"/>
            </a:solidFill>
            <a:ln>
              <a:noFill/>
            </a:ln>
          </c:spPr>
          <c:invertIfNegative val="0"/>
          <c:val>
            <c:numRef>
              <c:f>'souhrnná výkonnost 4'!$E$18:$E$39</c:f>
              <c:numCache>
                <c:formatCode>#\ ##0.0</c:formatCode>
                <c:ptCount val="22"/>
                <c:pt idx="0">
                  <c:v>8.2072694672079782E-2</c:v>
                </c:pt>
                <c:pt idx="1">
                  <c:v>-5.5768944838059831E-2</c:v>
                </c:pt>
                <c:pt idx="2">
                  <c:v>6.0198553118141263E-2</c:v>
                </c:pt>
                <c:pt idx="3">
                  <c:v>-0.12598900134563104</c:v>
                </c:pt>
                <c:pt idx="4">
                  <c:v>-0.37908025211048302</c:v>
                </c:pt>
                <c:pt idx="5">
                  <c:v>9.4195885607968766E-2</c:v>
                </c:pt>
                <c:pt idx="6">
                  <c:v>-0.15023442350226501</c:v>
                </c:pt>
                <c:pt idx="7">
                  <c:v>-0.41128209604563309</c:v>
                </c:pt>
                <c:pt idx="8">
                  <c:v>-0.28410871264506865</c:v>
                </c:pt>
                <c:pt idx="9">
                  <c:v>-0.12349364364998172</c:v>
                </c:pt>
                <c:pt idx="10">
                  <c:v>-2.9594885384746999E-2</c:v>
                </c:pt>
                <c:pt idx="11">
                  <c:v>-6.1445193248920615E-2</c:v>
                </c:pt>
                <c:pt idx="12">
                  <c:v>3.0305357615878714E-2</c:v>
                </c:pt>
                <c:pt idx="13">
                  <c:v>-3.9252240332702165E-2</c:v>
                </c:pt>
                <c:pt idx="14">
                  <c:v>-6.140335337612679E-2</c:v>
                </c:pt>
                <c:pt idx="15">
                  <c:v>-4.9191481187663699E-2</c:v>
                </c:pt>
                <c:pt idx="16">
                  <c:v>0.1350617382610057</c:v>
                </c:pt>
                <c:pt idx="17">
                  <c:v>4.7918284148914747E-2</c:v>
                </c:pt>
                <c:pt idx="18">
                  <c:v>8.2161914374364597E-3</c:v>
                </c:pt>
                <c:pt idx="19">
                  <c:v>-4.5192898437784901E-2</c:v>
                </c:pt>
                <c:pt idx="20">
                  <c:v>-1.5901349428938977E-2</c:v>
                </c:pt>
                <c:pt idx="21">
                  <c:v>0.16596284372392253</c:v>
                </c:pt>
              </c:numCache>
            </c:numRef>
          </c:val>
          <c:extLst>
            <c:ext xmlns:c16="http://schemas.microsoft.com/office/drawing/2014/chart" uri="{C3380CC4-5D6E-409C-BE32-E72D297353CC}">
              <c16:uniqueId val="{00000002-34B8-4DA4-B027-56BDE760F23B}"/>
            </c:ext>
          </c:extLst>
        </c:ser>
        <c:ser>
          <c:idx val="1"/>
          <c:order val="3"/>
          <c:tx>
            <c:strRef>
              <c:f>'souhrnná výkonnost 4'!$F$5</c:f>
              <c:strCache>
                <c:ptCount val="1"/>
                <c:pt idx="0">
                  <c:v>Stavebnictví</c:v>
                </c:pt>
              </c:strCache>
            </c:strRef>
          </c:tx>
          <c:spPr>
            <a:solidFill>
              <a:srgbClr val="174F70"/>
            </a:solidFill>
            <a:ln>
              <a:noFill/>
            </a:ln>
          </c:spPr>
          <c:invertIfNegative val="0"/>
          <c:val>
            <c:numRef>
              <c:f>'souhrnná výkonnost 4'!$F$18:$F$39</c:f>
              <c:numCache>
                <c:formatCode>#\ ##0.0</c:formatCode>
                <c:ptCount val="22"/>
                <c:pt idx="0">
                  <c:v>-0.12276262260633211</c:v>
                </c:pt>
                <c:pt idx="1">
                  <c:v>2.3637352960532092E-2</c:v>
                </c:pt>
                <c:pt idx="2">
                  <c:v>4.0861309879129053E-2</c:v>
                </c:pt>
                <c:pt idx="3">
                  <c:v>-8.0239571677201499E-2</c:v>
                </c:pt>
                <c:pt idx="4">
                  <c:v>-0.11142112212609062</c:v>
                </c:pt>
                <c:pt idx="5">
                  <c:v>-0.13591206590783669</c:v>
                </c:pt>
                <c:pt idx="6">
                  <c:v>-0.1290409167746972</c:v>
                </c:pt>
                <c:pt idx="7">
                  <c:v>8.3260855069426765E-2</c:v>
                </c:pt>
                <c:pt idx="8">
                  <c:v>1.1921994276463834E-2</c:v>
                </c:pt>
                <c:pt idx="9">
                  <c:v>5.68990960553181E-2</c:v>
                </c:pt>
                <c:pt idx="10">
                  <c:v>6.3707226163507324E-2</c:v>
                </c:pt>
                <c:pt idx="11">
                  <c:v>-9.294592311664418E-2</c:v>
                </c:pt>
                <c:pt idx="12">
                  <c:v>0.13845032199565793</c:v>
                </c:pt>
                <c:pt idx="13">
                  <c:v>-3.9762495943108718E-2</c:v>
                </c:pt>
                <c:pt idx="14">
                  <c:v>-2.6281214799643907E-2</c:v>
                </c:pt>
                <c:pt idx="15">
                  <c:v>0.11217342115815135</c:v>
                </c:pt>
                <c:pt idx="16">
                  <c:v>3.0414881314343892E-2</c:v>
                </c:pt>
                <c:pt idx="17">
                  <c:v>3.4542958257145644E-2</c:v>
                </c:pt>
                <c:pt idx="18">
                  <c:v>4.9695918743827859E-2</c:v>
                </c:pt>
                <c:pt idx="19">
                  <c:v>-2.7427888839428632E-2</c:v>
                </c:pt>
                <c:pt idx="20">
                  <c:v>4.0658595168327129E-2</c:v>
                </c:pt>
                <c:pt idx="21">
                  <c:v>1.6684012352365822E-2</c:v>
                </c:pt>
              </c:numCache>
            </c:numRef>
          </c:val>
          <c:extLst>
            <c:ext xmlns:c16="http://schemas.microsoft.com/office/drawing/2014/chart" uri="{C3380CC4-5D6E-409C-BE32-E72D297353CC}">
              <c16:uniqueId val="{00000003-34B8-4DA4-B027-56BDE760F23B}"/>
            </c:ext>
          </c:extLst>
        </c:ser>
        <c:ser>
          <c:idx val="0"/>
          <c:order val="4"/>
          <c:tx>
            <c:strRef>
              <c:f>'souhrnná výkonnost 4'!$G$5</c:f>
              <c:strCache>
                <c:ptCount val="1"/>
                <c:pt idx="0">
                  <c:v>Služby (CZ-NACE G až U)</c:v>
                </c:pt>
              </c:strCache>
            </c:strRef>
          </c:tx>
          <c:spPr>
            <a:solidFill>
              <a:srgbClr val="BC5B80"/>
            </a:solidFill>
            <a:ln>
              <a:noFill/>
            </a:ln>
          </c:spPr>
          <c:invertIfNegative val="0"/>
          <c:val>
            <c:numRef>
              <c:f>'souhrnná výkonnost 4'!$G$18:$G$39</c:f>
              <c:numCache>
                <c:formatCode>#\ ##0.0</c:formatCode>
                <c:ptCount val="22"/>
                <c:pt idx="0">
                  <c:v>0.38187071657848937</c:v>
                </c:pt>
                <c:pt idx="1">
                  <c:v>1.5924259536680856</c:v>
                </c:pt>
                <c:pt idx="2">
                  <c:v>1.9527393124418904</c:v>
                </c:pt>
                <c:pt idx="3">
                  <c:v>0.76475494372096198</c:v>
                </c:pt>
                <c:pt idx="4">
                  <c:v>-9.3936452074745394E-2</c:v>
                </c:pt>
                <c:pt idx="5">
                  <c:v>1.0201643807904746E-2</c:v>
                </c:pt>
                <c:pt idx="6">
                  <c:v>3.7672109244940216E-2</c:v>
                </c:pt>
                <c:pt idx="7">
                  <c:v>0.33250115603784924</c:v>
                </c:pt>
                <c:pt idx="8">
                  <c:v>-0.1684922439133103</c:v>
                </c:pt>
                <c:pt idx="9">
                  <c:v>-3.6571078370415379E-2</c:v>
                </c:pt>
                <c:pt idx="10">
                  <c:v>7.2765170892712838E-2</c:v>
                </c:pt>
                <c:pt idx="11">
                  <c:v>-0.20007152734877207</c:v>
                </c:pt>
                <c:pt idx="12">
                  <c:v>0.33229607615344486</c:v>
                </c:pt>
                <c:pt idx="13">
                  <c:v>0.576309235224998</c:v>
                </c:pt>
                <c:pt idx="14">
                  <c:v>0.49434179081837309</c:v>
                </c:pt>
                <c:pt idx="15">
                  <c:v>0.499245647451388</c:v>
                </c:pt>
                <c:pt idx="16">
                  <c:v>0.79744444892534361</c:v>
                </c:pt>
                <c:pt idx="17">
                  <c:v>0.33824922355496539</c:v>
                </c:pt>
                <c:pt idx="18">
                  <c:v>0.38211259888627519</c:v>
                </c:pt>
                <c:pt idx="19">
                  <c:v>0.37051656288599788</c:v>
                </c:pt>
                <c:pt idx="20">
                  <c:v>0.26130094950435268</c:v>
                </c:pt>
                <c:pt idx="21">
                  <c:v>0.22168967931813044</c:v>
                </c:pt>
              </c:numCache>
            </c:numRef>
          </c:val>
          <c:extLst>
            <c:ext xmlns:c16="http://schemas.microsoft.com/office/drawing/2014/chart" uri="{C3380CC4-5D6E-409C-BE32-E72D297353CC}">
              <c16:uniqueId val="{00000004-34B8-4DA4-B027-56BDE760F23B}"/>
            </c:ext>
          </c:extLst>
        </c:ser>
        <c:dLbls>
          <c:showLegendKey val="0"/>
          <c:showVal val="0"/>
          <c:showCatName val="0"/>
          <c:showSerName val="0"/>
          <c:showPercent val="0"/>
          <c:showBubbleSize val="0"/>
        </c:dLbls>
        <c:gapWidth val="70"/>
        <c:overlap val="100"/>
        <c:axId val="269005952"/>
        <c:axId val="269007488"/>
      </c:barChart>
      <c:lineChart>
        <c:grouping val="standard"/>
        <c:varyColors val="0"/>
        <c:ser>
          <c:idx val="5"/>
          <c:order val="5"/>
          <c:tx>
            <c:strRef>
              <c:f>'souhrnná výkonnost 4'!$H$5</c:f>
              <c:strCache>
                <c:ptCount val="1"/>
                <c:pt idx="0">
                  <c:v>Hrubá přidaná hodnota celkem</c:v>
                </c:pt>
              </c:strCache>
            </c:strRef>
          </c:tx>
          <c:spPr>
            <a:ln w="19050">
              <a:solidFill>
                <a:prstClr val="black"/>
              </a:solidFill>
            </a:ln>
          </c:spPr>
          <c:marker>
            <c:symbol val="none"/>
          </c:marker>
          <c:cat>
            <c:multiLvlStrRef>
              <c:f>'souhrnná výkonnost 4'!$A$18:$B$39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4'!$H$18:$H$39</c:f>
              <c:numCache>
                <c:formatCode>#\ ##0.0</c:formatCode>
                <c:ptCount val="22"/>
                <c:pt idx="0">
                  <c:v>-0.26315925186742106</c:v>
                </c:pt>
                <c:pt idx="1">
                  <c:v>1.2335820934109734</c:v>
                </c:pt>
                <c:pt idx="2">
                  <c:v>1.7573392115614865</c:v>
                </c:pt>
                <c:pt idx="3">
                  <c:v>0.62786603707967004</c:v>
                </c:pt>
                <c:pt idx="4">
                  <c:v>0.6258012243813198</c:v>
                </c:pt>
                <c:pt idx="5">
                  <c:v>0.63982584839774859</c:v>
                </c:pt>
                <c:pt idx="6">
                  <c:v>0.1160337701194436</c:v>
                </c:pt>
                <c:pt idx="7">
                  <c:v>0.28563657103978812</c:v>
                </c:pt>
                <c:pt idx="8">
                  <c:v>0.46164596022990168</c:v>
                </c:pt>
                <c:pt idx="9">
                  <c:v>-6.0065381272153218E-2</c:v>
                </c:pt>
                <c:pt idx="10">
                  <c:v>-0.31007059306411122</c:v>
                </c:pt>
                <c:pt idx="11">
                  <c:v>0.15397703998571899</c:v>
                </c:pt>
                <c:pt idx="12">
                  <c:v>-0.23099499837101689</c:v>
                </c:pt>
                <c:pt idx="13">
                  <c:v>0.33664323805386687</c:v>
                </c:pt>
                <c:pt idx="14">
                  <c:v>0.81161643039627052</c:v>
                </c:pt>
                <c:pt idx="15">
                  <c:v>0.52609883924334611</c:v>
                </c:pt>
                <c:pt idx="16">
                  <c:v>0.96164912418532822</c:v>
                </c:pt>
                <c:pt idx="17">
                  <c:v>0.61740487903436758</c:v>
                </c:pt>
                <c:pt idx="18">
                  <c:v>0.65974785081625953</c:v>
                </c:pt>
                <c:pt idx="19">
                  <c:v>0.54981456058304445</c:v>
                </c:pt>
                <c:pt idx="20">
                  <c:v>0.12085009293325299</c:v>
                </c:pt>
                <c:pt idx="21">
                  <c:v>0.44117627368729018</c:v>
                </c:pt>
              </c:numCache>
            </c:numRef>
          </c:val>
          <c:smooth val="0"/>
          <c:extLst>
            <c:ext xmlns:c16="http://schemas.microsoft.com/office/drawing/2014/chart" uri="{C3380CC4-5D6E-409C-BE32-E72D297353CC}">
              <c16:uniqueId val="{00000005-34B8-4DA4-B027-56BDE760F23B}"/>
            </c:ext>
          </c:extLst>
        </c:ser>
        <c:dLbls>
          <c:showLegendKey val="0"/>
          <c:showVal val="0"/>
          <c:showCatName val="0"/>
          <c:showSerName val="0"/>
          <c:showPercent val="0"/>
          <c:showBubbleSize val="0"/>
        </c:dLbls>
        <c:marker val="1"/>
        <c:smooth val="0"/>
        <c:axId val="269005952"/>
        <c:axId val="269007488"/>
      </c:lineChart>
      <c:catAx>
        <c:axId val="269005952"/>
        <c:scaling>
          <c:orientation val="minMax"/>
        </c:scaling>
        <c:delete val="0"/>
        <c:axPos val="b"/>
        <c:majorTickMark val="out"/>
        <c:minorTickMark val="none"/>
        <c:tickLblPos val="low"/>
        <c:spPr>
          <a:ln>
            <a:solidFill>
              <a:schemeClr val="tx1"/>
            </a:solidFill>
          </a:ln>
        </c:spPr>
        <c:txPr>
          <a:bodyPr rot="0" vert="horz"/>
          <a:lstStyle/>
          <a:p>
            <a:pPr>
              <a:defRPr/>
            </a:pPr>
            <a:endParaRPr lang="cs-CZ"/>
          </a:p>
        </c:txPr>
        <c:crossAx val="269007488"/>
        <c:crosses val="autoZero"/>
        <c:auto val="1"/>
        <c:lblAlgn val="ctr"/>
        <c:lblOffset val="100"/>
        <c:noMultiLvlLbl val="0"/>
      </c:catAx>
      <c:valAx>
        <c:axId val="269007488"/>
        <c:scaling>
          <c:orientation val="minMax"/>
        </c:scaling>
        <c:delete val="0"/>
        <c:axPos val="l"/>
        <c:majorGridlines>
          <c:spPr>
            <a:ln w="6350">
              <a:solidFill>
                <a:schemeClr val="bg1">
                  <a:lumMod val="75000"/>
                </a:schemeClr>
              </a:solidFill>
            </a:ln>
          </c:spPr>
        </c:majorGridlines>
        <c:numFmt formatCode="0.0" sourceLinked="0"/>
        <c:majorTickMark val="out"/>
        <c:minorTickMark val="none"/>
        <c:tickLblPos val="nextTo"/>
        <c:spPr>
          <a:ln>
            <a:solidFill>
              <a:schemeClr val="tx1"/>
            </a:solidFill>
          </a:ln>
        </c:spPr>
        <c:crossAx val="269005952"/>
        <c:crosses val="autoZero"/>
        <c:crossBetween val="between"/>
      </c:valAx>
      <c:spPr>
        <a:ln>
          <a:solidFill>
            <a:schemeClr val="tx1"/>
          </a:solidFill>
        </a:ln>
      </c:spPr>
    </c:plotArea>
    <c:legend>
      <c:legendPos val="b"/>
      <c:layout>
        <c:manualLayout>
          <c:xMode val="edge"/>
          <c:yMode val="edge"/>
          <c:x val="5.4144292468760548E-2"/>
          <c:y val="0.79016604750647301"/>
          <c:w val="0.92386482607227283"/>
          <c:h val="0.19462484520994944"/>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storieverze xmlns="8675fb2b-b414-4bad-b4c4-d9349268b5a1" xsi:nil="true"/>
    <Verzeform xmlns="8675fb2b-b414-4bad-b4c4-d9349268b5a1">v1.2</Verzeform>
    <Forma xmlns="8675fb2b-b414-4bad-b4c4-d9349268b5a1">
      <Value>Elektronická</Value>
    </Forma>
    <Vazbanaproces xmlns="8675fb2b-b414-4bad-b4c4-d9349268b5a1">179. Vnější komunikace
</Vazbanaproces>
    <Gestor xmlns="8675fb2b-b414-4bad-b4c4-d9349268b5a1">
      <UserInfo>
        <DisplayName>Novotný Michal</DisplayName>
        <AccountId>24</AccountId>
        <AccountType/>
      </UserInfo>
    </Gestor>
    <Form_c xmlns="8675fb2b-b414-4bad-b4c4-d9349268b5a1">444</Form_c>
    <NazevForm xmlns="8675fb2b-b414-4bad-b4c4-d9349268b5a1">Publikace CZ barevná - regiony a země - analýzy</NazevForm>
    <UcinnostOdForm xmlns="8675fb2b-b414-4bad-b4c4-d9349268b5a1">2026-09-06T22:00:00+00:00</UcinnostOdForm>
    <PredpisForm xmlns="8675fb2b-b414-4bad-b4c4-d9349268b5a1">Manuál značky a jednotného vizuálního stylu Českého statistického úřadu</PredpisForm>
    <UstanoveniForm xmlns="8675fb2b-b414-4bad-b4c4-d9349268b5a1" xsi:nil="true"/>
    <PoznForm xmlns="8675fb2b-b414-4bad-b4c4-d9349268b5a1" xsi:nil="true"/>
    <Oznaceni xmlns="8675fb2b-b414-4bad-b4c4-d9349268b5a1">Form_c444</Oznaceni>
    <UcinnostDoForm xmlns="8675fb2b-b414-4bad-b4c4-d9349268b5a1" xsi:nil="true"/>
    <Platnost xmlns="8675fb2b-b414-4bad-b4c4-d9349268b5a1">true</Platnost>
    <Odkaz xmlns="8675fb2b-b414-4bad-b4c4-d9349268b5a1">
      <Url xsi:nil="true"/>
      <Description xsi:nil="true"/>
    </Odkaz>
    <lcf76f155ced4ddcb4097134ff3c332f xmlns="8675fb2b-b414-4bad-b4c4-d9349268b5a1">
      <Terms xmlns="http://schemas.microsoft.com/office/infopath/2007/PartnerControls"/>
    </lcf76f155ced4ddcb4097134ff3c332f>
    <TaxCatchAll xmlns="406a38fe-c53c-4047-b0f8-c641386931ae" xsi:nil="true"/>
    <ProcDomena xmlns="406a38fe-c53c-4047-b0f8-c641386931ae">
      <Value>P4 Komunikace a propagace</Value>
    </ProcDomena>
    <DomenaForm xmlns="8675fb2b-b414-4bad-b4c4-d9349268b5a1" xsi:nil="true"/>
    <SiteKnihDok xmlns="406a38fe-c53c-4047-b0f8-c641386931ae">Vnitřní předpisy</SiteKnihDok>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40" ma:contentTypeDescription="Vytvoří nový dokument" ma:contentTypeScope="" ma:versionID="110421115ddc15f999b8bb81d2de1ec1">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68ff216229c3f5ed4e0b6e8627bc5742"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iteKnihDok" minOccurs="0"/>
                <xsd:element ref="ns3:ProcDome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_old"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element name="SiteKnihDok" ma:index="37" nillable="true" ma:displayName="SiteKnihDok" ma:default="Vnitřní předpisy" ma:description="Seznam knihoven v Site Knihovna dokumentů ČSÚ" ma:format="Dropdown" ma:internalName="SiteKnihDok">
      <xsd:simpleType>
        <xsd:restriction base="dms:Choice">
          <xsd:enumeration value="Vnitřní předpisy"/>
          <xsd:enumeration value="Formuláře"/>
          <xsd:enumeration value="Návody a manuály"/>
          <xsd:enumeration value="Zápisy a reporty"/>
        </xsd:restriction>
      </xsd:simpleType>
    </xsd:element>
    <xsd:element name="ProcDomena" ma:index="38" nillable="true" ma:displayName="Procesní doména" ma:default="P1 Bezpečnost" ma:internalName="ProcDomena">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681AD-41B0-431A-9D34-CF6700A12FAC}">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2.xml><?xml version="1.0" encoding="utf-8"?>
<ds:datastoreItem xmlns:ds="http://schemas.openxmlformats.org/officeDocument/2006/customXml" ds:itemID="{BD4A6635-18E5-4C5D-A03B-290B098117D4}">
  <ds:schemaRefs>
    <ds:schemaRef ds:uri="http://schemas.openxmlformats.org/officeDocument/2006/bibliography"/>
  </ds:schemaRefs>
</ds:datastoreItem>
</file>

<file path=customXml/itemProps3.xml><?xml version="1.0" encoding="utf-8"?>
<ds:datastoreItem xmlns:ds="http://schemas.openxmlformats.org/officeDocument/2006/customXml" ds:itemID="{DFA8A1E1-1E99-4B4F-B9B5-70567730AA3A}">
  <ds:schemaRefs>
    <ds:schemaRef ds:uri="http://schemas.microsoft.com/sharepoint/v3/contenttype/forms"/>
  </ds:schemaRefs>
</ds:datastoreItem>
</file>

<file path=customXml/itemProps4.xml><?xml version="1.0" encoding="utf-8"?>
<ds:datastoreItem xmlns:ds="http://schemas.openxmlformats.org/officeDocument/2006/customXml" ds:itemID="{4520BFF4-F202-41B8-B99D-38B5B9511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Form_c444_Publikace_regiony a zeme - analyzy.dotx</Template>
  <TotalTime>90</TotalTime>
  <Pages>6</Pages>
  <Words>1823</Words>
  <Characters>10762</Characters>
  <Application>Microsoft Office Word</Application>
  <DocSecurity>0</DocSecurity>
  <Lines>89</Lines>
  <Paragraphs>25</Paragraphs>
  <ScaleCrop>false</ScaleCrop>
  <HeadingPairs>
    <vt:vector size="6" baseType="variant">
      <vt:variant>
        <vt:lpstr>Název</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Styl: Nadpis 1</vt:lpstr>
      <vt:lpstr>    Styl: Nadpis 2</vt:lpstr>
      <vt:lpstr>        Styl: Nadpis 3</vt:lpstr>
      <vt:lpstr>        Styl: Nadpis 3</vt:lpstr>
      <vt:lpstr>    Styl: Nadpis 2</vt:lpstr>
      <vt:lpstr>        Styl: Nadpis 3</vt:lpstr>
      <vt:lpstr>    Styl: Nadpis 2</vt:lpstr>
      <vt:lpstr>        Styl: Nadpis 3</vt:lpstr>
    </vt:vector>
  </TitlesOfParts>
  <Company>CSU</Company>
  <LinksUpToDate>false</LinksUpToDate>
  <CharactersWithSpaces>12560</CharactersWithSpaces>
  <SharedDoc>false</SharedDoc>
  <HLinks>
    <vt:vector size="18" baseType="variant">
      <vt:variant>
        <vt:i4>7602181</vt:i4>
      </vt:variant>
      <vt:variant>
        <vt:i4>11092</vt:i4>
      </vt:variant>
      <vt:variant>
        <vt:i4>1025</vt:i4>
      </vt:variant>
      <vt:variant>
        <vt:i4>1</vt:i4>
      </vt:variant>
      <vt:variant>
        <vt:lpwstr>msoFAAF</vt:lpwstr>
      </vt:variant>
      <vt:variant>
        <vt:lpwstr/>
      </vt:variant>
      <vt:variant>
        <vt:i4>7995509</vt:i4>
      </vt:variant>
      <vt:variant>
        <vt:i4>-1</vt:i4>
      </vt:variant>
      <vt:variant>
        <vt:i4>2058</vt:i4>
      </vt:variant>
      <vt:variant>
        <vt:i4>1</vt:i4>
      </vt:variant>
      <vt:variant>
        <vt:lpwstr>CSU RGB CZ logo-02</vt:lpwstr>
      </vt:variant>
      <vt:variant>
        <vt:lpwstr/>
      </vt:variant>
      <vt:variant>
        <vt:i4>7929973</vt:i4>
      </vt:variant>
      <vt:variant>
        <vt:i4>-1</vt:i4>
      </vt:variant>
      <vt:variant>
        <vt:i4>2059</vt:i4>
      </vt:variant>
      <vt:variant>
        <vt:i4>1</vt:i4>
      </vt:variant>
      <vt:variant>
        <vt:lpwstr>CSU RGB CZ 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Publikace CZ barevná - regiony a země - analýzy</dc:title>
  <dc:subject/>
  <dc:creator>Zábojníková Karolína</dc:creator>
  <cp:keywords/>
  <cp:lastModifiedBy>Zábojníková Karolína</cp:lastModifiedBy>
  <cp:revision>47</cp:revision>
  <cp:lastPrinted>2014-07-17T14:07:00Z</cp:lastPrinted>
  <dcterms:created xsi:type="dcterms:W3CDTF">2026-09-14T09:32:00Z</dcterms:created>
  <dcterms:modified xsi:type="dcterms:W3CDTF">2026-09-15T10:23:00Z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Názevformuláře">
    <vt:lpwstr>Publikace CZ barevné - vícetematické analýzy
</vt:lpwstr>
  </property>
  <property fmtid="{D5CDD505-2E9C-101B-9397-08002B2CF9AE}" pid="4" name="Vazbanaprocesnídoménu">
    <vt:lpwstr>;#4. Komunikace a propagace;#</vt:lpwstr>
  </property>
  <property fmtid="{D5CDD505-2E9C-101B-9397-08002B2CF9AE}" pid="5" name="Vazbanadefiničnípředpis">
    <vt:lpwstr>Manuál ke zveřejňování produktů ČSÚ
</vt:lpwstr>
  </property>
  <property fmtid="{D5CDD505-2E9C-101B-9397-08002B2CF9AE}" pid="6" name="Ustanovení">
    <vt:lpwstr>část první čl. 2, odst. 3b,c; část pátá; příloha 1
</vt:lpwstr>
  </property>
  <property fmtid="{D5CDD505-2E9C-101B-9397-08002B2CF9AE}" pid="7" name="Účinnostod">
    <vt:filetime>2018-04-17T07:00:00Z</vt:filetime>
  </property>
  <property fmtid="{D5CDD505-2E9C-101B-9397-08002B2CF9AE}" pid="8" name="Označení">
    <vt:lpwstr>Form_c444</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