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31B44" w14:textId="77777777" w:rsidR="003B7AFA" w:rsidRDefault="003B7AFA" w:rsidP="003B7AFA">
      <w:pPr>
        <w:pStyle w:val="Nadpis1"/>
      </w:pPr>
      <w:bookmarkStart w:id="0" w:name="_Toc176767109"/>
      <w:bookmarkStart w:id="1" w:name="_Toc200969292"/>
      <w:r>
        <w:t>5. Ceny</w:t>
      </w:r>
      <w:bookmarkEnd w:id="1"/>
      <w:r>
        <w:t xml:space="preserve"> </w:t>
      </w:r>
    </w:p>
    <w:tbl>
      <w:tblPr>
        <w:tblW w:w="9639" w:type="dxa"/>
        <w:tblInd w:w="-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91"/>
        <w:gridCol w:w="223"/>
        <w:gridCol w:w="7625"/>
      </w:tblGrid>
      <w:tr w:rsidR="003B7AFA" w14:paraId="5778D403" w14:textId="77777777" w:rsidTr="003B7AFA">
        <w:trPr>
          <w:trHeight w:val="145"/>
        </w:trPr>
        <w:tc>
          <w:tcPr>
            <w:tcW w:w="1791" w:type="dxa"/>
            <w:hideMark/>
          </w:tcPr>
          <w:p w14:paraId="1BF9B654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růst celkové cenové hladiny oslabil.</w:t>
            </w:r>
          </w:p>
        </w:tc>
        <w:tc>
          <w:tcPr>
            <w:tcW w:w="223" w:type="dxa"/>
          </w:tcPr>
          <w:p w14:paraId="55D477F3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530A9166" w14:textId="77777777" w:rsidR="003B7AFA" w:rsidRDefault="003B7AFA" w:rsidP="003B7AFA">
            <w:pPr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Celková cenová hladina (měřeno deflátorem HDP) se v 1. čtvrtletí 2025 meziročně zvýšila o 3,1 %. Tempo výrazně oslabilo oproti minulému roku a šlo o nejnižší přírůstek od 4. čtvrtletí 2018. Především pod vlivem cen spotřeby vládních institucí (2,1 %) zpomalil meziroční růst cenové hladiny u spotřeby (2,6 %). Přírůstek ceny spotřeby domácností mírně posílil na 2,8 %. Výraznější byl meziroční nárůst cenové hladiny u tvorby hrubého kapitálu (2,9 %), z toho u tvorby hrubého fixního kapitálu stoupl na 4,0 %. Meziroční směnné relace zůstaly v 1. čtvrtletí kladné (100,6 %), ale zmírnily se, a to jak u zboží (100,5 %), tak u služeb (100,6 %). Mezičtvrtletní růst celkové cenové hladiny v 1. čtvrtletí posílil na 1,0 %, ale stále šlo v rámci prvního kvartálu o nejnižší přírůstek od roku 2021. Ceny spotřeby vzrostly mezičtvrtletně o 1,1 % a kapitálových statků o 0,8 % (z toho ale u samotné tvorby hrubého fixního kapitálu došlo k poklesu o 2,8 %). Mezičtvrtletní směnné relace dosáhly 99,9 %. Mírně kladné byly směnné relace obchodu se zbožím (100,2 %), zatímco u služeb byly záporné (98,8 %). </w:t>
            </w:r>
          </w:p>
        </w:tc>
      </w:tr>
      <w:tr w:rsidR="003B7AFA" w14:paraId="79497105" w14:textId="77777777" w:rsidTr="003B7AFA">
        <w:trPr>
          <w:trHeight w:val="145"/>
        </w:trPr>
        <w:tc>
          <w:tcPr>
            <w:tcW w:w="1791" w:type="dxa"/>
          </w:tcPr>
          <w:p w14:paraId="516A6EC0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přírůstek spotřebitelských cen mírně oslabil.</w:t>
            </w:r>
          </w:p>
        </w:tc>
        <w:tc>
          <w:tcPr>
            <w:tcW w:w="223" w:type="dxa"/>
          </w:tcPr>
          <w:p w14:paraId="7B2798A8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39186E3A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Index spotřebitelských cen se v 1. čtvrtletí 2025 meziročně zvýšil o 2,7 %. Přírůstek tak mírně oslabil oproti závěru roku 2025 (2,9 % ve 4. kvartálu). Skladba meziročního cenového růstu se oproti loňsku proměnila. Hlavním faktorem působícím ve směru posílení celkového meziročního růstu cen se staly potraviny a nealkoholické nápoje, jejichž ceny na konec roku 2024 navázaly dalším posílením růstu. Naopak u cen bydlení a energií došlo k výraznému oslabení meziročního přírůstku a oddíl tak po několika letech přestal být tím, který nejvíce pohání růst spotřebitelských cen. K celkovému meziročnímu růstu cen významně přispívaly alkoholické nápoje a tabák a stravování </w:t>
            </w:r>
            <w:r>
              <w:rPr>
                <w:lang w:eastAsia="en-US"/>
              </w:rPr>
              <w:br/>
              <w:t>a ubytování. Jako jediné meziročně klesly ceny odívání a obuvi. Spotřebitelské ceny se celkově mezičtvrtletně v 1. kvartálu zvýšily o 1,3 %. To je s výjimkou let 2022 a 2023 úroveň obvyklá pro začátek roku. Výrazně v 1. čtvrtletí mezičtvrtletně rostly především ceny alkoholických nápojů a tabáku, rekreací a kultury a potravin a nealkoholických nápojů. Klesly pouze ceny odívání a obuvi.</w:t>
            </w:r>
          </w:p>
        </w:tc>
      </w:tr>
      <w:tr w:rsidR="003B7AFA" w14:paraId="012EC57B" w14:textId="77777777" w:rsidTr="003B7AFA">
        <w:trPr>
          <w:trHeight w:val="145"/>
        </w:trPr>
        <w:tc>
          <w:tcPr>
            <w:tcW w:w="1791" w:type="dxa"/>
          </w:tcPr>
          <w:p w14:paraId="1181D7BD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3D3E1825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2311CE9" w14:textId="77777777" w:rsidR="003B7AFA" w:rsidRDefault="003B7AFA" w:rsidP="003B7AFA">
            <w:pPr>
              <w:spacing w:after="0"/>
              <w:rPr>
                <w:lang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  <w:lang w:eastAsia="en-US"/>
              </w:rPr>
              <w:t>Graf č. 10 Ceny ve vybraných oddílech indexu spotřebitelských cen</w:t>
            </w:r>
            <w:r>
              <w:rPr>
                <w:rFonts w:cs="Arial"/>
                <w:b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>(meziročně v %)</w:t>
            </w:r>
          </w:p>
        </w:tc>
      </w:tr>
      <w:tr w:rsidR="003B7AFA" w14:paraId="0D032E17" w14:textId="77777777" w:rsidTr="003B7AFA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7A5AA0F3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01DD7CFF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9110540" w14:textId="77777777" w:rsidR="003B7AFA" w:rsidRDefault="003B7AFA" w:rsidP="003B7AFA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6D47F9A" wp14:editId="3130185A">
                  <wp:extent cx="4752000" cy="3553200"/>
                  <wp:effectExtent l="0" t="0" r="0" b="0"/>
                  <wp:docPr id="25" name="Graf 2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3B7AFA" w14:paraId="10B81335" w14:textId="77777777" w:rsidTr="003B7AFA">
        <w:trPr>
          <w:trHeight w:val="145"/>
        </w:trPr>
        <w:tc>
          <w:tcPr>
            <w:tcW w:w="1791" w:type="dxa"/>
          </w:tcPr>
          <w:p w14:paraId="4E0BD78F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3759736C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DADD457" w14:textId="77777777" w:rsidR="003B7AFA" w:rsidRDefault="003B7AFA" w:rsidP="003B7AFA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3B7AFA" w14:paraId="3E0ECBF7" w14:textId="77777777" w:rsidTr="003B7AFA">
        <w:trPr>
          <w:trHeight w:val="145"/>
        </w:trPr>
        <w:tc>
          <w:tcPr>
            <w:tcW w:w="1791" w:type="dxa"/>
          </w:tcPr>
          <w:p w14:paraId="00C586A4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 xml:space="preserve">Potraviny </w:t>
            </w:r>
            <w:r>
              <w:rPr>
                <w:spacing w:val="0"/>
                <w:lang w:eastAsia="en-US"/>
              </w:rPr>
              <w:br/>
              <w:t>a nealkoholické nápoje se staly hlavním hybatelem cenového růstu.</w:t>
            </w:r>
          </w:p>
        </w:tc>
        <w:tc>
          <w:tcPr>
            <w:tcW w:w="223" w:type="dxa"/>
          </w:tcPr>
          <w:p w14:paraId="34CADF67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65E93122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>Meziroční růst cen potravin a nealkoholických nápojů v 1. čtvrtletí zrychlil na 5,1 % a příspěvek oddílu k celkovému růstu spotřebitelských cen tak razantně posílil. Zrychlení růstu nejvíce ovlivnil vývoj cen mléka, sýrů a vajec (8,9 %). Udržoval se silný přírůstek cen olejů a tuků (16,9 %), cukru a příbuzných výrobků (8,9 %), ovoce (7,9 %) i nealkoholických nápojů (6,7 %). Meziročně se opět začaly zvyšovat ceny masa (3,1 %) a pekárenských výrobků (1,6 %). Mezičtvrtletně se v 1. kvartálu zvýšily ceny potravin a nealkoholických nápojů o 2,6 %. Druhý nejvýraznější příspěvek k meziročnímu růstu spotřebitelských cen měly ceny alkoholických nápojů a tabáku. Ty v 1. čtvrtletí mezičtvrtletně vzrostly nejvíc z celého spotřebního koše (2,9 %), což také ovlivnilo posílení jejich meziročního přírůstku na 5,1 % (zrychlil především růst cen tabáku).</w:t>
            </w:r>
          </w:p>
        </w:tc>
      </w:tr>
      <w:tr w:rsidR="003B7AFA" w14:paraId="78646503" w14:textId="77777777" w:rsidTr="003B7AFA">
        <w:trPr>
          <w:trHeight w:val="145"/>
        </w:trPr>
        <w:tc>
          <w:tcPr>
            <w:tcW w:w="1791" w:type="dxa"/>
            <w:hideMark/>
          </w:tcPr>
          <w:p w14:paraId="58B3A662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bydlení a energií vzrostly nejméně za téměř čtyři roky.</w:t>
            </w:r>
          </w:p>
        </w:tc>
        <w:tc>
          <w:tcPr>
            <w:tcW w:w="223" w:type="dxa"/>
          </w:tcPr>
          <w:p w14:paraId="7F02EDC4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E68752F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>Ceny bydlení, vody, energií a paliv se v 1. čtvrtletí meziročně zvýšily o 1,4 %, což byl nejmírnější přírůstek od 2. kvartálu 2021. Značně se tak zmírnilo jejich celkové působení ve směru celkového růstu cen. Na oslabení růstu se projevil především propad cen elektrické a tepelné energie, plynu a paliv (−3,3 %). Mírněji se zvyšovaly rovněž ceny ostatních služeb souvisejících s bydlením (3,9 %) a běžné údržby a drobných oprav bytu (3,5 %). Naopak posílení meziročního přírůstku cen bylo zaznamenáno v případě nájemného z bytu (6,5 %) i imputovaného nájemného (3,2 %)</w:t>
            </w:r>
            <w:r>
              <w:rPr>
                <w:rStyle w:val="Znakapoznpodarou"/>
                <w:lang w:eastAsia="en-US"/>
              </w:rPr>
              <w:footnoteReference w:id="1"/>
            </w:r>
            <w:r>
              <w:rPr>
                <w:lang w:eastAsia="en-US"/>
              </w:rPr>
              <w:t xml:space="preserve">. Mezičtvrtletní přírůstek cen bydlení a energií v 1. čtvrtletí dosáhl 0,4 %, což je nižší přírůstek, než je v této oblasti pro začátek roku obvyklé.  </w:t>
            </w:r>
          </w:p>
        </w:tc>
      </w:tr>
      <w:tr w:rsidR="003B7AFA" w14:paraId="7E8F643D" w14:textId="77777777" w:rsidTr="003B7AFA">
        <w:trPr>
          <w:trHeight w:val="145"/>
        </w:trPr>
        <w:tc>
          <w:tcPr>
            <w:tcW w:w="1791" w:type="dxa"/>
          </w:tcPr>
          <w:p w14:paraId="3E84153B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U služeb přetrvával zesílený růst cen.</w:t>
            </w:r>
          </w:p>
        </w:tc>
        <w:tc>
          <w:tcPr>
            <w:tcW w:w="223" w:type="dxa"/>
          </w:tcPr>
          <w:p w14:paraId="6C2F5D0F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7012067A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>Meziroční růst cen stravování a ubytování během loňského roku postupně oslaboval a v 1. čtvrtletí 2025 se snížil na stále nadprůměrné 5,3 %. Výrazněji rostly ceny ubytovacích služeb (8,5 %), zatímco u stravovacích služeb je více patrné zpomalování (4,9 %). Mezičtvrtletně se ceny stravování a ubytování zvýšily o 1,1 %. Přetrvával zvýšený meziroční růst cen v dalších oddílech zahrnujících oblast služeb – ostatní zboží a služby</w:t>
            </w:r>
            <w:r>
              <w:rPr>
                <w:rStyle w:val="Znakapoznpodarou"/>
                <w:lang w:eastAsia="en-US"/>
              </w:rPr>
              <w:footnoteReference w:id="2"/>
            </w:r>
            <w:r>
              <w:rPr>
                <w:lang w:eastAsia="en-US"/>
              </w:rPr>
              <w:t xml:space="preserve"> (3,3 %, mezičtvrtletně o 1,5 %), rekreace a kultura (3,1 %, mezičtvrtletně o 2,8 %). Ceny vzdělávání meziročně vzrostly o 11,2 % (ovlivněno zejména silným mezičtvrtletním přírůstkem ve 4. čtvrtletí 2024, v 1. čtvrtletí se mezičtvrtletně zvyšovaly jen o 0,3 %). Ceny v oblasti zdraví byly v 1. čtvrtletí meziročně vyšší o 4,1 % (mezičtvrtletně o 1,5 %).    </w:t>
            </w:r>
          </w:p>
        </w:tc>
      </w:tr>
      <w:tr w:rsidR="003B7AFA" w14:paraId="70297027" w14:textId="77777777" w:rsidTr="003B7AFA">
        <w:trPr>
          <w:trHeight w:val="145"/>
        </w:trPr>
        <w:tc>
          <w:tcPr>
            <w:tcW w:w="1791" w:type="dxa"/>
          </w:tcPr>
          <w:p w14:paraId="5E0563FB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Klesly jen ceny odívání </w:t>
            </w:r>
            <w:r>
              <w:rPr>
                <w:spacing w:val="0"/>
                <w:lang w:eastAsia="en-US"/>
              </w:rPr>
              <w:br/>
              <w:t>a obuvi.</w:t>
            </w:r>
          </w:p>
        </w:tc>
        <w:tc>
          <w:tcPr>
            <w:tcW w:w="223" w:type="dxa"/>
          </w:tcPr>
          <w:p w14:paraId="0FD97CB6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25921481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>Slabý zůstával meziroční růst cen dopravy (0,3 %). Ceny pohonných hmot byly meziročně nižší (−4,4 %), ale celkově náklady na provoz dopravních prostředků mírně vzrostly (0,3 %). Nižší byly ceny nákupů automobilů, motocyklů a jízdních kol (−0,4 %). Naopak ceny dopravních služeb vzrostly meziročně o 3,7 %. Mezičtvrtletně se ceny dopravy zvýšily o 1,0 %, hlavně pod vlivem cen pohonných hmot. Jen mírně se v 1. čtvrtletí zvýšily také ceny bytového vybavení, zařízení a oprav (1,5 % meziročně, 0,5 % mezičtvrtletně) a pošt a telekomunikací (0,4 % meziročně, mezičtvrtletně beze změny). Jediným oddílem, kde se ceny meziročně propadly, bylo odívání a obuv (−1,9 %), kde došlo také k mezičtvrtletnímu poklesu o 2,2 %.</w:t>
            </w:r>
          </w:p>
        </w:tc>
      </w:tr>
      <w:tr w:rsidR="003B7AFA" w14:paraId="0E74D0A6" w14:textId="77777777" w:rsidTr="003B7AFA">
        <w:trPr>
          <w:trHeight w:val="145"/>
        </w:trPr>
        <w:tc>
          <w:tcPr>
            <w:tcW w:w="1791" w:type="dxa"/>
            <w:hideMark/>
          </w:tcPr>
          <w:p w14:paraId="00C07977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Růst spotřebitelských cen v EU posílil. </w:t>
            </w:r>
          </w:p>
        </w:tc>
        <w:tc>
          <w:tcPr>
            <w:tcW w:w="223" w:type="dxa"/>
          </w:tcPr>
          <w:p w14:paraId="73006FEB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2D27238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>V 1. čtvrtletí 2025 se harmonizovaný index spotřebitelských cen</w:t>
            </w:r>
            <w:r>
              <w:rPr>
                <w:rStyle w:val="Znakapoznpodarou"/>
                <w:lang w:eastAsia="en-US"/>
              </w:rPr>
              <w:footnoteReference w:id="3"/>
            </w:r>
            <w:r>
              <w:rPr>
                <w:lang w:eastAsia="en-US"/>
              </w:rPr>
              <w:t xml:space="preserve"> v EU zvýšil meziročně o 2,7 %. Nejvíce se meziročně zvýšily ceny alkoholu a tabáku (5,0 %), ale pokračoval rovněž zvýšený růst cen různých služeb, což bylo patrné zejména na vývoji cen stravování a ubytování (4,3 %), ale také u ostatního zboží a služeb (4,3 %), cen zdraví (3,8 %) a vzdělávání (4,8 %). Nadprůměrný byl také přírůstek u cen bydlení a energií (3,4 %). V 1. kvartálu meziročně klesly jen ceny telekomunikací (−2,2 %). Nejvíce </w:t>
            </w:r>
            <w:r>
              <w:rPr>
                <w:lang w:eastAsia="en-US"/>
              </w:rPr>
              <w:lastRenderedPageBreak/>
              <w:t xml:space="preserve">meziročně rostly spotřebitelské ceny v Maďarsku (5,4 %), Rumunsku (5,2 %) a Chorvatsku (4,7 %). Nejnižší přírůstky byly naopak zaznamenány ve Francii (1,2 %), Dánsku a Irsku (shodně 1,6 %). Spotřebitelské ceny v EU v 1. čtvrtletí mezičtvrtletně vzrostly o 0,6 %. Vyšší byly zejména ceny bydlení a energií (1,7 %), alkoholu a tabáku (1,6 %), ostatního zboží a služeb (1,5 %) a potravin a nealkoholických nápojů (1,2 %). Klesly jen ceny odívání a obuvi (−7,9 %) a rekreací a kultury (−0,3 %). Nejvýraznější mezičtvrtletní nárůst spotřebitelských cen byl zaznamenán v Maďarsku, Bulharsku (shodně 2,5 %) a Litvě (2,4 %). Ceny naopak klesly v pěti zemích, nejvíce na Kypru (−1,6 %), Maltě (−1,1 %) a v Portugalsku (−0,6 %).  </w:t>
            </w:r>
          </w:p>
        </w:tc>
      </w:tr>
      <w:tr w:rsidR="003B7AFA" w14:paraId="612F2187" w14:textId="77777777" w:rsidTr="003B7AFA">
        <w:trPr>
          <w:trHeight w:val="145"/>
        </w:trPr>
        <w:tc>
          <w:tcPr>
            <w:tcW w:w="1791" w:type="dxa"/>
          </w:tcPr>
          <w:p w14:paraId="32751EFC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Růst cen bytů zrychlil.</w:t>
            </w:r>
          </w:p>
        </w:tc>
        <w:tc>
          <w:tcPr>
            <w:tcW w:w="223" w:type="dxa"/>
          </w:tcPr>
          <w:p w14:paraId="5232899B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77D5D3E6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Vývoj nabídkových cen bytů v Česku v 1. čtvrtletí 2025 odrážel pokračující novou vlnu rozehřívání trhu s nemovitostmi. Mezičtvrtletně se nabídkové ceny zvýšily o 6,3 %, nejvíce od 2. kvartálu 2022. Meziroční přírůstek pak zrychlil až na 15,7 %. Silný mezičtvrtletní nárůst měly nabídkové ceny bytů v Praze (7,9 %, meziročně 16,5 %) i mimo Prahu (4,4 %, meziročně 14,6 %). Realizované ceny starších bytů v ČR, v samotné Praze i v Česku bez Prahy v 1. čtvrtletí vzrostly meziročně stejným tempem 15,8 %. Mezičtvrtletně realizované ceny starších bytů v Česku vzrostly o 4,0 %. Z toho realizované ceny starších bytů mimo Prahu byly vyšší o 4,2 % a v Praze o 3,5 %. V samotné Praze se zjišťují také realizované ceny nových bytů. Ty se v 1. čtvrtletí zvýšily mezičtvrtletně o 3,4 % a jejich meziroční přírůstek posílil na 12,4 %.    </w:t>
            </w:r>
          </w:p>
        </w:tc>
      </w:tr>
      <w:tr w:rsidR="003B7AFA" w14:paraId="4BAB99BC" w14:textId="77777777" w:rsidTr="003B7AFA">
        <w:trPr>
          <w:trHeight w:val="145"/>
        </w:trPr>
        <w:tc>
          <w:tcPr>
            <w:tcW w:w="1791" w:type="dxa"/>
          </w:tcPr>
          <w:p w14:paraId="6826255C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1A743B27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80DFCE3" w14:textId="77777777" w:rsidR="003B7AFA" w:rsidRDefault="003B7AFA" w:rsidP="003B7AFA">
            <w:pPr>
              <w:spacing w:after="0"/>
              <w:rPr>
                <w:rStyle w:val="Znakapoznpodarou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Graf č. 11 Ceny nemovitostí </w:t>
            </w:r>
            <w:r>
              <w:rPr>
                <w:sz w:val="18"/>
                <w:szCs w:val="18"/>
                <w:lang w:eastAsia="en-US"/>
              </w:rPr>
              <w:t>(meziroční změna, v %)</w:t>
            </w:r>
          </w:p>
        </w:tc>
      </w:tr>
      <w:tr w:rsidR="003B7AFA" w14:paraId="038002F5" w14:textId="77777777" w:rsidTr="003B7AFA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11359226" w14:textId="77777777" w:rsidR="003B7AFA" w:rsidRDefault="003B7AFA" w:rsidP="003B7AFA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4F346EE8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98F8F7A" w14:textId="77777777" w:rsidR="003B7AFA" w:rsidRDefault="003B7AFA" w:rsidP="003B7AFA">
            <w:pPr>
              <w:spacing w:after="0"/>
              <w:rPr>
                <w:rStyle w:val="Znakapoznpodarou"/>
              </w:rPr>
            </w:pPr>
            <w:r>
              <w:rPr>
                <w:noProof/>
              </w:rPr>
              <w:drawing>
                <wp:inline distT="0" distB="0" distL="0" distR="0" wp14:anchorId="1D2313A2" wp14:editId="65B4E6A5">
                  <wp:extent cx="4737600" cy="3553200"/>
                  <wp:effectExtent l="0" t="0" r="6350" b="0"/>
                  <wp:docPr id="26" name="Graf 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5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3B7AFA" w14:paraId="4B5CA581" w14:textId="77777777" w:rsidTr="003B7AFA">
        <w:trPr>
          <w:trHeight w:val="145"/>
        </w:trPr>
        <w:tc>
          <w:tcPr>
            <w:tcW w:w="1791" w:type="dxa"/>
          </w:tcPr>
          <w:p w14:paraId="60FE16FE" w14:textId="77777777" w:rsidR="003B7AFA" w:rsidRDefault="003B7AFA" w:rsidP="003B7AFA">
            <w:pPr>
              <w:pStyle w:val="Marginlie"/>
              <w:rPr>
                <w:spacing w:val="0"/>
              </w:rPr>
            </w:pPr>
          </w:p>
        </w:tc>
        <w:tc>
          <w:tcPr>
            <w:tcW w:w="223" w:type="dxa"/>
          </w:tcPr>
          <w:p w14:paraId="0EC4EBA3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33908C21" w14:textId="77777777" w:rsidR="003B7AFA" w:rsidRDefault="003B7AFA" w:rsidP="003B7AFA">
            <w:pPr>
              <w:jc w:val="right"/>
              <w:rPr>
                <w:rStyle w:val="Znakapoznpodarou"/>
                <w:sz w:val="16"/>
                <w:szCs w:val="16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3B7AFA" w14:paraId="65858A56" w14:textId="77777777" w:rsidTr="003B7AFA">
        <w:trPr>
          <w:trHeight w:val="145"/>
        </w:trPr>
        <w:tc>
          <w:tcPr>
            <w:tcW w:w="1791" w:type="dxa"/>
          </w:tcPr>
          <w:p w14:paraId="3C4625B2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průmyslových výrobců meziročně stagnovaly.</w:t>
            </w:r>
          </w:p>
        </w:tc>
        <w:tc>
          <w:tcPr>
            <w:tcW w:w="223" w:type="dxa"/>
          </w:tcPr>
          <w:p w14:paraId="6A2103B7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</w:tcPr>
          <w:p w14:paraId="0F986C75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>Ceny průmyslových výrobců v 1. čtvrtletí meziročně stagnovaly. Z toho mírně vyšší byly ceny výrobků a služeb zpracovatelského průmyslu (0,4 %). Na jedné straně proti sobě působil trvající pokles u surovin a výroby na ně těsně navázané, jako je koks a rafinované ropné produkty</w:t>
            </w:r>
            <w:r>
              <w:rPr>
                <w:rStyle w:val="Znakapoznpodarou"/>
                <w:lang w:eastAsia="en-US"/>
              </w:rPr>
              <w:footnoteReference w:id="4"/>
            </w:r>
            <w:r>
              <w:rPr>
                <w:lang w:eastAsia="en-US"/>
              </w:rPr>
              <w:t xml:space="preserve">, základní kovy (−2,5 %), kovodělné výrobky (−1,1 %) a chemické látky a přípravky (−0,2 %). Meziročně nižší byly také ceny elektrických zařízení (−0,8 %). Posílil naopak meziroční přírůstek cen oděvů (4,7 %), ostatních dopravních prostředků a zařízení (2,9 %), textilií (2,6 %), základních farmaceutických </w:t>
            </w:r>
            <w:r>
              <w:rPr>
                <w:lang w:eastAsia="en-US"/>
              </w:rPr>
              <w:lastRenderedPageBreak/>
              <w:t>výrobků a přípravků (2,5 %) nebo potravinářských výrobků (2,2 %). Vyšší ale slabší v porovnání s loňskými tempy byl meziroční přírůstek cen počítačů, elektronických a optických přístrojů a zařízení (2,7 %), strojů a zařízení (2,3 %), motorových vozidel (1,5 %), nábytku (1,1 %) nebo nápojů (0,4 %). Mezičtvrtletní přírůstek cen výrobků a služeb zpracovatelského průmyslu v 1. čtvrtletí mírně posílil na 0,6 %.</w:t>
            </w:r>
          </w:p>
        </w:tc>
      </w:tr>
      <w:tr w:rsidR="003B7AFA" w14:paraId="125F5D06" w14:textId="77777777" w:rsidTr="003B7AFA">
        <w:trPr>
          <w:trHeight w:val="145"/>
        </w:trPr>
        <w:tc>
          <w:tcPr>
            <w:tcW w:w="1791" w:type="dxa"/>
          </w:tcPr>
          <w:p w14:paraId="4F18EA2C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 xml:space="preserve">Klesaly ceny těžby </w:t>
            </w:r>
            <w:r>
              <w:rPr>
                <w:spacing w:val="0"/>
                <w:lang w:eastAsia="en-US"/>
              </w:rPr>
              <w:br/>
              <w:t>a dobývání.</w:t>
            </w:r>
          </w:p>
        </w:tc>
        <w:tc>
          <w:tcPr>
            <w:tcW w:w="223" w:type="dxa"/>
          </w:tcPr>
          <w:p w14:paraId="09DC672A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76E6D2E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Meziroční pokles cen těžby a dobývání se v 1. čtvrtletí 2025 prohloubil na 2,6 %, zejména pod vlivem cen uhlí. Mezičtvrtletní pokles cen těžby a dobývání zesílil na 2,9 %. Na loňská posilující meziroční tempa navázaly v 1. čtvrtletí ceny elektřiny, plynu, páry a klimatizovaného vzduchu poklesem o 1,2 % (klesly ceny přenosu a rozvodu, pokles cen elektřiny se zmírnil). Mezičtvrtletně se ale ceny v této sekci zvýšily o 0,8 %. Ceny zásobování vodou a služeb souvisejících s odpadními vodami byly meziročně vyšší o 4,1 % a stejný byl i mezičtvrtletní přírůstek. </w:t>
            </w:r>
          </w:p>
        </w:tc>
      </w:tr>
      <w:tr w:rsidR="003B7AFA" w14:paraId="5067AD7D" w14:textId="77777777" w:rsidTr="003B7AFA">
        <w:trPr>
          <w:trHeight w:val="145"/>
        </w:trPr>
        <w:tc>
          <w:tcPr>
            <w:tcW w:w="1791" w:type="dxa"/>
          </w:tcPr>
          <w:p w14:paraId="6F806473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2B9A959A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6469F84E" w14:textId="77777777" w:rsidR="003B7AFA" w:rsidRDefault="003B7AFA" w:rsidP="003B7AFA">
            <w:pPr>
              <w:spacing w:after="0"/>
              <w:rPr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Graf č. 12 Ceny hlavních skupin průmyslových výrobců </w:t>
            </w:r>
            <w:r>
              <w:rPr>
                <w:sz w:val="18"/>
                <w:szCs w:val="18"/>
                <w:lang w:eastAsia="en-US"/>
              </w:rPr>
              <w:t>(meziroční změna, v %, podle klasifikace CPA)</w:t>
            </w:r>
          </w:p>
        </w:tc>
      </w:tr>
      <w:tr w:rsidR="003B7AFA" w14:paraId="742ED927" w14:textId="77777777" w:rsidTr="006B759B">
        <w:tblPrEx>
          <w:tblCellMar>
            <w:left w:w="70" w:type="dxa"/>
            <w:right w:w="70" w:type="dxa"/>
          </w:tblCellMar>
        </w:tblPrEx>
        <w:trPr>
          <w:trHeight w:val="145"/>
        </w:trPr>
        <w:tc>
          <w:tcPr>
            <w:tcW w:w="1791" w:type="dxa"/>
          </w:tcPr>
          <w:p w14:paraId="3477767E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660990B2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1800DD19" w14:textId="0676C805" w:rsidR="003B7AFA" w:rsidRDefault="006B759B" w:rsidP="003B7AFA">
            <w:pPr>
              <w:spacing w:after="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5E42A95" wp14:editId="6F5E6C43">
                  <wp:extent cx="4752000" cy="3553200"/>
                  <wp:effectExtent l="0" t="0" r="0" b="0"/>
                  <wp:docPr id="10" name="Graf 1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8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3B7AFA" w14:paraId="11C4B017" w14:textId="77777777" w:rsidTr="003B7AFA">
        <w:trPr>
          <w:trHeight w:val="145"/>
        </w:trPr>
        <w:tc>
          <w:tcPr>
            <w:tcW w:w="1791" w:type="dxa"/>
          </w:tcPr>
          <w:p w14:paraId="444D9B8A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</w:p>
        </w:tc>
        <w:tc>
          <w:tcPr>
            <w:tcW w:w="223" w:type="dxa"/>
          </w:tcPr>
          <w:p w14:paraId="7054C609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F3E3D5A" w14:textId="77777777" w:rsidR="003B7AFA" w:rsidRDefault="003B7AFA" w:rsidP="003B7AFA">
            <w:pPr>
              <w:jc w:val="righ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Zdroj: ČSÚ</w:t>
            </w:r>
          </w:p>
        </w:tc>
      </w:tr>
      <w:tr w:rsidR="003B7AFA" w14:paraId="091E03DC" w14:textId="77777777" w:rsidTr="003B7AFA">
        <w:trPr>
          <w:trHeight w:val="145"/>
        </w:trPr>
        <w:tc>
          <w:tcPr>
            <w:tcW w:w="1791" w:type="dxa"/>
            <w:hideMark/>
          </w:tcPr>
          <w:p w14:paraId="41A428B7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 xml:space="preserve">Ceny průmyslových výrobců v EU </w:t>
            </w:r>
            <w:r>
              <w:rPr>
                <w:spacing w:val="0"/>
                <w:lang w:eastAsia="en-US"/>
              </w:rPr>
              <w:br/>
              <w:t>v 1. čtvrtletí meziročně vzrostly.</w:t>
            </w:r>
          </w:p>
        </w:tc>
        <w:tc>
          <w:tcPr>
            <w:tcW w:w="223" w:type="dxa"/>
          </w:tcPr>
          <w:p w14:paraId="51BABD76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4032E90" w14:textId="112CD9B8" w:rsidR="003B7AFA" w:rsidRDefault="003B7AFA" w:rsidP="00E0465E">
            <w:pPr>
              <w:rPr>
                <w:lang w:eastAsia="en-US"/>
              </w:rPr>
            </w:pPr>
            <w:r>
              <w:rPr>
                <w:lang w:eastAsia="en-US"/>
              </w:rPr>
              <w:t>Ceny průmyslových výrobců v EU</w:t>
            </w:r>
            <w:r>
              <w:rPr>
                <w:rStyle w:val="Znakapoznpodarou"/>
                <w:lang w:eastAsia="en-US"/>
              </w:rPr>
              <w:footnoteReference w:id="5"/>
            </w:r>
            <w:r>
              <w:rPr>
                <w:lang w:eastAsia="en-US"/>
              </w:rPr>
              <w:t xml:space="preserve"> v 1. čtvrtletí rostly meziročně o 2,4 %. Šlo o první nárůst od 2. kvartálu 2023. Meziročně výrazně rostly ceny elektřiny, plynu, páry a klimatizovaného vzduchu (7,</w:t>
            </w:r>
            <w:r w:rsidR="00E0465E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%) i těžby a dobývání (5,3 %) a začaly růst ceny výrobků a služeb zpracovatelského průmyslu (0,8 %). Meziroční dynamika cen průmyslových výrobců se v rámci EU pohybovala ve značně širokém rozmezí. Dvouciferně rostly ceny v Bulharsku (18,4 %) a Irsku (12,8 %) a téměř o desetinu také v Dánsku (9,2 %). Ceny byly meziročně nižší v devíti zemích, nejvíce v Lucembursku (−5,</w:t>
            </w:r>
            <w:r w:rsidR="00E0465E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%), Litvě (−2,5 %) a Francii (−1,</w:t>
            </w:r>
            <w:r w:rsidR="00E0465E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%). Mezičtvrtletně se ceny průmyslových výrobců v EU v 1. čtvrtletí zvýšily o 1,3 %. Šlo o třetí podobně vysoký přírůstek v řadě. Oslabila dynamika cen elektřiny, plynu, páry a klimatizovaného vzduchu, ale i tak zůstal nárůst výrazný (3,</w:t>
            </w:r>
            <w:r w:rsidR="00E0465E">
              <w:rPr>
                <w:lang w:eastAsia="en-US"/>
              </w:rPr>
              <w:t>2</w:t>
            </w:r>
            <w:r>
              <w:rPr>
                <w:lang w:eastAsia="en-US"/>
              </w:rPr>
              <w:t xml:space="preserve"> %) a na 2,7 % posílil růst u cen těžby a dobývání. Mírně mezičtvrtletně vzrostly i ceny výrobků a služeb zpracovatelského průmyslu (0,8 %). Ve většině zemí EU ceny průmyslových výrobců mezičtvrtletně rostly, nejvíce v Bulharsku </w:t>
            </w:r>
            <w:r>
              <w:rPr>
                <w:lang w:eastAsia="en-US"/>
              </w:rPr>
              <w:lastRenderedPageBreak/>
              <w:t xml:space="preserve">(12,0 %), Estonsku (4,4 %) a Švédsku (3,6 %). Jen v pěti zemích ceny klesly, nejvýrazněji v Portugalsku (−1,7 %) a na Kypru (−0,7 %).  </w:t>
            </w:r>
          </w:p>
        </w:tc>
      </w:tr>
      <w:tr w:rsidR="003B7AFA" w14:paraId="4A10EB80" w14:textId="77777777" w:rsidTr="003B7AFA">
        <w:trPr>
          <w:trHeight w:val="145"/>
        </w:trPr>
        <w:tc>
          <w:tcPr>
            <w:tcW w:w="1791" w:type="dxa"/>
            <w:hideMark/>
          </w:tcPr>
          <w:p w14:paraId="5F86D594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>Růst cen stavebních prací mírně posílil.</w:t>
            </w:r>
          </w:p>
        </w:tc>
        <w:tc>
          <w:tcPr>
            <w:tcW w:w="223" w:type="dxa"/>
          </w:tcPr>
          <w:p w14:paraId="52BC739E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2AC60F9" w14:textId="77777777" w:rsidR="003B7AFA" w:rsidRDefault="003B7AFA" w:rsidP="003B7AFA">
            <w:pPr>
              <w:rPr>
                <w:lang w:eastAsia="en-US"/>
              </w:rPr>
            </w:pPr>
            <w:r w:rsidRPr="00AB7F43">
              <w:rPr>
                <w:lang w:eastAsia="en-US"/>
              </w:rPr>
              <w:t xml:space="preserve">Ceny stavebních prací byly dle odhadů v 1. čtvrtletí 2025 </w:t>
            </w:r>
            <w:r>
              <w:rPr>
                <w:lang w:eastAsia="en-US"/>
              </w:rPr>
              <w:t xml:space="preserve">mezičtvrtletně </w:t>
            </w:r>
            <w:r w:rsidRPr="00AB7F43">
              <w:rPr>
                <w:lang w:eastAsia="en-US"/>
              </w:rPr>
              <w:t>vyšší o 1,0</w:t>
            </w:r>
            <w:r>
              <w:rPr>
                <w:lang w:eastAsia="en-US"/>
              </w:rPr>
              <w:t> %</w:t>
            </w:r>
            <w:r w:rsidRPr="00AB7F43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zatímco</w:t>
            </w:r>
            <w:r w:rsidRPr="00AB7F43">
              <w:rPr>
                <w:lang w:eastAsia="en-US"/>
              </w:rPr>
              <w:t xml:space="preserve"> ceny materiálů a výrobků spotřebovávaných ve stavebnictví se zvýšily o 0,6</w:t>
            </w:r>
            <w:r>
              <w:rPr>
                <w:lang w:eastAsia="en-US"/>
              </w:rPr>
              <w:t> %</w:t>
            </w:r>
            <w:r w:rsidRPr="00AB7F4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Meziročně se c</w:t>
            </w:r>
            <w:r w:rsidRPr="00AB7F43">
              <w:rPr>
                <w:lang w:eastAsia="en-US"/>
              </w:rPr>
              <w:t xml:space="preserve">eny stavebních prací dle odhadů </w:t>
            </w:r>
            <w:r>
              <w:rPr>
                <w:lang w:eastAsia="en-US"/>
              </w:rPr>
              <w:t xml:space="preserve">zvýšily o </w:t>
            </w:r>
            <w:r w:rsidRPr="00AB7F43">
              <w:rPr>
                <w:lang w:eastAsia="en-US"/>
              </w:rPr>
              <w:t>2,8</w:t>
            </w:r>
            <w:r>
              <w:rPr>
                <w:lang w:eastAsia="en-US"/>
              </w:rPr>
              <w:t> % a</w:t>
            </w:r>
            <w:r w:rsidRPr="00AB7F43">
              <w:rPr>
                <w:lang w:eastAsia="en-US"/>
              </w:rPr>
              <w:t xml:space="preserve"> ceny materiálů a</w:t>
            </w:r>
            <w:r>
              <w:rPr>
                <w:lang w:eastAsia="en-US"/>
              </w:rPr>
              <w:t> </w:t>
            </w:r>
            <w:r w:rsidRPr="00AB7F43">
              <w:rPr>
                <w:lang w:eastAsia="en-US"/>
              </w:rPr>
              <w:t>výrobků spotřebovávaných ve stavebnictví vzrostly o 0,7</w:t>
            </w:r>
            <w:r>
              <w:rPr>
                <w:lang w:eastAsia="en-US"/>
              </w:rPr>
              <w:t> %</w:t>
            </w:r>
            <w:r w:rsidRPr="00AB7F4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Růst cen stavebních prací oproti loňsku mírně posílil.</w:t>
            </w:r>
          </w:p>
        </w:tc>
      </w:tr>
      <w:tr w:rsidR="003B7AFA" w14:paraId="5EA88616" w14:textId="77777777" w:rsidTr="003B7AFA">
        <w:trPr>
          <w:trHeight w:val="145"/>
        </w:trPr>
        <w:tc>
          <w:tcPr>
            <w:tcW w:w="1791" w:type="dxa"/>
            <w:hideMark/>
          </w:tcPr>
          <w:p w14:paraId="06276C70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Meziroční růst cen tržních služeb mírně oslabil.</w:t>
            </w:r>
          </w:p>
        </w:tc>
        <w:tc>
          <w:tcPr>
            <w:tcW w:w="223" w:type="dxa"/>
          </w:tcPr>
          <w:p w14:paraId="3177BD7C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59AD0BBF" w14:textId="77777777" w:rsidR="003B7AFA" w:rsidRDefault="003B7AFA" w:rsidP="003B7AFA">
            <w:pPr>
              <w:rPr>
                <w:lang w:eastAsia="en-US"/>
              </w:rPr>
            </w:pPr>
            <w:r>
              <w:rPr>
                <w:lang w:eastAsia="en-US"/>
              </w:rPr>
              <w:t>Ceny tržních služeb se v 1. čtvrtletí meziročně zvýšily o 3,5 % a mezičtvrtletně byly vyšší o 0,9 %. Meziroční tempo mírně oslabilo oproti předchozímu kvartálu. K celkovému růstu cen tržních služeb nejvíce přispěl vývoj cen služeb v oblasti nemovitostí (5,1 %). Po loňských poklesech výrazně meziročně vzrostly ceny skladování a podpůrných služeb v dopravě (5,9 %). V popředí vlivu se také udržovaly ceny služeb v oblasti programování a souvisejícího poradenství (3,1 %). I přes oslabení významně ovlivnil ceny tržních služeb také přírůstek cen reklamních služeb a průzkumu trhu (5,2 %). Silně v 1. kvartálu meziročně rostly také ceny bezpečnostních a pátracích služeb (10,0 %), tvorby programů a vysílání (8,8 %) a služeb v oblasti zaměstnání (8,6 %) a vyšší byly také ceny vydavatelských služeb (4,0 %), p</w:t>
            </w:r>
            <w:r w:rsidRPr="009E44A1">
              <w:rPr>
                <w:lang w:eastAsia="en-US"/>
              </w:rPr>
              <w:t xml:space="preserve">ojištění, zajištění </w:t>
            </w:r>
            <w:r>
              <w:rPr>
                <w:lang w:eastAsia="en-US"/>
              </w:rPr>
              <w:br/>
            </w:r>
            <w:r w:rsidRPr="009E44A1">
              <w:rPr>
                <w:lang w:eastAsia="en-US"/>
              </w:rPr>
              <w:t>a penzijní</w:t>
            </w:r>
            <w:r>
              <w:rPr>
                <w:lang w:eastAsia="en-US"/>
              </w:rPr>
              <w:t>ho</w:t>
            </w:r>
            <w:r w:rsidRPr="009E44A1">
              <w:rPr>
                <w:lang w:eastAsia="en-US"/>
              </w:rPr>
              <w:t xml:space="preserve"> financování</w:t>
            </w:r>
            <w:r>
              <w:rPr>
                <w:lang w:eastAsia="en-US"/>
              </w:rPr>
              <w:t xml:space="preserve"> (3,8 %),</w:t>
            </w:r>
            <w:r w:rsidRPr="009E44A1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úklidových služeb (3,6 %), poštovních a kurýrních služeb (3,6 %) nebo právních a účetnických služeb (3,3 %). Meziročně nižší byly jen ceny činností v oblasti </w:t>
            </w:r>
            <w:r w:rsidRPr="009E44A1">
              <w:rPr>
                <w:lang w:eastAsia="en-US"/>
              </w:rPr>
              <w:t>filmů, videozáznamů a televizních programů, pořizování zvukových nahrávek a hudební vydavatelské činnosti</w:t>
            </w:r>
            <w:r>
              <w:rPr>
                <w:lang w:eastAsia="en-US"/>
              </w:rPr>
              <w:t xml:space="preserve"> (−0,8 %).   </w:t>
            </w:r>
          </w:p>
        </w:tc>
      </w:tr>
      <w:tr w:rsidR="003B7AFA" w14:paraId="0EB98652" w14:textId="77777777" w:rsidTr="003B7AFA">
        <w:trPr>
          <w:trHeight w:val="145"/>
        </w:trPr>
        <w:tc>
          <w:tcPr>
            <w:tcW w:w="1791" w:type="dxa"/>
            <w:hideMark/>
          </w:tcPr>
          <w:p w14:paraId="022CE2D2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zemědělských výrobců pokračovaly v meziročním růstu.</w:t>
            </w:r>
          </w:p>
        </w:tc>
        <w:tc>
          <w:tcPr>
            <w:tcW w:w="223" w:type="dxa"/>
          </w:tcPr>
          <w:p w14:paraId="0F064A30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7F58DA3E" w14:textId="4CAADA47" w:rsidR="003B7AFA" w:rsidRDefault="003B7AFA" w:rsidP="004F2C1B">
            <w:pPr>
              <w:rPr>
                <w:lang w:eastAsia="en-US"/>
              </w:rPr>
            </w:pPr>
            <w:r>
              <w:rPr>
                <w:lang w:eastAsia="en-US"/>
              </w:rPr>
              <w:t>Ceny zemědělských výrobců (včetně ryb) v 1. čtvrtletí 2025 meziročně vzrostly o 8,8 % a mezičtvrtletně o 3,0 %. V rostlinné výrobě ceny meziročně vzrostly o 6,5 % a zvyšovaly se ceny obilovin (9,5 %, zejména pšenice a kukuřice, klesaly ceny ovsa a ječmene), průmyslových plodin (21,7 %, zejména pod vlivem olejnin – řepky a slunečnice) a ovoce (25,6 %, vliv měla zejména průmyslová jablka). Naopak nižší byly ceny brambor (−18,3 %), zeleniny a zahradnických produktů (−17,7 %) a krmných plodin (−0,2 %). Ceny živočišné výroby byly v 1. čtvrtletí meziročně vyšší o 12,0 %. Podílely se na tom především živočišné výrobky – mléko (1</w:t>
            </w:r>
            <w:r w:rsidR="004F2C1B">
              <w:rPr>
                <w:lang w:eastAsia="en-US"/>
              </w:rPr>
              <w:t>7,9</w:t>
            </w:r>
            <w:r>
              <w:rPr>
                <w:lang w:eastAsia="en-US"/>
              </w:rPr>
              <w:t> %) a vejce (25,1 %). U hospodářských zvířat výrazný růst cen skotu (2</w:t>
            </w:r>
            <w:r w:rsidR="004F2C1B">
              <w:rPr>
                <w:lang w:eastAsia="en-US"/>
              </w:rPr>
              <w:t>0,1</w:t>
            </w:r>
            <w:r>
              <w:rPr>
                <w:lang w:eastAsia="en-US"/>
              </w:rPr>
              <w:t> %) a vyšší ceny drůbeže (</w:t>
            </w:r>
            <w:r w:rsidR="004F2C1B">
              <w:rPr>
                <w:lang w:eastAsia="en-US"/>
              </w:rPr>
              <w:t>2</w:t>
            </w:r>
            <w:r>
              <w:rPr>
                <w:lang w:eastAsia="en-US"/>
              </w:rPr>
              <w:t>,6 %) vyvažoval trvající pokles u prasat a selat (−1</w:t>
            </w:r>
            <w:r w:rsidR="004F2C1B">
              <w:rPr>
                <w:lang w:eastAsia="en-US"/>
              </w:rPr>
              <w:t>1,1</w:t>
            </w:r>
            <w:r>
              <w:rPr>
                <w:lang w:eastAsia="en-US"/>
              </w:rPr>
              <w:t> %).</w:t>
            </w:r>
          </w:p>
        </w:tc>
      </w:tr>
      <w:tr w:rsidR="003B7AFA" w14:paraId="7EEFB7B9" w14:textId="77777777" w:rsidTr="003B7AFA">
        <w:trPr>
          <w:trHeight w:val="145"/>
        </w:trPr>
        <w:tc>
          <w:tcPr>
            <w:tcW w:w="1791" w:type="dxa"/>
            <w:hideMark/>
          </w:tcPr>
          <w:p w14:paraId="7E62ACC3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t>Ceny vývozu zboží meziročně vzrostly, ale mezičtvrtletně se nezměnily.</w:t>
            </w:r>
          </w:p>
        </w:tc>
        <w:tc>
          <w:tcPr>
            <w:tcW w:w="223" w:type="dxa"/>
          </w:tcPr>
          <w:p w14:paraId="2A8A9ECA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22FA7F3B" w14:textId="30D252D0" w:rsidR="003B7AFA" w:rsidRDefault="003B7AFA" w:rsidP="00E0465E">
            <w:pPr>
              <w:rPr>
                <w:lang w:eastAsia="en-US"/>
              </w:rPr>
            </w:pPr>
            <w:r>
              <w:rPr>
                <w:lang w:eastAsia="en-US"/>
              </w:rPr>
              <w:t>Meziroční růst cen zahraničního obchodu byl v 1. čtvrtletí částečně ovlivněn kurzovými pohyby, zejména oslabením koruny vůči americkému dolaru</w:t>
            </w:r>
            <w:r>
              <w:rPr>
                <w:rStyle w:val="Znakapoznpodarou"/>
                <w:lang w:eastAsia="en-US"/>
              </w:rPr>
              <w:footnoteReference w:id="6"/>
            </w:r>
            <w:r>
              <w:rPr>
                <w:lang w:eastAsia="en-US"/>
              </w:rPr>
              <w:t xml:space="preserve">, což následně působilo proinflačně. V mezičtvrtletním srovnání byly kurzové efekty spíše smíšené, protože průměrný kurz vůči euru mezičtvrtletně posílil, zatímco u dolarového kurzu došlo celkově k oslabení. Souhrnně v 1. čtvrtletí 2025 ceny vývozu zboží meziročně vzrostly o 2,3 % a přírůstek oslabil oproti předchozímu kvartálu. Nejvíce meziročně rostly ceny vývozu v sekci elektřina, plyn, pára a klimatizovaný vzduch (37,7 %) a dále u </w:t>
            </w:r>
            <w:r w:rsidR="00E0465E">
              <w:rPr>
                <w:lang w:eastAsia="en-US"/>
              </w:rPr>
              <w:t>produktů a služeb zemědělství, lesnictví a rybářství</w:t>
            </w:r>
            <w:r>
              <w:rPr>
                <w:lang w:eastAsia="en-US"/>
              </w:rPr>
              <w:t xml:space="preserve"> (9,0 %). Ceny exportu výrobků zpracovatelského průmyslu byly v 1. čtvrtletí vyšší o 1,4 %. Zde meziročně rostly ceny u většiny oddílů, ale přírůstky napříč celou sekcí zmírnily. Nejvíce rostly ceny exportu dřeva a výrobků z něj (6,5 %), základních farmaceutických výrobků a přípravků (6,2 %), textilií (3,9 %), papíru a výrobků z něj (3,8 %) a ostatních dopravních prostředků a</w:t>
            </w:r>
            <w:r w:rsidR="00E0465E"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zařízení (3,6 %). Klesaly především ceny vývozu koksu a rafinovaných ropných produktů (−11,7 %), nábytku (−3,0 %) a ostatních nekovových minerálních výrobků (−1,4 %). Mezičtvrtletně se ceny exportu nezměnily. Protichůdně působil růst cen vývozu </w:t>
            </w:r>
            <w:r w:rsidR="00E0465E">
              <w:rPr>
                <w:lang w:eastAsia="en-US"/>
              </w:rPr>
              <w:t>produktů a služeb zemědělství, lesnictví a rybářství</w:t>
            </w:r>
            <w:r>
              <w:rPr>
                <w:lang w:eastAsia="en-US"/>
              </w:rPr>
              <w:t xml:space="preserve"> o 4,5 % a naopak poklesu </w:t>
            </w:r>
            <w:r>
              <w:rPr>
                <w:lang w:eastAsia="en-US"/>
              </w:rPr>
              <w:lastRenderedPageBreak/>
              <w:t>cen elektřiny, plynu, páry a klimatizovaného vzduchu (−3,4 %) a těžby a dobývání (−1,0</w:t>
            </w:r>
            <w:r w:rsidR="00E0465E"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%). Ceny vývozu výrobků zpracovatelského průmyslu v zásadě mezičtvrtletně stagnovaly (−0,1 %).  </w:t>
            </w:r>
          </w:p>
        </w:tc>
      </w:tr>
      <w:tr w:rsidR="003B7AFA" w14:paraId="0D2EA827" w14:textId="77777777" w:rsidTr="003B7AFA">
        <w:trPr>
          <w:trHeight w:val="145"/>
        </w:trPr>
        <w:tc>
          <w:tcPr>
            <w:tcW w:w="1791" w:type="dxa"/>
          </w:tcPr>
          <w:p w14:paraId="4D682460" w14:textId="77777777" w:rsidR="003B7AFA" w:rsidRDefault="003B7AFA" w:rsidP="003B7AFA">
            <w:pPr>
              <w:pStyle w:val="Marginlie"/>
              <w:rPr>
                <w:spacing w:val="0"/>
                <w:lang w:eastAsia="en-US"/>
              </w:rPr>
            </w:pPr>
            <w:r>
              <w:rPr>
                <w:spacing w:val="0"/>
                <w:lang w:eastAsia="en-US"/>
              </w:rPr>
              <w:lastRenderedPageBreak/>
              <w:t xml:space="preserve">Ceny dovozu meziročně rostly. </w:t>
            </w:r>
          </w:p>
        </w:tc>
        <w:tc>
          <w:tcPr>
            <w:tcW w:w="223" w:type="dxa"/>
          </w:tcPr>
          <w:p w14:paraId="2F484D92" w14:textId="77777777" w:rsidR="003B7AFA" w:rsidRDefault="003B7AFA" w:rsidP="003B7AFA">
            <w:pPr>
              <w:pStyle w:val="Textpoznpodarou1"/>
              <w:jc w:val="both"/>
              <w:rPr>
                <w:lang w:eastAsia="en-US"/>
              </w:rPr>
            </w:pPr>
          </w:p>
        </w:tc>
        <w:tc>
          <w:tcPr>
            <w:tcW w:w="7625" w:type="dxa"/>
            <w:hideMark/>
          </w:tcPr>
          <w:p w14:paraId="03D49397" w14:textId="076D5A90" w:rsidR="003B7AFA" w:rsidRDefault="003B7AFA" w:rsidP="00E0465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Ceny dovozu zboží v 1. čtvrtletí meziročně vzrostly o 2,2 %. Značně posílil meziroční přírůstek cen elektřiny, plynu, páry a klimatizovaného vzduchu (38,1 %) a z poklesu do meziročního růstu se dostaly ceny importu </w:t>
            </w:r>
            <w:r w:rsidR="00E0465E">
              <w:rPr>
                <w:lang w:eastAsia="en-US"/>
              </w:rPr>
              <w:t>produktů a služeb zemědělství, lesnictví a rybářství</w:t>
            </w:r>
            <w:r>
              <w:rPr>
                <w:lang w:eastAsia="en-US"/>
              </w:rPr>
              <w:t xml:space="preserve"> (8,9 %) a rovněž ceny těžby a dobývání (5,8 %). Růst cen výrobků zpracovatelského průmyslu naopak zmírnil na 1,6 %. Ceny dovozu zboží mezičtvrtletně vzrostly o 0,2 %. Z toho ceny </w:t>
            </w:r>
            <w:r w:rsidR="00E0465E">
              <w:rPr>
                <w:lang w:eastAsia="en-US"/>
              </w:rPr>
              <w:t>produktů a služeb zemědělství, lesnictví a rybářství</w:t>
            </w:r>
            <w:r>
              <w:rPr>
                <w:lang w:eastAsia="en-US"/>
              </w:rPr>
              <w:t xml:space="preserve"> vzrostly o 6,7 %, elektřiny, plynu, páry a klimatizovaného vzduchu o 4,3 % a těžby a</w:t>
            </w:r>
            <w:r w:rsidR="00E0465E">
              <w:rPr>
                <w:lang w:eastAsia="en-US"/>
              </w:rPr>
              <w:t> </w:t>
            </w:r>
            <w:r>
              <w:rPr>
                <w:lang w:eastAsia="en-US"/>
              </w:rPr>
              <w:t xml:space="preserve">dobývání o 1,6 %. Ceny výrobků zpracovatelského průmyslu se mezičtvrtletně nezměnily. Meziroční směnné relace v 1. čtvrtletí dosáhly 100,1 %. Mírně kladné byly směnné relace obchodu s produkty zemědělství, lesnictví a rybářství (100,1 %). Výrazně záporné byly směnné relace u těžby a dobývání (79,5 %) a negativní byly také pro výrobky zpracovatelského průmyslu a v sekci elektřina, plyn, pára a klimatizovaný vzduch (99,8 %). Mezičtvrtletní směnné relace byly mírně záporné (99,8 %). Negativní byly mezičtvrtletní směnné relace u elektřiny, plynu, páry a klimatizovaného vzduchu (92,6 %), těžby a dobývání (97,4 %), </w:t>
            </w:r>
            <w:r w:rsidR="00E0465E">
              <w:rPr>
                <w:lang w:eastAsia="en-US"/>
              </w:rPr>
              <w:t>produktů a služeb zemědělství, lesnictví a rybářství</w:t>
            </w:r>
            <w:r>
              <w:rPr>
                <w:lang w:eastAsia="en-US"/>
              </w:rPr>
              <w:t xml:space="preserve"> (98,0 %) i výrobků zpracovatelského průmyslu (99,9 %).</w:t>
            </w:r>
          </w:p>
        </w:tc>
      </w:tr>
    </w:tbl>
    <w:p w14:paraId="51F59EA8" w14:textId="77777777" w:rsidR="003B7AFA" w:rsidRDefault="003B7AFA" w:rsidP="003B7AFA">
      <w:pPr>
        <w:spacing w:after="0"/>
      </w:pPr>
      <w:bookmarkStart w:id="2" w:name="_GoBack"/>
      <w:bookmarkEnd w:id="2"/>
    </w:p>
    <w:bookmarkEnd w:id="0"/>
    <w:sectPr w:rsidR="003B7AFA" w:rsidSect="00937258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418" w:left="1134" w:header="680" w:footer="680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2EF3C" w14:textId="77777777" w:rsidR="00A04CEF" w:rsidRDefault="00A04CEF" w:rsidP="00E71A58">
      <w:r>
        <w:separator/>
      </w:r>
    </w:p>
  </w:endnote>
  <w:endnote w:type="continuationSeparator" w:id="0">
    <w:p w14:paraId="70B7E2B6" w14:textId="77777777" w:rsidR="00A04CEF" w:rsidRDefault="00A04CEF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62E7" w14:textId="2DA35D6D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937258">
      <w:rPr>
        <w:szCs w:val="16"/>
      </w:rPr>
      <w:t>28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1. čtvrtletí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9" w14:textId="197FC1D3" w:rsidR="00A04CEF" w:rsidRPr="00932443" w:rsidRDefault="00A04CEF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szCs w:val="16"/>
      </w:rPr>
      <w:t>1. čtvrtletí 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937258">
      <w:rPr>
        <w:rStyle w:val="ZpatChar"/>
        <w:szCs w:val="16"/>
      </w:rPr>
      <w:t>29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0D8F6" w14:textId="77777777" w:rsidR="00A04CEF" w:rsidRDefault="00A04CEF" w:rsidP="00EA4302">
      <w:pPr>
        <w:spacing w:after="0"/>
      </w:pPr>
      <w:r>
        <w:separator/>
      </w:r>
    </w:p>
  </w:footnote>
  <w:footnote w:type="continuationSeparator" w:id="0">
    <w:p w14:paraId="70CDBF0C" w14:textId="77777777" w:rsidR="00A04CEF" w:rsidRDefault="00A04CEF" w:rsidP="00E71A58">
      <w:r>
        <w:continuationSeparator/>
      </w:r>
    </w:p>
  </w:footnote>
  <w:footnote w:id="1">
    <w:p w14:paraId="352580A3" w14:textId="77777777" w:rsidR="00A04CEF" w:rsidRDefault="00A04CEF" w:rsidP="003B7AF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Imputované nájemné vyjadřuje náklady vlastnického bydlení. Kromě samotných cen bydlení zahrnuje i náklady na výstavbu a renovace a další poplatky. Více na: </w:t>
      </w:r>
      <w:hyperlink r:id="rId1" w:history="1">
        <w:r>
          <w:rPr>
            <w:rStyle w:val="Hypertextovodkaz"/>
            <w:sz w:val="16"/>
            <w:szCs w:val="16"/>
          </w:rPr>
          <w:t>https://csu.gov.cz/metodicka-poznamka-k-indexu-spotrebitelskych-cen-imputovane-najemne</w:t>
        </w:r>
      </w:hyperlink>
      <w:r>
        <w:rPr>
          <w:rStyle w:val="Hypertextovodkaz"/>
          <w:sz w:val="16"/>
          <w:szCs w:val="16"/>
        </w:rPr>
        <w:t>.</w:t>
      </w:r>
    </w:p>
  </w:footnote>
  <w:footnote w:id="2">
    <w:p w14:paraId="7AC4CB79" w14:textId="77777777" w:rsidR="00A04CEF" w:rsidRDefault="00A04CEF" w:rsidP="003B7AF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Zahrnuje služby osobní péče a osobní potřeby a doplňky, sociální péči, pojištění a další finanční služby apod.</w:t>
      </w:r>
    </w:p>
  </w:footnote>
  <w:footnote w:id="3">
    <w:p w14:paraId="6ABECE20" w14:textId="77777777" w:rsidR="00A04CEF" w:rsidRDefault="00A04CEF" w:rsidP="003B7AF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Oproti indexu spotřebitelských cen, který ČSÚ pro českou ekonomiku sestavuje, HICP neobsahuje imputované nájemné, což bývá zdrojem rozdílů mezi HICP a Indexem spotřebitelských cen.</w:t>
      </w:r>
    </w:p>
  </w:footnote>
  <w:footnote w:id="4">
    <w:p w14:paraId="34F6947E" w14:textId="77777777" w:rsidR="00A04CEF" w:rsidRPr="00F12526" w:rsidRDefault="00A04CEF" w:rsidP="003B7AFA">
      <w:pPr>
        <w:pStyle w:val="Textpoznpodarou"/>
        <w:rPr>
          <w:sz w:val="16"/>
          <w:szCs w:val="16"/>
        </w:rPr>
      </w:pPr>
      <w:r w:rsidRPr="00F12526">
        <w:rPr>
          <w:rStyle w:val="Znakapoznpodarou"/>
          <w:sz w:val="16"/>
          <w:szCs w:val="16"/>
        </w:rPr>
        <w:footnoteRef/>
      </w:r>
      <w:r w:rsidRPr="00F12526">
        <w:rPr>
          <w:sz w:val="16"/>
          <w:szCs w:val="16"/>
        </w:rPr>
        <w:t xml:space="preserve"> Individuální data</w:t>
      </w:r>
    </w:p>
  </w:footnote>
  <w:footnote w:id="5">
    <w:p w14:paraId="72AB6AB4" w14:textId="77777777" w:rsidR="00A04CEF" w:rsidRDefault="00A04CEF" w:rsidP="003B7AF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Bez cen zásobování vodou a služeb souvisejících s odpadními vodami.</w:t>
      </w:r>
    </w:p>
  </w:footnote>
  <w:footnote w:id="6">
    <w:p w14:paraId="35297FCA" w14:textId="6744138D" w:rsidR="00A04CEF" w:rsidRDefault="00A04CEF" w:rsidP="003B7AFA">
      <w:pPr>
        <w:pStyle w:val="Textpoznpodarou"/>
        <w:rPr>
          <w:sz w:val="16"/>
          <w:szCs w:val="16"/>
        </w:rPr>
      </w:pPr>
      <w:r>
        <w:rPr>
          <w:rStyle w:val="Znakapoznpodarou"/>
          <w:sz w:val="16"/>
          <w:szCs w:val="16"/>
        </w:rPr>
        <w:footnoteRef/>
      </w:r>
      <w:r>
        <w:rPr>
          <w:sz w:val="16"/>
          <w:szCs w:val="16"/>
        </w:rPr>
        <w:t xml:space="preserve"> Podle údajů ČNB byl v 1. čtvrtletí 2025 průměrný kurz koruny vůči euru 25,082 CZK/EUR. V 1. čtvrtletí 2024 to bylo </w:t>
      </w:r>
      <w:r>
        <w:rPr>
          <w:sz w:val="16"/>
          <w:szCs w:val="16"/>
        </w:rPr>
        <w:br/>
        <w:t>25,07 CZK/EUR a ve 4. čtvrtletí 2024 kurz dosáhl 25,249 CZK/EUR. Kurz vůči dolaru v 1. čtvrtletí 2025 v průměru činil 23,844 CZK/USD. Ve stejném období roku 2024 to bylo 23,</w:t>
      </w:r>
      <w:r w:rsidR="00E0465E">
        <w:rPr>
          <w:sz w:val="16"/>
          <w:szCs w:val="16"/>
        </w:rPr>
        <w:t>0</w:t>
      </w:r>
      <w:r>
        <w:rPr>
          <w:sz w:val="16"/>
          <w:szCs w:val="16"/>
        </w:rPr>
        <w:t xml:space="preserve">9 CZK/USD a na konci roku 2024 to bylo 23,640 CZK/USD.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6" w14:textId="3C11EE3B" w:rsidR="00A04CEF" w:rsidRPr="00C27E4F" w:rsidRDefault="00A04CEF" w:rsidP="00C27E4F">
    <w:pPr>
      <w:pStyle w:val="Zhlav"/>
    </w:pPr>
    <w:r>
      <w:t>Vývoj ekonomiky České republiky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32987" w14:textId="4F78F164" w:rsidR="00A04CEF" w:rsidRPr="006F5416" w:rsidRDefault="00A04CEF" w:rsidP="00937AE2">
    <w:pPr>
      <w:pStyle w:val="Zhlav"/>
    </w:pPr>
    <w:r>
      <w:t>Vývoj ekonomiky České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6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29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651B2D"/>
    <w:multiLevelType w:val="hybridMultilevel"/>
    <w:tmpl w:val="E4A2DC0E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33"/>
  </w:num>
  <w:num w:numId="14">
    <w:abstractNumId w:val="15"/>
  </w:num>
  <w:num w:numId="15">
    <w:abstractNumId w:val="23"/>
  </w:num>
  <w:num w:numId="16">
    <w:abstractNumId w:val="18"/>
  </w:num>
  <w:num w:numId="17">
    <w:abstractNumId w:val="34"/>
  </w:num>
  <w:num w:numId="18">
    <w:abstractNumId w:val="24"/>
  </w:num>
  <w:num w:numId="19">
    <w:abstractNumId w:val="37"/>
  </w:num>
  <w:num w:numId="20">
    <w:abstractNumId w:val="42"/>
  </w:num>
  <w:num w:numId="21">
    <w:abstractNumId w:val="32"/>
  </w:num>
  <w:num w:numId="22">
    <w:abstractNumId w:val="22"/>
  </w:num>
  <w:num w:numId="23">
    <w:abstractNumId w:val="20"/>
  </w:num>
  <w:num w:numId="24">
    <w:abstractNumId w:val="21"/>
  </w:num>
  <w:num w:numId="25">
    <w:abstractNumId w:val="40"/>
  </w:num>
  <w:num w:numId="26">
    <w:abstractNumId w:val="41"/>
  </w:num>
  <w:num w:numId="27">
    <w:abstractNumId w:val="42"/>
  </w:num>
  <w:num w:numId="28">
    <w:abstractNumId w:val="13"/>
  </w:num>
  <w:num w:numId="29">
    <w:abstractNumId w:val="26"/>
  </w:num>
  <w:num w:numId="30">
    <w:abstractNumId w:val="25"/>
  </w:num>
  <w:num w:numId="31">
    <w:abstractNumId w:val="10"/>
  </w:num>
  <w:num w:numId="32">
    <w:abstractNumId w:val="27"/>
  </w:num>
  <w:num w:numId="33">
    <w:abstractNumId w:val="12"/>
  </w:num>
  <w:num w:numId="34">
    <w:abstractNumId w:val="44"/>
  </w:num>
  <w:num w:numId="35">
    <w:abstractNumId w:val="11"/>
  </w:num>
  <w:num w:numId="36">
    <w:abstractNumId w:val="36"/>
  </w:num>
  <w:num w:numId="37">
    <w:abstractNumId w:val="29"/>
  </w:num>
  <w:num w:numId="38">
    <w:abstractNumId w:val="28"/>
  </w:num>
  <w:num w:numId="39">
    <w:abstractNumId w:val="38"/>
  </w:num>
  <w:num w:numId="40">
    <w:abstractNumId w:val="43"/>
  </w:num>
  <w:num w:numId="41">
    <w:abstractNumId w:val="39"/>
  </w:num>
  <w:num w:numId="42">
    <w:abstractNumId w:val="31"/>
  </w:num>
  <w:num w:numId="43">
    <w:abstractNumId w:val="19"/>
  </w:num>
  <w:num w:numId="44">
    <w:abstractNumId w:val="14"/>
  </w:num>
  <w:num w:numId="45">
    <w:abstractNumId w:val="35"/>
  </w:num>
  <w:num w:numId="46">
    <w:abstractNumId w:val="16"/>
  </w:num>
  <w:num w:numId="47">
    <w:abstractNumId w:val="42"/>
  </w:num>
  <w:num w:numId="48">
    <w:abstractNumId w:val="4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8673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2"/>
    <w:rsid w:val="0000209D"/>
    <w:rsid w:val="00004D5A"/>
    <w:rsid w:val="000056D5"/>
    <w:rsid w:val="00006ABD"/>
    <w:rsid w:val="0000767A"/>
    <w:rsid w:val="00010256"/>
    <w:rsid w:val="00010702"/>
    <w:rsid w:val="00011912"/>
    <w:rsid w:val="0002195D"/>
    <w:rsid w:val="000234D6"/>
    <w:rsid w:val="00023D29"/>
    <w:rsid w:val="00026389"/>
    <w:rsid w:val="00031AE0"/>
    <w:rsid w:val="000322EF"/>
    <w:rsid w:val="00033FCD"/>
    <w:rsid w:val="00040D10"/>
    <w:rsid w:val="00041CEC"/>
    <w:rsid w:val="0004694F"/>
    <w:rsid w:val="000522E4"/>
    <w:rsid w:val="000610E1"/>
    <w:rsid w:val="00062EC5"/>
    <w:rsid w:val="00062F22"/>
    <w:rsid w:val="000712B3"/>
    <w:rsid w:val="0008263E"/>
    <w:rsid w:val="00082C19"/>
    <w:rsid w:val="00085395"/>
    <w:rsid w:val="00087634"/>
    <w:rsid w:val="00087F2B"/>
    <w:rsid w:val="000912CC"/>
    <w:rsid w:val="00095135"/>
    <w:rsid w:val="000974D1"/>
    <w:rsid w:val="0009799E"/>
    <w:rsid w:val="000A1183"/>
    <w:rsid w:val="000A256D"/>
    <w:rsid w:val="000A3A2C"/>
    <w:rsid w:val="000A5265"/>
    <w:rsid w:val="000A57D4"/>
    <w:rsid w:val="000B7C8D"/>
    <w:rsid w:val="000C004E"/>
    <w:rsid w:val="000C3408"/>
    <w:rsid w:val="000C6AFD"/>
    <w:rsid w:val="000D5637"/>
    <w:rsid w:val="000E6FBD"/>
    <w:rsid w:val="00100F5C"/>
    <w:rsid w:val="00101CDA"/>
    <w:rsid w:val="00102C41"/>
    <w:rsid w:val="00104C4C"/>
    <w:rsid w:val="00117623"/>
    <w:rsid w:val="0012192F"/>
    <w:rsid w:val="001224E5"/>
    <w:rsid w:val="00124940"/>
    <w:rsid w:val="00125D69"/>
    <w:rsid w:val="001405FA"/>
    <w:rsid w:val="001425C3"/>
    <w:rsid w:val="001476BD"/>
    <w:rsid w:val="001612F4"/>
    <w:rsid w:val="0016256B"/>
    <w:rsid w:val="00163793"/>
    <w:rsid w:val="001706D6"/>
    <w:rsid w:val="001714F2"/>
    <w:rsid w:val="00175B9F"/>
    <w:rsid w:val="00181BBC"/>
    <w:rsid w:val="00184B08"/>
    <w:rsid w:val="00185010"/>
    <w:rsid w:val="0019143B"/>
    <w:rsid w:val="001A0487"/>
    <w:rsid w:val="001A552F"/>
    <w:rsid w:val="001B2CA9"/>
    <w:rsid w:val="001B3110"/>
    <w:rsid w:val="001B4729"/>
    <w:rsid w:val="001B6310"/>
    <w:rsid w:val="001B6C09"/>
    <w:rsid w:val="001B73E6"/>
    <w:rsid w:val="001C05CD"/>
    <w:rsid w:val="001C3924"/>
    <w:rsid w:val="001D40D7"/>
    <w:rsid w:val="001D48D4"/>
    <w:rsid w:val="001D68B2"/>
    <w:rsid w:val="001E1C2E"/>
    <w:rsid w:val="001E504C"/>
    <w:rsid w:val="001E6062"/>
    <w:rsid w:val="001E6753"/>
    <w:rsid w:val="001F4597"/>
    <w:rsid w:val="00203DA4"/>
    <w:rsid w:val="002118B9"/>
    <w:rsid w:val="00213E46"/>
    <w:rsid w:val="00214CF7"/>
    <w:rsid w:val="00217C5B"/>
    <w:rsid w:val="0022139E"/>
    <w:rsid w:val="00222729"/>
    <w:rsid w:val="002252E0"/>
    <w:rsid w:val="002255F6"/>
    <w:rsid w:val="00227850"/>
    <w:rsid w:val="00227A53"/>
    <w:rsid w:val="00230C6E"/>
    <w:rsid w:val="00233CD7"/>
    <w:rsid w:val="00236443"/>
    <w:rsid w:val="00241B06"/>
    <w:rsid w:val="00242C10"/>
    <w:rsid w:val="002436BA"/>
    <w:rsid w:val="00244A15"/>
    <w:rsid w:val="0024661A"/>
    <w:rsid w:val="00247319"/>
    <w:rsid w:val="0024799E"/>
    <w:rsid w:val="00247EE7"/>
    <w:rsid w:val="00253C0F"/>
    <w:rsid w:val="002558C1"/>
    <w:rsid w:val="00261A17"/>
    <w:rsid w:val="00271465"/>
    <w:rsid w:val="00275385"/>
    <w:rsid w:val="0028207A"/>
    <w:rsid w:val="00285412"/>
    <w:rsid w:val="00291407"/>
    <w:rsid w:val="00291640"/>
    <w:rsid w:val="00295A5D"/>
    <w:rsid w:val="002A1407"/>
    <w:rsid w:val="002A16D4"/>
    <w:rsid w:val="002A230C"/>
    <w:rsid w:val="002A66B0"/>
    <w:rsid w:val="002B2299"/>
    <w:rsid w:val="002B4845"/>
    <w:rsid w:val="002B48B4"/>
    <w:rsid w:val="002C2FE9"/>
    <w:rsid w:val="002C43BD"/>
    <w:rsid w:val="002D0E59"/>
    <w:rsid w:val="002E02A1"/>
    <w:rsid w:val="002E42AC"/>
    <w:rsid w:val="002E4E4C"/>
    <w:rsid w:val="00302ADD"/>
    <w:rsid w:val="00304771"/>
    <w:rsid w:val="0030495D"/>
    <w:rsid w:val="003052D4"/>
    <w:rsid w:val="00306C5B"/>
    <w:rsid w:val="003103E0"/>
    <w:rsid w:val="00314F9F"/>
    <w:rsid w:val="003209D6"/>
    <w:rsid w:val="00321924"/>
    <w:rsid w:val="0032656E"/>
    <w:rsid w:val="00332190"/>
    <w:rsid w:val="00343182"/>
    <w:rsid w:val="0034335E"/>
    <w:rsid w:val="00344668"/>
    <w:rsid w:val="003462D9"/>
    <w:rsid w:val="00360C86"/>
    <w:rsid w:val="00360FBC"/>
    <w:rsid w:val="00362E90"/>
    <w:rsid w:val="00364FA0"/>
    <w:rsid w:val="003657F3"/>
    <w:rsid w:val="00366591"/>
    <w:rsid w:val="0038123E"/>
    <w:rsid w:val="003818DC"/>
    <w:rsid w:val="00384327"/>
    <w:rsid w:val="00385D98"/>
    <w:rsid w:val="003A2B4D"/>
    <w:rsid w:val="003A2B5E"/>
    <w:rsid w:val="003A2D12"/>
    <w:rsid w:val="003A478C"/>
    <w:rsid w:val="003A5525"/>
    <w:rsid w:val="003A6B38"/>
    <w:rsid w:val="003B461F"/>
    <w:rsid w:val="003B5A32"/>
    <w:rsid w:val="003B7AFA"/>
    <w:rsid w:val="003C3490"/>
    <w:rsid w:val="003C6550"/>
    <w:rsid w:val="003C7E62"/>
    <w:rsid w:val="003D6920"/>
    <w:rsid w:val="003E48F2"/>
    <w:rsid w:val="003E4C91"/>
    <w:rsid w:val="003E62A5"/>
    <w:rsid w:val="003F313C"/>
    <w:rsid w:val="003F37FC"/>
    <w:rsid w:val="003F4B2C"/>
    <w:rsid w:val="003F551C"/>
    <w:rsid w:val="003F62B0"/>
    <w:rsid w:val="003F72ED"/>
    <w:rsid w:val="003F7D23"/>
    <w:rsid w:val="00400DF4"/>
    <w:rsid w:val="00407C13"/>
    <w:rsid w:val="0041041D"/>
    <w:rsid w:val="00410638"/>
    <w:rsid w:val="0041501E"/>
    <w:rsid w:val="004159C3"/>
    <w:rsid w:val="00416EB7"/>
    <w:rsid w:val="00432A58"/>
    <w:rsid w:val="00434617"/>
    <w:rsid w:val="00440900"/>
    <w:rsid w:val="00441BF6"/>
    <w:rsid w:val="00443556"/>
    <w:rsid w:val="004441A0"/>
    <w:rsid w:val="004455BA"/>
    <w:rsid w:val="0045078A"/>
    <w:rsid w:val="0045086D"/>
    <w:rsid w:val="00451504"/>
    <w:rsid w:val="00456339"/>
    <w:rsid w:val="004607BF"/>
    <w:rsid w:val="00460FB3"/>
    <w:rsid w:val="0046627E"/>
    <w:rsid w:val="00476240"/>
    <w:rsid w:val="00476439"/>
    <w:rsid w:val="0047735C"/>
    <w:rsid w:val="004776BC"/>
    <w:rsid w:val="0048139F"/>
    <w:rsid w:val="00481E40"/>
    <w:rsid w:val="00484ECE"/>
    <w:rsid w:val="00485567"/>
    <w:rsid w:val="004915CB"/>
    <w:rsid w:val="004924DC"/>
    <w:rsid w:val="004A14E4"/>
    <w:rsid w:val="004A3212"/>
    <w:rsid w:val="004A5494"/>
    <w:rsid w:val="004A61C5"/>
    <w:rsid w:val="004A77DF"/>
    <w:rsid w:val="004B1417"/>
    <w:rsid w:val="004B55B7"/>
    <w:rsid w:val="004B5A60"/>
    <w:rsid w:val="004B6468"/>
    <w:rsid w:val="004B7125"/>
    <w:rsid w:val="004C384C"/>
    <w:rsid w:val="004C3867"/>
    <w:rsid w:val="004C4CD0"/>
    <w:rsid w:val="004C5B81"/>
    <w:rsid w:val="004C70DC"/>
    <w:rsid w:val="004D0211"/>
    <w:rsid w:val="004D0794"/>
    <w:rsid w:val="004D5C93"/>
    <w:rsid w:val="004E1288"/>
    <w:rsid w:val="004E7C6B"/>
    <w:rsid w:val="004F06F5"/>
    <w:rsid w:val="004F2C1B"/>
    <w:rsid w:val="004F33A0"/>
    <w:rsid w:val="0050689D"/>
    <w:rsid w:val="005108C0"/>
    <w:rsid w:val="00511873"/>
    <w:rsid w:val="00512A2F"/>
    <w:rsid w:val="00513B7E"/>
    <w:rsid w:val="00515C74"/>
    <w:rsid w:val="0051713B"/>
    <w:rsid w:val="0052007E"/>
    <w:rsid w:val="0052337A"/>
    <w:rsid w:val="00525137"/>
    <w:rsid w:val="005251DD"/>
    <w:rsid w:val="00532CE7"/>
    <w:rsid w:val="00532E62"/>
    <w:rsid w:val="0053324C"/>
    <w:rsid w:val="00534A28"/>
    <w:rsid w:val="00541508"/>
    <w:rsid w:val="00543498"/>
    <w:rsid w:val="00545512"/>
    <w:rsid w:val="00553016"/>
    <w:rsid w:val="0055599F"/>
    <w:rsid w:val="00556995"/>
    <w:rsid w:val="00556D68"/>
    <w:rsid w:val="00563EB8"/>
    <w:rsid w:val="005647BF"/>
    <w:rsid w:val="00564AF1"/>
    <w:rsid w:val="0057364B"/>
    <w:rsid w:val="00574773"/>
    <w:rsid w:val="0058308D"/>
    <w:rsid w:val="00583FFD"/>
    <w:rsid w:val="005911BE"/>
    <w:rsid w:val="00593152"/>
    <w:rsid w:val="005A10F2"/>
    <w:rsid w:val="005A21E0"/>
    <w:rsid w:val="005A28FF"/>
    <w:rsid w:val="005A3DF8"/>
    <w:rsid w:val="005A5113"/>
    <w:rsid w:val="005A5549"/>
    <w:rsid w:val="005A7038"/>
    <w:rsid w:val="005B121D"/>
    <w:rsid w:val="005C06ED"/>
    <w:rsid w:val="005C2609"/>
    <w:rsid w:val="005C6CF0"/>
    <w:rsid w:val="005D5802"/>
    <w:rsid w:val="005D7119"/>
    <w:rsid w:val="005D7890"/>
    <w:rsid w:val="005E705E"/>
    <w:rsid w:val="005E7C78"/>
    <w:rsid w:val="005F18C5"/>
    <w:rsid w:val="005F3EB1"/>
    <w:rsid w:val="005F46D8"/>
    <w:rsid w:val="005F5469"/>
    <w:rsid w:val="00603FF5"/>
    <w:rsid w:val="00604307"/>
    <w:rsid w:val="0060487F"/>
    <w:rsid w:val="00604EAD"/>
    <w:rsid w:val="006104FB"/>
    <w:rsid w:val="00612A2F"/>
    <w:rsid w:val="00616E05"/>
    <w:rsid w:val="00622275"/>
    <w:rsid w:val="00624093"/>
    <w:rsid w:val="00625F8F"/>
    <w:rsid w:val="006350D5"/>
    <w:rsid w:val="006404A7"/>
    <w:rsid w:val="006451E4"/>
    <w:rsid w:val="00645B33"/>
    <w:rsid w:val="006516CB"/>
    <w:rsid w:val="00656FC8"/>
    <w:rsid w:val="00657E87"/>
    <w:rsid w:val="00664803"/>
    <w:rsid w:val="0066504F"/>
    <w:rsid w:val="00665BA4"/>
    <w:rsid w:val="00667AF2"/>
    <w:rsid w:val="006710C9"/>
    <w:rsid w:val="006741AC"/>
    <w:rsid w:val="00674D89"/>
    <w:rsid w:val="00675E37"/>
    <w:rsid w:val="0068174E"/>
    <w:rsid w:val="00681DCE"/>
    <w:rsid w:val="0068260E"/>
    <w:rsid w:val="00693FEC"/>
    <w:rsid w:val="00695BEF"/>
    <w:rsid w:val="006977F6"/>
    <w:rsid w:val="00697A13"/>
    <w:rsid w:val="006A109C"/>
    <w:rsid w:val="006B0F92"/>
    <w:rsid w:val="006B173A"/>
    <w:rsid w:val="006B344A"/>
    <w:rsid w:val="006B759B"/>
    <w:rsid w:val="006B78D8"/>
    <w:rsid w:val="006C113F"/>
    <w:rsid w:val="006C123E"/>
    <w:rsid w:val="006C1752"/>
    <w:rsid w:val="006C4460"/>
    <w:rsid w:val="006C56D4"/>
    <w:rsid w:val="006C6924"/>
    <w:rsid w:val="006C7CA6"/>
    <w:rsid w:val="006D3E8A"/>
    <w:rsid w:val="006D61F6"/>
    <w:rsid w:val="006E279A"/>
    <w:rsid w:val="006E313B"/>
    <w:rsid w:val="006E4254"/>
    <w:rsid w:val="006E7227"/>
    <w:rsid w:val="006F438E"/>
    <w:rsid w:val="006F5416"/>
    <w:rsid w:val="006F7076"/>
    <w:rsid w:val="00705242"/>
    <w:rsid w:val="00706AD4"/>
    <w:rsid w:val="00707150"/>
    <w:rsid w:val="007140BE"/>
    <w:rsid w:val="007143B4"/>
    <w:rsid w:val="007211F5"/>
    <w:rsid w:val="00723946"/>
    <w:rsid w:val="007240E2"/>
    <w:rsid w:val="00725BB5"/>
    <w:rsid w:val="00730AE8"/>
    <w:rsid w:val="00730F1B"/>
    <w:rsid w:val="007342AC"/>
    <w:rsid w:val="00741493"/>
    <w:rsid w:val="00752180"/>
    <w:rsid w:val="00753CAB"/>
    <w:rsid w:val="00755202"/>
    <w:rsid w:val="00755D3A"/>
    <w:rsid w:val="007578D3"/>
    <w:rsid w:val="007609C6"/>
    <w:rsid w:val="00760EA4"/>
    <w:rsid w:val="0076175D"/>
    <w:rsid w:val="00763B85"/>
    <w:rsid w:val="00764744"/>
    <w:rsid w:val="0076521E"/>
    <w:rsid w:val="007661E9"/>
    <w:rsid w:val="00773220"/>
    <w:rsid w:val="00776169"/>
    <w:rsid w:val="00776527"/>
    <w:rsid w:val="00776EAB"/>
    <w:rsid w:val="00780EF1"/>
    <w:rsid w:val="00790711"/>
    <w:rsid w:val="00790764"/>
    <w:rsid w:val="0079124F"/>
    <w:rsid w:val="0079453C"/>
    <w:rsid w:val="00794677"/>
    <w:rsid w:val="00797445"/>
    <w:rsid w:val="007A516D"/>
    <w:rsid w:val="007B6689"/>
    <w:rsid w:val="007C6BBD"/>
    <w:rsid w:val="007D293C"/>
    <w:rsid w:val="007D40DF"/>
    <w:rsid w:val="007E29B4"/>
    <w:rsid w:val="007E435A"/>
    <w:rsid w:val="007E7E61"/>
    <w:rsid w:val="007E7FCE"/>
    <w:rsid w:val="007F0845"/>
    <w:rsid w:val="007F708D"/>
    <w:rsid w:val="00800216"/>
    <w:rsid w:val="00801E13"/>
    <w:rsid w:val="00807C82"/>
    <w:rsid w:val="00810C82"/>
    <w:rsid w:val="00814B15"/>
    <w:rsid w:val="00816905"/>
    <w:rsid w:val="00821777"/>
    <w:rsid w:val="00821FF6"/>
    <w:rsid w:val="00822574"/>
    <w:rsid w:val="00825C4D"/>
    <w:rsid w:val="008304D1"/>
    <w:rsid w:val="0083143E"/>
    <w:rsid w:val="00831CDE"/>
    <w:rsid w:val="00834304"/>
    <w:rsid w:val="00834FAA"/>
    <w:rsid w:val="0083516C"/>
    <w:rsid w:val="00836086"/>
    <w:rsid w:val="00846121"/>
    <w:rsid w:val="008462A8"/>
    <w:rsid w:val="0084708F"/>
    <w:rsid w:val="008477C8"/>
    <w:rsid w:val="0085114D"/>
    <w:rsid w:val="00852217"/>
    <w:rsid w:val="00855408"/>
    <w:rsid w:val="00855712"/>
    <w:rsid w:val="00856D65"/>
    <w:rsid w:val="00861B41"/>
    <w:rsid w:val="00861BE3"/>
    <w:rsid w:val="00863434"/>
    <w:rsid w:val="00865E4C"/>
    <w:rsid w:val="008701E4"/>
    <w:rsid w:val="00871069"/>
    <w:rsid w:val="00875A32"/>
    <w:rsid w:val="00876086"/>
    <w:rsid w:val="008825B0"/>
    <w:rsid w:val="00884AD6"/>
    <w:rsid w:val="008873D4"/>
    <w:rsid w:val="0089126C"/>
    <w:rsid w:val="0089296D"/>
    <w:rsid w:val="00893E85"/>
    <w:rsid w:val="00894031"/>
    <w:rsid w:val="00895508"/>
    <w:rsid w:val="008A6CB4"/>
    <w:rsid w:val="008B5CF6"/>
    <w:rsid w:val="008B7C02"/>
    <w:rsid w:val="008B7D2B"/>
    <w:rsid w:val="008C0049"/>
    <w:rsid w:val="008C0E88"/>
    <w:rsid w:val="008C53CB"/>
    <w:rsid w:val="008D1E6A"/>
    <w:rsid w:val="008D2A16"/>
    <w:rsid w:val="008D6B35"/>
    <w:rsid w:val="008E2C57"/>
    <w:rsid w:val="008E31FF"/>
    <w:rsid w:val="008E6F06"/>
    <w:rsid w:val="008E7FC9"/>
    <w:rsid w:val="008F029B"/>
    <w:rsid w:val="008F3FC9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31A3"/>
    <w:rsid w:val="00924AC8"/>
    <w:rsid w:val="0092597A"/>
    <w:rsid w:val="00925E75"/>
    <w:rsid w:val="00930FB1"/>
    <w:rsid w:val="0093139F"/>
    <w:rsid w:val="00932443"/>
    <w:rsid w:val="00937258"/>
    <w:rsid w:val="00937AE2"/>
    <w:rsid w:val="0094427A"/>
    <w:rsid w:val="00945245"/>
    <w:rsid w:val="00957309"/>
    <w:rsid w:val="0095759C"/>
    <w:rsid w:val="009721DB"/>
    <w:rsid w:val="0097239B"/>
    <w:rsid w:val="00974923"/>
    <w:rsid w:val="009808F7"/>
    <w:rsid w:val="00980D3D"/>
    <w:rsid w:val="009855E1"/>
    <w:rsid w:val="00987A30"/>
    <w:rsid w:val="00992CF3"/>
    <w:rsid w:val="00994868"/>
    <w:rsid w:val="0099574A"/>
    <w:rsid w:val="009968D6"/>
    <w:rsid w:val="009A1CAB"/>
    <w:rsid w:val="009A60D1"/>
    <w:rsid w:val="009B6FD3"/>
    <w:rsid w:val="009C1750"/>
    <w:rsid w:val="009C2E29"/>
    <w:rsid w:val="009C554B"/>
    <w:rsid w:val="009C719E"/>
    <w:rsid w:val="009C7A10"/>
    <w:rsid w:val="009D1120"/>
    <w:rsid w:val="009D3ACD"/>
    <w:rsid w:val="009E5273"/>
    <w:rsid w:val="009E5DDB"/>
    <w:rsid w:val="009E7F05"/>
    <w:rsid w:val="009F46B7"/>
    <w:rsid w:val="009F4CA7"/>
    <w:rsid w:val="00A04CEF"/>
    <w:rsid w:val="00A10D66"/>
    <w:rsid w:val="00A14114"/>
    <w:rsid w:val="00A1537C"/>
    <w:rsid w:val="00A16413"/>
    <w:rsid w:val="00A16E1D"/>
    <w:rsid w:val="00A17D5B"/>
    <w:rsid w:val="00A17EB2"/>
    <w:rsid w:val="00A206E5"/>
    <w:rsid w:val="00A23447"/>
    <w:rsid w:val="00A23E43"/>
    <w:rsid w:val="00A25216"/>
    <w:rsid w:val="00A30F65"/>
    <w:rsid w:val="00A33A89"/>
    <w:rsid w:val="00A40EAC"/>
    <w:rsid w:val="00A40EDD"/>
    <w:rsid w:val="00A418BC"/>
    <w:rsid w:val="00A4206C"/>
    <w:rsid w:val="00A46DE0"/>
    <w:rsid w:val="00A472EB"/>
    <w:rsid w:val="00A47FCA"/>
    <w:rsid w:val="00A50D73"/>
    <w:rsid w:val="00A52CAD"/>
    <w:rsid w:val="00A53FC7"/>
    <w:rsid w:val="00A62CE1"/>
    <w:rsid w:val="00A668A3"/>
    <w:rsid w:val="00A6741E"/>
    <w:rsid w:val="00A754EA"/>
    <w:rsid w:val="00A75E40"/>
    <w:rsid w:val="00A77D1D"/>
    <w:rsid w:val="00A84A6A"/>
    <w:rsid w:val="00A857C0"/>
    <w:rsid w:val="00A90FED"/>
    <w:rsid w:val="00AA2996"/>
    <w:rsid w:val="00AA2A70"/>
    <w:rsid w:val="00AA52BF"/>
    <w:rsid w:val="00AA559A"/>
    <w:rsid w:val="00AB2AF1"/>
    <w:rsid w:val="00AB535B"/>
    <w:rsid w:val="00AC45BD"/>
    <w:rsid w:val="00AD168E"/>
    <w:rsid w:val="00AD306C"/>
    <w:rsid w:val="00AD4F16"/>
    <w:rsid w:val="00AD68C4"/>
    <w:rsid w:val="00AE09B3"/>
    <w:rsid w:val="00AE0ED3"/>
    <w:rsid w:val="00AE1A83"/>
    <w:rsid w:val="00AE31A7"/>
    <w:rsid w:val="00AF6128"/>
    <w:rsid w:val="00B00913"/>
    <w:rsid w:val="00B01593"/>
    <w:rsid w:val="00B023F2"/>
    <w:rsid w:val="00B04705"/>
    <w:rsid w:val="00B07BBB"/>
    <w:rsid w:val="00B10A4D"/>
    <w:rsid w:val="00B14BC1"/>
    <w:rsid w:val="00B17E71"/>
    <w:rsid w:val="00B17FDE"/>
    <w:rsid w:val="00B2379C"/>
    <w:rsid w:val="00B25189"/>
    <w:rsid w:val="00B2687D"/>
    <w:rsid w:val="00B26897"/>
    <w:rsid w:val="00B32DDB"/>
    <w:rsid w:val="00B34528"/>
    <w:rsid w:val="00B34CC9"/>
    <w:rsid w:val="00B402FC"/>
    <w:rsid w:val="00B439DA"/>
    <w:rsid w:val="00B46604"/>
    <w:rsid w:val="00B530CD"/>
    <w:rsid w:val="00B55F5E"/>
    <w:rsid w:val="00B5752E"/>
    <w:rsid w:val="00B63A11"/>
    <w:rsid w:val="00B63B6A"/>
    <w:rsid w:val="00B64C24"/>
    <w:rsid w:val="00B6608F"/>
    <w:rsid w:val="00B67768"/>
    <w:rsid w:val="00B679FB"/>
    <w:rsid w:val="00B71EF7"/>
    <w:rsid w:val="00B7665A"/>
    <w:rsid w:val="00B76D1E"/>
    <w:rsid w:val="00B8028A"/>
    <w:rsid w:val="00B80EC6"/>
    <w:rsid w:val="00B84CF6"/>
    <w:rsid w:val="00B92D1D"/>
    <w:rsid w:val="00B938C5"/>
    <w:rsid w:val="00B95940"/>
    <w:rsid w:val="00BA6C2B"/>
    <w:rsid w:val="00BB46F3"/>
    <w:rsid w:val="00BB4CB1"/>
    <w:rsid w:val="00BB4F98"/>
    <w:rsid w:val="00BC5C12"/>
    <w:rsid w:val="00BC7154"/>
    <w:rsid w:val="00BC731E"/>
    <w:rsid w:val="00BD366B"/>
    <w:rsid w:val="00BD6D50"/>
    <w:rsid w:val="00BE18B9"/>
    <w:rsid w:val="00BE2495"/>
    <w:rsid w:val="00BF1578"/>
    <w:rsid w:val="00BF723F"/>
    <w:rsid w:val="00C21F94"/>
    <w:rsid w:val="00C27913"/>
    <w:rsid w:val="00C27E4F"/>
    <w:rsid w:val="00C32964"/>
    <w:rsid w:val="00C33B68"/>
    <w:rsid w:val="00C36A79"/>
    <w:rsid w:val="00C401D2"/>
    <w:rsid w:val="00C405D4"/>
    <w:rsid w:val="00C4431F"/>
    <w:rsid w:val="00C4513B"/>
    <w:rsid w:val="00C5390B"/>
    <w:rsid w:val="00C53E5D"/>
    <w:rsid w:val="00C54697"/>
    <w:rsid w:val="00C65535"/>
    <w:rsid w:val="00C71E85"/>
    <w:rsid w:val="00C72884"/>
    <w:rsid w:val="00C73885"/>
    <w:rsid w:val="00C747B1"/>
    <w:rsid w:val="00C82191"/>
    <w:rsid w:val="00C83134"/>
    <w:rsid w:val="00C85545"/>
    <w:rsid w:val="00C90CF4"/>
    <w:rsid w:val="00C92EB6"/>
    <w:rsid w:val="00C93389"/>
    <w:rsid w:val="00CA0914"/>
    <w:rsid w:val="00CA6AB4"/>
    <w:rsid w:val="00CA7BE7"/>
    <w:rsid w:val="00CB4930"/>
    <w:rsid w:val="00CC2E7D"/>
    <w:rsid w:val="00CD10A5"/>
    <w:rsid w:val="00CD2076"/>
    <w:rsid w:val="00CD29B5"/>
    <w:rsid w:val="00CD6331"/>
    <w:rsid w:val="00CE670B"/>
    <w:rsid w:val="00CF39C9"/>
    <w:rsid w:val="00CF4908"/>
    <w:rsid w:val="00CF51EC"/>
    <w:rsid w:val="00CF73AE"/>
    <w:rsid w:val="00D040DD"/>
    <w:rsid w:val="00D075BE"/>
    <w:rsid w:val="00D13986"/>
    <w:rsid w:val="00D21D83"/>
    <w:rsid w:val="00D235B7"/>
    <w:rsid w:val="00D23C02"/>
    <w:rsid w:val="00D25F28"/>
    <w:rsid w:val="00D26071"/>
    <w:rsid w:val="00D27973"/>
    <w:rsid w:val="00D35E1A"/>
    <w:rsid w:val="00D42211"/>
    <w:rsid w:val="00D50F46"/>
    <w:rsid w:val="00D567C6"/>
    <w:rsid w:val="00D57677"/>
    <w:rsid w:val="00D66223"/>
    <w:rsid w:val="00D71625"/>
    <w:rsid w:val="00D751DA"/>
    <w:rsid w:val="00D8084C"/>
    <w:rsid w:val="00D915EA"/>
    <w:rsid w:val="00D96855"/>
    <w:rsid w:val="00DA48C1"/>
    <w:rsid w:val="00DA7C0C"/>
    <w:rsid w:val="00DB08A9"/>
    <w:rsid w:val="00DB2EC8"/>
    <w:rsid w:val="00DB5FC0"/>
    <w:rsid w:val="00DB6566"/>
    <w:rsid w:val="00DC1E84"/>
    <w:rsid w:val="00DC48F1"/>
    <w:rsid w:val="00DC5B3B"/>
    <w:rsid w:val="00DD129F"/>
    <w:rsid w:val="00DD4EFE"/>
    <w:rsid w:val="00DE02BD"/>
    <w:rsid w:val="00DF42FF"/>
    <w:rsid w:val="00DF5908"/>
    <w:rsid w:val="00E01C0E"/>
    <w:rsid w:val="00E03F9A"/>
    <w:rsid w:val="00E0465E"/>
    <w:rsid w:val="00E04694"/>
    <w:rsid w:val="00E063CE"/>
    <w:rsid w:val="00E12B1E"/>
    <w:rsid w:val="00E17262"/>
    <w:rsid w:val="00E253A2"/>
    <w:rsid w:val="00E3309D"/>
    <w:rsid w:val="00E43C1C"/>
    <w:rsid w:val="00E47EBA"/>
    <w:rsid w:val="00E50156"/>
    <w:rsid w:val="00E51643"/>
    <w:rsid w:val="00E53470"/>
    <w:rsid w:val="00E53874"/>
    <w:rsid w:val="00E539F6"/>
    <w:rsid w:val="00E6519D"/>
    <w:rsid w:val="00E67696"/>
    <w:rsid w:val="00E71A58"/>
    <w:rsid w:val="00E72A7A"/>
    <w:rsid w:val="00E75C94"/>
    <w:rsid w:val="00E920F4"/>
    <w:rsid w:val="00E93820"/>
    <w:rsid w:val="00E94A86"/>
    <w:rsid w:val="00E96143"/>
    <w:rsid w:val="00EA0987"/>
    <w:rsid w:val="00EA0C68"/>
    <w:rsid w:val="00EA32BC"/>
    <w:rsid w:val="00EA4302"/>
    <w:rsid w:val="00EB39C7"/>
    <w:rsid w:val="00EB3D8F"/>
    <w:rsid w:val="00EB4511"/>
    <w:rsid w:val="00EC03D7"/>
    <w:rsid w:val="00ED62C6"/>
    <w:rsid w:val="00ED64C1"/>
    <w:rsid w:val="00EE3446"/>
    <w:rsid w:val="00EE3E78"/>
    <w:rsid w:val="00EE4B1B"/>
    <w:rsid w:val="00EE7F19"/>
    <w:rsid w:val="00EF150D"/>
    <w:rsid w:val="00EF1F5A"/>
    <w:rsid w:val="00EF47BF"/>
    <w:rsid w:val="00EF6DB3"/>
    <w:rsid w:val="00F04811"/>
    <w:rsid w:val="00F0488C"/>
    <w:rsid w:val="00F10F11"/>
    <w:rsid w:val="00F15AAA"/>
    <w:rsid w:val="00F15BEF"/>
    <w:rsid w:val="00F24407"/>
    <w:rsid w:val="00F24931"/>
    <w:rsid w:val="00F24FAA"/>
    <w:rsid w:val="00F3364D"/>
    <w:rsid w:val="00F437CC"/>
    <w:rsid w:val="00F44537"/>
    <w:rsid w:val="00F44B6A"/>
    <w:rsid w:val="00F47067"/>
    <w:rsid w:val="00F50FC3"/>
    <w:rsid w:val="00F52106"/>
    <w:rsid w:val="00F525EB"/>
    <w:rsid w:val="00F63DDE"/>
    <w:rsid w:val="00F63FB7"/>
    <w:rsid w:val="00F6421B"/>
    <w:rsid w:val="00F649D2"/>
    <w:rsid w:val="00F6602B"/>
    <w:rsid w:val="00F66FD9"/>
    <w:rsid w:val="00F67C4E"/>
    <w:rsid w:val="00F73A0C"/>
    <w:rsid w:val="00F756DB"/>
    <w:rsid w:val="00F84E7D"/>
    <w:rsid w:val="00F85066"/>
    <w:rsid w:val="00F87A4D"/>
    <w:rsid w:val="00F9785E"/>
    <w:rsid w:val="00FA5D4D"/>
    <w:rsid w:val="00FA60AD"/>
    <w:rsid w:val="00FA7115"/>
    <w:rsid w:val="00FB0EE2"/>
    <w:rsid w:val="00FB4423"/>
    <w:rsid w:val="00FB542E"/>
    <w:rsid w:val="00FC0E5F"/>
    <w:rsid w:val="00FC1A95"/>
    <w:rsid w:val="00FC56DE"/>
    <w:rsid w:val="00FC684B"/>
    <w:rsid w:val="00FD3265"/>
    <w:rsid w:val="00FD5F92"/>
    <w:rsid w:val="00FD66F9"/>
    <w:rsid w:val="00FE2F78"/>
    <w:rsid w:val="00FF4082"/>
    <w:rsid w:val="00FF7090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47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metodicka-poznamka-k-indexu-spotrebitelskych-cen-imputovane-najem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1/Makroanal&#253;za%20graf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1/Makroanal&#253;za%20graf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czsocz-my.sharepoint.com/personal/karolina_zabojnikova_czso_cz/Documents/Dokumenty/Anal&#253;za/Q/2025Q1/Makroanal&#253;za%20graf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8568840579710145E-2"/>
          <c:y val="2.1811315924220299E-2"/>
          <c:w val="0.92237743255066085"/>
          <c:h val="0.714715752130041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2'!$C$5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9050">
              <a:noFill/>
            </a:ln>
          </c:spPr>
          <c:invertIfNegative val="0"/>
          <c:cat>
            <c:multiLvlStrRef>
              <c:f>'Ceny 2'!$A$14:$B$34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2'!$C$14:$C$34</c:f>
              <c:numCache>
                <c:formatCode>0.0</c:formatCode>
                <c:ptCount val="21"/>
                <c:pt idx="0">
                  <c:v>3.6</c:v>
                </c:pt>
                <c:pt idx="1">
                  <c:v>3.1</c:v>
                </c:pt>
                <c:pt idx="2">
                  <c:v>3.3</c:v>
                </c:pt>
                <c:pt idx="3">
                  <c:v>2.6</c:v>
                </c:pt>
                <c:pt idx="4">
                  <c:v>2.2000000000000002</c:v>
                </c:pt>
                <c:pt idx="5">
                  <c:v>2.9</c:v>
                </c:pt>
                <c:pt idx="6">
                  <c:v>4.0999999999999996</c:v>
                </c:pt>
                <c:pt idx="7">
                  <c:v>6.1</c:v>
                </c:pt>
                <c:pt idx="8">
                  <c:v>11.2</c:v>
                </c:pt>
                <c:pt idx="9">
                  <c:v>15.8</c:v>
                </c:pt>
                <c:pt idx="10">
                  <c:v>17.600000000000001</c:v>
                </c:pt>
                <c:pt idx="11">
                  <c:v>15.7</c:v>
                </c:pt>
                <c:pt idx="12">
                  <c:v>16.399999999999999</c:v>
                </c:pt>
                <c:pt idx="13">
                  <c:v>11.1</c:v>
                </c:pt>
                <c:pt idx="14">
                  <c:v>8</c:v>
                </c:pt>
                <c:pt idx="15">
                  <c:v>7.6</c:v>
                </c:pt>
                <c:pt idx="16">
                  <c:v>2.1</c:v>
                </c:pt>
                <c:pt idx="17">
                  <c:v>2.5</c:v>
                </c:pt>
                <c:pt idx="18">
                  <c:v>2.2999999999999998</c:v>
                </c:pt>
                <c:pt idx="19">
                  <c:v>2.9</c:v>
                </c:pt>
                <c:pt idx="20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6A-46F4-A782-52BB7379F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120064"/>
        <c:axId val="270121600"/>
      </c:barChart>
      <c:lineChart>
        <c:grouping val="standard"/>
        <c:varyColors val="0"/>
        <c:ser>
          <c:idx val="1"/>
          <c:order val="1"/>
          <c:tx>
            <c:strRef>
              <c:f>'Ceny 2'!$D$5</c:f>
              <c:strCache>
                <c:ptCount val="1"/>
                <c:pt idx="0">
                  <c:v>Potraviny a nealkoholické nápoje</c:v>
                </c:pt>
              </c:strCache>
            </c:strRef>
          </c:tx>
          <c:spPr>
            <a:ln w="19050">
              <a:solidFill>
                <a:srgbClr val="0071BC"/>
              </a:solidFill>
            </a:ln>
          </c:spPr>
          <c:marker>
            <c:symbol val="none"/>
          </c:marker>
          <c:cat>
            <c:multiLvlStrRef>
              <c:f>'Ceny 2'!$A$14:$B$34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2'!$D$14:$D$34</c:f>
              <c:numCache>
                <c:formatCode>0.0</c:formatCode>
                <c:ptCount val="21"/>
                <c:pt idx="0">
                  <c:v>6.1</c:v>
                </c:pt>
                <c:pt idx="1">
                  <c:v>6.5</c:v>
                </c:pt>
                <c:pt idx="2">
                  <c:v>4</c:v>
                </c:pt>
                <c:pt idx="3">
                  <c:v>1.7</c:v>
                </c:pt>
                <c:pt idx="4">
                  <c:v>0.3</c:v>
                </c:pt>
                <c:pt idx="5">
                  <c:v>-0.8</c:v>
                </c:pt>
                <c:pt idx="6">
                  <c:v>1.4</c:v>
                </c:pt>
                <c:pt idx="7">
                  <c:v>2.2999999999999998</c:v>
                </c:pt>
                <c:pt idx="8">
                  <c:v>6.7</c:v>
                </c:pt>
                <c:pt idx="9">
                  <c:v>14.6</c:v>
                </c:pt>
                <c:pt idx="10">
                  <c:v>20</c:v>
                </c:pt>
                <c:pt idx="11">
                  <c:v>25.5</c:v>
                </c:pt>
                <c:pt idx="12">
                  <c:v>24.1</c:v>
                </c:pt>
                <c:pt idx="13">
                  <c:v>14.6</c:v>
                </c:pt>
                <c:pt idx="14">
                  <c:v>7.8</c:v>
                </c:pt>
                <c:pt idx="15">
                  <c:v>1.6</c:v>
                </c:pt>
                <c:pt idx="16">
                  <c:v>-4.9000000000000004</c:v>
                </c:pt>
                <c:pt idx="17">
                  <c:v>-3.6</c:v>
                </c:pt>
                <c:pt idx="18">
                  <c:v>-1.4</c:v>
                </c:pt>
                <c:pt idx="19">
                  <c:v>0.9</c:v>
                </c:pt>
                <c:pt idx="20">
                  <c:v>5.0999999999999996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26A-46F4-A782-52BB7379F6FD}"/>
            </c:ext>
          </c:extLst>
        </c:ser>
        <c:ser>
          <c:idx val="3"/>
          <c:order val="2"/>
          <c:tx>
            <c:strRef>
              <c:f>'Ceny 2'!$F$5</c:f>
              <c:strCache>
                <c:ptCount val="1"/>
                <c:pt idx="0">
                  <c:v>Bydlení a energie</c:v>
                </c:pt>
              </c:strCache>
            </c:strRef>
          </c:tx>
          <c:spPr>
            <a:ln w="19050">
              <a:solidFill>
                <a:srgbClr val="7DBB2D"/>
              </a:solidFill>
            </a:ln>
          </c:spPr>
          <c:marker>
            <c:symbol val="none"/>
          </c:marker>
          <c:cat>
            <c:multiLvlStrRef>
              <c:f>'Ceny 2'!$A$14:$B$34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2'!$F$14:$F$34</c:f>
              <c:numCache>
                <c:formatCode>0.0</c:formatCode>
                <c:ptCount val="21"/>
                <c:pt idx="0">
                  <c:v>4.2</c:v>
                </c:pt>
                <c:pt idx="1">
                  <c:v>3.2</c:v>
                </c:pt>
                <c:pt idx="2">
                  <c:v>2.7</c:v>
                </c:pt>
                <c:pt idx="3">
                  <c:v>1.4</c:v>
                </c:pt>
                <c:pt idx="4">
                  <c:v>0.6</c:v>
                </c:pt>
                <c:pt idx="5">
                  <c:v>1.3</c:v>
                </c:pt>
                <c:pt idx="6">
                  <c:v>3.6</c:v>
                </c:pt>
                <c:pt idx="7">
                  <c:v>5.6</c:v>
                </c:pt>
                <c:pt idx="8">
                  <c:v>16</c:v>
                </c:pt>
                <c:pt idx="9">
                  <c:v>21.4</c:v>
                </c:pt>
                <c:pt idx="10">
                  <c:v>23.6</c:v>
                </c:pt>
                <c:pt idx="11">
                  <c:v>14.9</c:v>
                </c:pt>
                <c:pt idx="12">
                  <c:v>22.2</c:v>
                </c:pt>
                <c:pt idx="13">
                  <c:v>16</c:v>
                </c:pt>
                <c:pt idx="14">
                  <c:v>11.6</c:v>
                </c:pt>
                <c:pt idx="15">
                  <c:v>17.8</c:v>
                </c:pt>
                <c:pt idx="16">
                  <c:v>3.4</c:v>
                </c:pt>
                <c:pt idx="17">
                  <c:v>3.1</c:v>
                </c:pt>
                <c:pt idx="18">
                  <c:v>3.2</c:v>
                </c:pt>
                <c:pt idx="19">
                  <c:v>4.2</c:v>
                </c:pt>
                <c:pt idx="20">
                  <c:v>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26A-46F4-A782-52BB7379F6FD}"/>
            </c:ext>
          </c:extLst>
        </c:ser>
        <c:ser>
          <c:idx val="4"/>
          <c:order val="3"/>
          <c:tx>
            <c:strRef>
              <c:f>'Ceny 2'!$G$5</c:f>
              <c:strCache>
                <c:ptCount val="1"/>
                <c:pt idx="0">
                  <c:v>Doprava</c:v>
                </c:pt>
              </c:strCache>
            </c:strRef>
          </c:tx>
          <c:spPr>
            <a:ln w="19050">
              <a:solidFill>
                <a:srgbClr val="FFC000"/>
              </a:solidFill>
            </a:ln>
          </c:spPr>
          <c:marker>
            <c:symbol val="none"/>
          </c:marker>
          <c:cat>
            <c:multiLvlStrRef>
              <c:f>'Ceny 2'!$A$14:$B$34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2'!$G$14:$G$34</c:f>
              <c:numCache>
                <c:formatCode>0.0</c:formatCode>
                <c:ptCount val="21"/>
                <c:pt idx="0" formatCode="General">
                  <c:v>1.7</c:v>
                </c:pt>
                <c:pt idx="1">
                  <c:v>-3.4</c:v>
                </c:pt>
                <c:pt idx="2">
                  <c:v>-0.2</c:v>
                </c:pt>
                <c:pt idx="3">
                  <c:v>0.6</c:v>
                </c:pt>
                <c:pt idx="4">
                  <c:v>2.4</c:v>
                </c:pt>
                <c:pt idx="5">
                  <c:v>9.1</c:v>
                </c:pt>
                <c:pt idx="6">
                  <c:v>8.8000000000000007</c:v>
                </c:pt>
                <c:pt idx="7">
                  <c:v>13.1</c:v>
                </c:pt>
                <c:pt idx="8">
                  <c:v>17.2</c:v>
                </c:pt>
                <c:pt idx="9">
                  <c:v>22.7</c:v>
                </c:pt>
                <c:pt idx="10">
                  <c:v>19.7</c:v>
                </c:pt>
                <c:pt idx="11">
                  <c:v>13.1</c:v>
                </c:pt>
                <c:pt idx="12">
                  <c:v>4.5</c:v>
                </c:pt>
                <c:pt idx="13">
                  <c:v>-4</c:v>
                </c:pt>
                <c:pt idx="14">
                  <c:v>-2.4</c:v>
                </c:pt>
                <c:pt idx="15">
                  <c:v>-1.6</c:v>
                </c:pt>
                <c:pt idx="16">
                  <c:v>1.7</c:v>
                </c:pt>
                <c:pt idx="17">
                  <c:v>4.5999999999999996</c:v>
                </c:pt>
                <c:pt idx="18">
                  <c:v>0.9</c:v>
                </c:pt>
                <c:pt idx="19">
                  <c:v>0.1</c:v>
                </c:pt>
                <c:pt idx="20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26A-46F4-A782-52BB7379F6FD}"/>
            </c:ext>
          </c:extLst>
        </c:ser>
        <c:ser>
          <c:idx val="2"/>
          <c:order val="4"/>
          <c:tx>
            <c:strRef>
              <c:f>'Ceny 2'!$E$5</c:f>
              <c:strCache>
                <c:ptCount val="1"/>
                <c:pt idx="0">
                  <c:v>Alkoholické nápoje a tabák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FF0000"/>
              </a:solidFill>
            </a:ln>
          </c:spPr>
          <c:marker>
            <c:symbol val="none"/>
          </c:marker>
          <c:cat>
            <c:multiLvlStrRef>
              <c:f>'Ceny 2'!$A$14:$B$34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2'!$E$14:$E$34</c:f>
              <c:numCache>
                <c:formatCode>0.0</c:formatCode>
                <c:ptCount val="21"/>
                <c:pt idx="0" formatCode="General">
                  <c:v>3.5</c:v>
                </c:pt>
                <c:pt idx="1">
                  <c:v>6.6</c:v>
                </c:pt>
                <c:pt idx="2">
                  <c:v>10.3</c:v>
                </c:pt>
                <c:pt idx="3">
                  <c:v>9.9</c:v>
                </c:pt>
                <c:pt idx="4">
                  <c:v>9.9</c:v>
                </c:pt>
                <c:pt idx="5">
                  <c:v>9.8000000000000007</c:v>
                </c:pt>
                <c:pt idx="6">
                  <c:v>6.5</c:v>
                </c:pt>
                <c:pt idx="7">
                  <c:v>7.7</c:v>
                </c:pt>
                <c:pt idx="8">
                  <c:v>7.1</c:v>
                </c:pt>
                <c:pt idx="9">
                  <c:v>5.6</c:v>
                </c:pt>
                <c:pt idx="10">
                  <c:v>6.3</c:v>
                </c:pt>
                <c:pt idx="11">
                  <c:v>6</c:v>
                </c:pt>
                <c:pt idx="12">
                  <c:v>6.8</c:v>
                </c:pt>
                <c:pt idx="13">
                  <c:v>6.5</c:v>
                </c:pt>
                <c:pt idx="14">
                  <c:v>7.2</c:v>
                </c:pt>
                <c:pt idx="15">
                  <c:v>5.9</c:v>
                </c:pt>
                <c:pt idx="16">
                  <c:v>4.7</c:v>
                </c:pt>
                <c:pt idx="17">
                  <c:v>6.2</c:v>
                </c:pt>
                <c:pt idx="18">
                  <c:v>4.5999999999999996</c:v>
                </c:pt>
                <c:pt idx="19">
                  <c:v>4.8</c:v>
                </c:pt>
                <c:pt idx="20">
                  <c:v>5.0999999999999996</c:v>
                </c:pt>
              </c:numCache>
            </c:numRef>
          </c: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4-D26A-46F4-A782-52BB7379F6FD}"/>
            </c:ext>
          </c:extLst>
        </c:ser>
        <c:ser>
          <c:idx val="5"/>
          <c:order val="5"/>
          <c:tx>
            <c:strRef>
              <c:f>'Ceny 2'!$H$5</c:f>
              <c:strCache>
                <c:ptCount val="1"/>
                <c:pt idx="0">
                  <c:v>Stravování a ubytování</c:v>
                </c:pt>
              </c:strCache>
            </c:strRef>
          </c:tx>
          <c:spPr>
            <a:ln w="19050">
              <a:solidFill>
                <a:srgbClr val="7030A0"/>
              </a:solidFill>
            </a:ln>
          </c:spPr>
          <c:marker>
            <c:symbol val="none"/>
          </c:marker>
          <c:cat>
            <c:multiLvlStrRef>
              <c:f>'Ceny 2'!$A$14:$B$34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2'!$H$14:$H$34</c:f>
              <c:numCache>
                <c:formatCode>0.0</c:formatCode>
                <c:ptCount val="21"/>
                <c:pt idx="0">
                  <c:v>5.5</c:v>
                </c:pt>
                <c:pt idx="1">
                  <c:v>5.0999999999999996</c:v>
                </c:pt>
                <c:pt idx="2">
                  <c:v>4.9000000000000004</c:v>
                </c:pt>
                <c:pt idx="3">
                  <c:v>4.3</c:v>
                </c:pt>
                <c:pt idx="4">
                  <c:v>3</c:v>
                </c:pt>
                <c:pt idx="5">
                  <c:v>2.9</c:v>
                </c:pt>
                <c:pt idx="6">
                  <c:v>4.5999999999999996</c:v>
                </c:pt>
                <c:pt idx="7">
                  <c:v>6.8</c:v>
                </c:pt>
                <c:pt idx="8">
                  <c:v>12.3</c:v>
                </c:pt>
                <c:pt idx="9">
                  <c:v>21.4</c:v>
                </c:pt>
                <c:pt idx="10">
                  <c:v>24.3</c:v>
                </c:pt>
                <c:pt idx="11">
                  <c:v>25.6</c:v>
                </c:pt>
                <c:pt idx="12">
                  <c:v>22.4</c:v>
                </c:pt>
                <c:pt idx="13">
                  <c:v>15.4</c:v>
                </c:pt>
                <c:pt idx="14">
                  <c:v>11.6</c:v>
                </c:pt>
                <c:pt idx="15">
                  <c:v>8.8000000000000007</c:v>
                </c:pt>
                <c:pt idx="16">
                  <c:v>8.6</c:v>
                </c:pt>
                <c:pt idx="17">
                  <c:v>7.8</c:v>
                </c:pt>
                <c:pt idx="18">
                  <c:v>7.2</c:v>
                </c:pt>
                <c:pt idx="19">
                  <c:v>7</c:v>
                </c:pt>
                <c:pt idx="20">
                  <c:v>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D26A-46F4-A782-52BB7379F6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120064"/>
        <c:axId val="270121600"/>
        <c:extLst>
          <c:ext xmlns:c15="http://schemas.microsoft.com/office/drawing/2012/chart" uri="{02D57815-91ED-43cb-92C2-25804820EDAC}">
            <c15:filteredLineSeries>
              <c15:ser>
                <c:idx val="6"/>
                <c:order val="6"/>
                <c:tx>
                  <c:strRef>
                    <c:extLst>
                      <c:ext uri="{02D57815-91ED-43cb-92C2-25804820EDAC}">
                        <c15:formulaRef>
                          <c15:sqref>'Ceny 2'!$I$5</c15:sqref>
                        </c15:formulaRef>
                      </c:ext>
                    </c:extLst>
                    <c:strCache>
                      <c:ptCount val="1"/>
                      <c:pt idx="0">
                        <c:v>Rekreace a kultura</c:v>
                      </c:pt>
                    </c:strCache>
                  </c:strRef>
                </c:tx>
                <c:spPr>
                  <a:ln w="19050">
                    <a:solidFill>
                      <a:srgbClr val="FF0000"/>
                    </a:solidFill>
                  </a:ln>
                </c:spPr>
                <c:marker>
                  <c:symbol val="none"/>
                </c:marker>
                <c:cat>
                  <c:multiLvlStrRef>
                    <c:extLst>
                      <c:ext uri="{02D57815-91ED-43cb-92C2-25804820EDAC}">
                        <c15:formulaRef>
                          <c15:sqref>'Ceny 2'!$A$14:$B$34</c15:sqref>
                        </c15:formulaRef>
                      </c:ext>
                    </c:extLst>
                    <c:multiLvlStrCache>
                      <c:ptCount val="21"/>
                      <c:lvl>
                        <c:pt idx="0">
                          <c:v>1</c:v>
                        </c:pt>
                        <c:pt idx="1">
                          <c:v>2</c:v>
                        </c:pt>
                        <c:pt idx="2">
                          <c:v>3</c:v>
                        </c:pt>
                        <c:pt idx="3">
                          <c:v>4</c:v>
                        </c:pt>
                        <c:pt idx="4">
                          <c:v>1</c:v>
                        </c:pt>
                        <c:pt idx="5">
                          <c:v>2</c:v>
                        </c:pt>
                        <c:pt idx="6">
                          <c:v>3</c:v>
                        </c:pt>
                        <c:pt idx="7">
                          <c:v>4</c:v>
                        </c:pt>
                        <c:pt idx="8">
                          <c:v>1</c:v>
                        </c:pt>
                        <c:pt idx="9">
                          <c:v>2</c:v>
                        </c:pt>
                        <c:pt idx="10">
                          <c:v>3</c:v>
                        </c:pt>
                        <c:pt idx="11">
                          <c:v>4</c:v>
                        </c:pt>
                        <c:pt idx="12">
                          <c:v>1</c:v>
                        </c:pt>
                        <c:pt idx="13">
                          <c:v>2</c:v>
                        </c:pt>
                        <c:pt idx="14">
                          <c:v>3</c:v>
                        </c:pt>
                        <c:pt idx="15">
                          <c:v>4</c:v>
                        </c:pt>
                        <c:pt idx="16">
                          <c:v>1</c:v>
                        </c:pt>
                        <c:pt idx="17">
                          <c:v>2</c:v>
                        </c:pt>
                        <c:pt idx="18">
                          <c:v>3</c:v>
                        </c:pt>
                        <c:pt idx="19">
                          <c:v>4</c:v>
                        </c:pt>
                        <c:pt idx="20">
                          <c:v>1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>
                      <c:ext uri="{02D57815-91ED-43cb-92C2-25804820EDAC}">
                        <c15:formulaRef>
                          <c15:sqref>'Ceny 2'!$I$10:$I$30</c15:sqref>
                        </c15:formulaRef>
                      </c:ext>
                    </c:extLst>
                    <c:numCache>
                      <c:formatCode>General</c:formatCode>
                      <c:ptCount val="21"/>
                      <c:pt idx="0">
                        <c:v>1.7000000000000028</c:v>
                      </c:pt>
                      <c:pt idx="1">
                        <c:v>1</c:v>
                      </c:pt>
                      <c:pt idx="2">
                        <c:v>1.7000000000000028</c:v>
                      </c:pt>
                      <c:pt idx="3">
                        <c:v>2.0999999999999943</c:v>
                      </c:pt>
                      <c:pt idx="4">
                        <c:v>2.0999999999999943</c:v>
                      </c:pt>
                      <c:pt idx="5">
                        <c:v>2</c:v>
                      </c:pt>
                      <c:pt idx="6">
                        <c:v>2.2000000000000028</c:v>
                      </c:pt>
                      <c:pt idx="7">
                        <c:v>2.5</c:v>
                      </c:pt>
                      <c:pt idx="8">
                        <c:v>1.4000000000000057</c:v>
                      </c:pt>
                      <c:pt idx="9">
                        <c:v>2</c:v>
                      </c:pt>
                      <c:pt idx="10">
                        <c:v>3.0999999999999943</c:v>
                      </c:pt>
                      <c:pt idx="11">
                        <c:v>5.2999999999999972</c:v>
                      </c:pt>
                      <c:pt idx="12">
                        <c:v>8.5</c:v>
                      </c:pt>
                      <c:pt idx="13">
                        <c:v>11.299999999999997</c:v>
                      </c:pt>
                      <c:pt idx="14">
                        <c:v>12.599999999999994</c:v>
                      </c:pt>
                      <c:pt idx="15" formatCode="0.0">
                        <c:v>13.2</c:v>
                      </c:pt>
                      <c:pt idx="16" formatCode="0.0">
                        <c:v>14</c:v>
                      </c:pt>
                      <c:pt idx="17" formatCode="0.0">
                        <c:v>11.7</c:v>
                      </c:pt>
                      <c:pt idx="18" formatCode="0.0">
                        <c:v>9.6999999999999993</c:v>
                      </c:pt>
                      <c:pt idx="19" formatCode="0.0">
                        <c:v>6.9</c:v>
                      </c:pt>
                      <c:pt idx="20" formatCode="0.0">
                        <c:v>4.4000000000000004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D26A-46F4-A782-52BB7379F6FD}"/>
                  </c:ext>
                </c:extLst>
              </c15:ser>
            </c15:filteredLineSeries>
            <c15:filteredLineSeries>
              <c15:ser>
                <c:idx val="7"/>
                <c:order val="7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2'!$J$5</c15:sqref>
                        </c15:formulaRef>
                      </c:ext>
                    </c:extLst>
                    <c:strCache>
                      <c:ptCount val="1"/>
                      <c:pt idx="0">
                        <c:v>Odívání a obuv</c:v>
                      </c:pt>
                    </c:strCache>
                  </c:strRef>
                </c:tx>
                <c:spPr>
                  <a:ln w="19050">
                    <a:solidFill>
                      <a:srgbClr val="E8AFB2"/>
                    </a:solidFill>
                  </a:ln>
                </c:spPr>
                <c:marker>
                  <c:symbol val="none"/>
                </c:marker>
                <c:cat>
                  <c:multiLvl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2'!$A$14:$B$34</c15:sqref>
                        </c15:formulaRef>
                      </c:ext>
                    </c:extLst>
                    <c:multiLvlStrCache>
                      <c:ptCount val="21"/>
                      <c:lvl>
                        <c:pt idx="0">
                          <c:v>1</c:v>
                        </c:pt>
                        <c:pt idx="1">
                          <c:v>2</c:v>
                        </c:pt>
                        <c:pt idx="2">
                          <c:v>3</c:v>
                        </c:pt>
                        <c:pt idx="3">
                          <c:v>4</c:v>
                        </c:pt>
                        <c:pt idx="4">
                          <c:v>1</c:v>
                        </c:pt>
                        <c:pt idx="5">
                          <c:v>2</c:v>
                        </c:pt>
                        <c:pt idx="6">
                          <c:v>3</c:v>
                        </c:pt>
                        <c:pt idx="7">
                          <c:v>4</c:v>
                        </c:pt>
                        <c:pt idx="8">
                          <c:v>1</c:v>
                        </c:pt>
                        <c:pt idx="9">
                          <c:v>2</c:v>
                        </c:pt>
                        <c:pt idx="10">
                          <c:v>3</c:v>
                        </c:pt>
                        <c:pt idx="11">
                          <c:v>4</c:v>
                        </c:pt>
                        <c:pt idx="12">
                          <c:v>1</c:v>
                        </c:pt>
                        <c:pt idx="13">
                          <c:v>2</c:v>
                        </c:pt>
                        <c:pt idx="14">
                          <c:v>3</c:v>
                        </c:pt>
                        <c:pt idx="15">
                          <c:v>4</c:v>
                        </c:pt>
                        <c:pt idx="16">
                          <c:v>1</c:v>
                        </c:pt>
                        <c:pt idx="17">
                          <c:v>2</c:v>
                        </c:pt>
                        <c:pt idx="18">
                          <c:v>3</c:v>
                        </c:pt>
                        <c:pt idx="19">
                          <c:v>4</c:v>
                        </c:pt>
                        <c:pt idx="20">
                          <c:v>1</c:v>
                        </c:pt>
                      </c:lvl>
                      <c:lvl>
                        <c:pt idx="0">
                          <c:v>2020</c:v>
                        </c:pt>
                        <c:pt idx="4">
                          <c:v>2021</c:v>
                        </c:pt>
                        <c:pt idx="8">
                          <c:v>2022</c:v>
                        </c:pt>
                        <c:pt idx="12">
                          <c:v>2023</c:v>
                        </c:pt>
                        <c:pt idx="16">
                          <c:v>2024</c:v>
                        </c:pt>
                        <c:pt idx="20">
                          <c:v>2025</c:v>
                        </c:pt>
                      </c:lvl>
                    </c:multiLvlStrCache>
                  </c:multiLvl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'Ceny 2'!$J$6:$J$24</c15:sqref>
                        </c15:formulaRef>
                      </c:ext>
                    </c:extLst>
                    <c:numCache>
                      <c:formatCode>General</c:formatCode>
                      <c:ptCount val="19"/>
                      <c:pt idx="0">
                        <c:v>-0.29999999999999716</c:v>
                      </c:pt>
                      <c:pt idx="1">
                        <c:v>-1</c:v>
                      </c:pt>
                      <c:pt idx="2">
                        <c:v>-1.4000000000000057</c:v>
                      </c:pt>
                      <c:pt idx="3">
                        <c:v>-1.7000000000000028</c:v>
                      </c:pt>
                      <c:pt idx="4">
                        <c:v>-1.0999999999999943</c:v>
                      </c:pt>
                      <c:pt idx="5">
                        <c:v>-1.9000000000000057</c:v>
                      </c:pt>
                      <c:pt idx="6">
                        <c:v>-1.5</c:v>
                      </c:pt>
                      <c:pt idx="7">
                        <c:v>-0.29999999999999716</c:v>
                      </c:pt>
                      <c:pt idx="8">
                        <c:v>3.5</c:v>
                      </c:pt>
                      <c:pt idx="9">
                        <c:v>3.4000000000000057</c:v>
                      </c:pt>
                      <c:pt idx="10">
                        <c:v>4.5</c:v>
                      </c:pt>
                      <c:pt idx="11">
                        <c:v>3.4000000000000057</c:v>
                      </c:pt>
                      <c:pt idx="12">
                        <c:v>2.7000000000000028</c:v>
                      </c:pt>
                      <c:pt idx="13">
                        <c:v>2.9000000000000057</c:v>
                      </c:pt>
                      <c:pt idx="14">
                        <c:v>7.7999999999999972</c:v>
                      </c:pt>
                      <c:pt idx="15">
                        <c:v>12.599999999999994</c:v>
                      </c:pt>
                      <c:pt idx="16">
                        <c:v>16.900000000000006</c:v>
                      </c:pt>
                      <c:pt idx="17">
                        <c:v>20</c:v>
                      </c:pt>
                      <c:pt idx="18">
                        <c:v>19</c:v>
                      </c:pt>
                    </c:numCache>
                  </c:numRef>
                </c:val>
                <c:smooth val="0"/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D26A-46F4-A782-52BB7379F6FD}"/>
                  </c:ext>
                </c:extLst>
              </c15:ser>
            </c15:filteredLineSeries>
          </c:ext>
        </c:extLst>
      </c:lineChart>
      <c:catAx>
        <c:axId val="2701200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121600"/>
        <c:crosses val="autoZero"/>
        <c:auto val="1"/>
        <c:lblAlgn val="ctr"/>
        <c:lblOffset val="100"/>
        <c:noMultiLvlLbl val="0"/>
      </c:catAx>
      <c:valAx>
        <c:axId val="270121600"/>
        <c:scaling>
          <c:orientation val="minMax"/>
          <c:max val="27"/>
          <c:min val="-6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120064"/>
        <c:crosses val="autoZero"/>
        <c:crossBetween val="between"/>
        <c:majorUnit val="3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3882134414049307E-2"/>
          <c:y val="0.85802375323651925"/>
          <c:w val="0.92470364741641342"/>
          <c:h val="0.131253517955645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070373184734885E-2"/>
          <c:y val="2.9569886214146503E-2"/>
          <c:w val="0.90493308848362042"/>
          <c:h val="0.735566531577169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1'!$C$5</c:f>
              <c:strCache>
                <c:ptCount val="1"/>
                <c:pt idx="0">
                  <c:v>Realizované ceny starších bytů, ČR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9050">
              <a:noFill/>
            </a:ln>
          </c:spPr>
          <c:invertIfNegative val="0"/>
          <c:cat>
            <c:multiLvlStrRef>
              <c:f>'Ceny 1'!$A$14:$B$34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1'!$C$14:$C$34</c:f>
              <c:numCache>
                <c:formatCode>General</c:formatCode>
                <c:ptCount val="21"/>
                <c:pt idx="0">
                  <c:v>10.599999999999994</c:v>
                </c:pt>
                <c:pt idx="1">
                  <c:v>10.200000000000003</c:v>
                </c:pt>
                <c:pt idx="2">
                  <c:v>11.200000000000003</c:v>
                </c:pt>
                <c:pt idx="3">
                  <c:v>13.299999999999997</c:v>
                </c:pt>
                <c:pt idx="4">
                  <c:v>15.200000000000003</c:v>
                </c:pt>
                <c:pt idx="5">
                  <c:v>17.900000000000006</c:v>
                </c:pt>
                <c:pt idx="6">
                  <c:v>21.299999999999997</c:v>
                </c:pt>
                <c:pt idx="7">
                  <c:v>25.200000000000003</c:v>
                </c:pt>
                <c:pt idx="8">
                  <c:v>27.299999999999997</c:v>
                </c:pt>
                <c:pt idx="9">
                  <c:v>27.599999999999994</c:v>
                </c:pt>
                <c:pt idx="10">
                  <c:v>23.400000000000006</c:v>
                </c:pt>
                <c:pt idx="11">
                  <c:v>13.799999999999997</c:v>
                </c:pt>
                <c:pt idx="12">
                  <c:v>3.7000000000000028</c:v>
                </c:pt>
                <c:pt idx="13">
                  <c:v>-4.0999999999999943</c:v>
                </c:pt>
                <c:pt idx="14">
                  <c:v>-7</c:v>
                </c:pt>
                <c:pt idx="15">
                  <c:v>-5.5</c:v>
                </c:pt>
                <c:pt idx="16">
                  <c:v>9.9999999999994316E-2</c:v>
                </c:pt>
                <c:pt idx="17">
                  <c:v>6.0999999999999943</c:v>
                </c:pt>
                <c:pt idx="18">
                  <c:v>10.700000000000003</c:v>
                </c:pt>
                <c:pt idx="19">
                  <c:v>14.200000000000003</c:v>
                </c:pt>
                <c:pt idx="20">
                  <c:v>15.799999999999997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95-4C14-A61A-AEF2E4ECF32F}"/>
            </c:ext>
          </c:extLst>
        </c:ser>
        <c:ser>
          <c:idx val="1"/>
          <c:order val="1"/>
          <c:tx>
            <c:strRef>
              <c:f>'Ceny 1'!$D$5</c:f>
              <c:strCache>
                <c:ptCount val="1"/>
                <c:pt idx="0">
                  <c:v>Realizované ceny starších bytů, Praha</c:v>
                </c:pt>
              </c:strCache>
            </c:strRef>
          </c:tx>
          <c:spPr>
            <a:solidFill>
              <a:prstClr val="black">
                <a:lumMod val="50000"/>
                <a:lumOff val="50000"/>
              </a:prstClr>
            </a:solidFill>
            <a:ln w="19050">
              <a:noFill/>
            </a:ln>
          </c:spPr>
          <c:invertIfNegative val="0"/>
          <c:cat>
            <c:multiLvlStrRef>
              <c:f>'Ceny 1'!$A$14:$B$34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1'!$D$14:$D$34</c:f>
              <c:numCache>
                <c:formatCode>General</c:formatCode>
                <c:ptCount val="21"/>
                <c:pt idx="0">
                  <c:v>6.2000000000000028</c:v>
                </c:pt>
                <c:pt idx="1">
                  <c:v>8</c:v>
                </c:pt>
                <c:pt idx="2">
                  <c:v>9.4000000000000057</c:v>
                </c:pt>
                <c:pt idx="3">
                  <c:v>10.599999999999994</c:v>
                </c:pt>
                <c:pt idx="4">
                  <c:v>14.299999999999997</c:v>
                </c:pt>
                <c:pt idx="5">
                  <c:v>15.799999999999997</c:v>
                </c:pt>
                <c:pt idx="6">
                  <c:v>16.599999999999994</c:v>
                </c:pt>
                <c:pt idx="7">
                  <c:v>20</c:v>
                </c:pt>
                <c:pt idx="8">
                  <c:v>19</c:v>
                </c:pt>
                <c:pt idx="9">
                  <c:v>16.700000000000003</c:v>
                </c:pt>
                <c:pt idx="10">
                  <c:v>15.599999999999994</c:v>
                </c:pt>
                <c:pt idx="11">
                  <c:v>8.4000000000000057</c:v>
                </c:pt>
                <c:pt idx="12">
                  <c:v>1.2000000000000028</c:v>
                </c:pt>
                <c:pt idx="13">
                  <c:v>-3.5999999999999943</c:v>
                </c:pt>
                <c:pt idx="14">
                  <c:v>-5.2999999999999972</c:v>
                </c:pt>
                <c:pt idx="15">
                  <c:v>-2.5999999999999943</c:v>
                </c:pt>
                <c:pt idx="16">
                  <c:v>1</c:v>
                </c:pt>
                <c:pt idx="17">
                  <c:v>8.5999999999999943</c:v>
                </c:pt>
                <c:pt idx="18">
                  <c:v>11.799999999999997</c:v>
                </c:pt>
                <c:pt idx="19">
                  <c:v>12.099999999999994</c:v>
                </c:pt>
                <c:pt idx="20">
                  <c:v>15.799999999999997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95-4C14-A61A-AEF2E4ECF3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axId val="270057856"/>
        <c:axId val="270059392"/>
      </c:barChart>
      <c:lineChart>
        <c:grouping val="standard"/>
        <c:varyColors val="0"/>
        <c:ser>
          <c:idx val="2"/>
          <c:order val="2"/>
          <c:tx>
            <c:strRef>
              <c:f>'Ceny 1'!$E$5</c:f>
              <c:strCache>
                <c:ptCount val="1"/>
                <c:pt idx="0">
                  <c:v>Nabídkové ceny bytů, ČR</c:v>
                </c:pt>
              </c:strCache>
            </c:strRef>
          </c:tx>
          <c:spPr>
            <a:ln w="19050">
              <a:solidFill>
                <a:schemeClr val="accent2"/>
              </a:solidFill>
            </a:ln>
          </c:spPr>
          <c:marker>
            <c:symbol val="none"/>
          </c:marker>
          <c:cat>
            <c:multiLvlStrRef>
              <c:f>'Ceny 1'!$A$14:$B$34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1'!$E$14:$E$34</c:f>
              <c:numCache>
                <c:formatCode>0.0</c:formatCode>
                <c:ptCount val="21"/>
                <c:pt idx="0">
                  <c:v>6.0465116279069662</c:v>
                </c:pt>
                <c:pt idx="1">
                  <c:v>7.1334214002641829</c:v>
                </c:pt>
                <c:pt idx="2">
                  <c:v>7.9870129870129887</c:v>
                </c:pt>
                <c:pt idx="3">
                  <c:v>7.6481835564053569</c:v>
                </c:pt>
                <c:pt idx="4">
                  <c:v>7.6441102756892292</c:v>
                </c:pt>
                <c:pt idx="5">
                  <c:v>7.9531442663378584</c:v>
                </c:pt>
                <c:pt idx="6">
                  <c:v>9.3205051112447421</c:v>
                </c:pt>
                <c:pt idx="7">
                  <c:v>12.433392539964473</c:v>
                </c:pt>
                <c:pt idx="8">
                  <c:v>16.880093131548307</c:v>
                </c:pt>
                <c:pt idx="9">
                  <c:v>24.671616219303274</c:v>
                </c:pt>
                <c:pt idx="10">
                  <c:v>22.937293729372925</c:v>
                </c:pt>
                <c:pt idx="11">
                  <c:v>18.325434439178508</c:v>
                </c:pt>
                <c:pt idx="12">
                  <c:v>9.8107569721115624</c:v>
                </c:pt>
                <c:pt idx="13">
                  <c:v>-0.73293632615667548</c:v>
                </c:pt>
                <c:pt idx="14">
                  <c:v>-3.3109619686800897</c:v>
                </c:pt>
                <c:pt idx="15">
                  <c:v>-4.1833555852247315</c:v>
                </c:pt>
                <c:pt idx="16">
                  <c:v>-0.68027210884353906</c:v>
                </c:pt>
                <c:pt idx="17">
                  <c:v>3.3687125057683573</c:v>
                </c:pt>
                <c:pt idx="18">
                  <c:v>6.9412309116150084</c:v>
                </c:pt>
                <c:pt idx="19">
                  <c:v>10.682768230376212</c:v>
                </c:pt>
                <c:pt idx="20">
                  <c:v>15.662100456621019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D95-4C14-A61A-AEF2E4ECF32F}"/>
            </c:ext>
          </c:extLst>
        </c:ser>
        <c:ser>
          <c:idx val="3"/>
          <c:order val="3"/>
          <c:tx>
            <c:strRef>
              <c:f>'Ceny 1'!$F$5</c:f>
              <c:strCache>
                <c:ptCount val="1"/>
                <c:pt idx="0">
                  <c:v>Nabídkové ceny bytů, Praha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'Ceny 1'!$A$14:$B$34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1'!$F$14:$F$34</c:f>
              <c:numCache>
                <c:formatCode>0.0</c:formatCode>
                <c:ptCount val="21"/>
                <c:pt idx="0">
                  <c:v>3.5530085959885298</c:v>
                </c:pt>
                <c:pt idx="1">
                  <c:v>5.2812858783008068</c:v>
                </c:pt>
                <c:pt idx="2">
                  <c:v>6.2356979405034281</c:v>
                </c:pt>
                <c:pt idx="3">
                  <c:v>5.1743532058492718</c:v>
                </c:pt>
                <c:pt idx="4">
                  <c:v>4.759269507470961</c:v>
                </c:pt>
                <c:pt idx="5">
                  <c:v>4.5256270447110012</c:v>
                </c:pt>
                <c:pt idx="6">
                  <c:v>6.2466343564889826</c:v>
                </c:pt>
                <c:pt idx="7">
                  <c:v>9.1443850267379503</c:v>
                </c:pt>
                <c:pt idx="8">
                  <c:v>12.255678816693077</c:v>
                </c:pt>
                <c:pt idx="9">
                  <c:v>19.718309859154942</c:v>
                </c:pt>
                <c:pt idx="10">
                  <c:v>18.499746578813998</c:v>
                </c:pt>
                <c:pt idx="11">
                  <c:v>16.903478686918177</c:v>
                </c:pt>
                <c:pt idx="12">
                  <c:v>10.305882352941182</c:v>
                </c:pt>
                <c:pt idx="13">
                  <c:v>0.30501089324617681</c:v>
                </c:pt>
                <c:pt idx="14">
                  <c:v>-1.5825491873396089</c:v>
                </c:pt>
                <c:pt idx="15">
                  <c:v>-3.5624476110645418</c:v>
                </c:pt>
                <c:pt idx="16">
                  <c:v>0.3412969283276226</c:v>
                </c:pt>
                <c:pt idx="17">
                  <c:v>3.9965247610773247</c:v>
                </c:pt>
                <c:pt idx="18">
                  <c:v>6.7796610169491629</c:v>
                </c:pt>
                <c:pt idx="19">
                  <c:v>10.386788352890036</c:v>
                </c:pt>
                <c:pt idx="20">
                  <c:v>16.496598639455783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AD95-4C14-A61A-AEF2E4ECF3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0057856"/>
        <c:axId val="270059392"/>
      </c:lineChart>
      <c:catAx>
        <c:axId val="270057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txPr>
          <a:bodyPr rot="0" vert="horz"/>
          <a:lstStyle/>
          <a:p>
            <a:pPr>
              <a:defRPr/>
            </a:pPr>
            <a:endParaRPr lang="cs-CZ"/>
          </a:p>
        </c:txPr>
        <c:crossAx val="270059392"/>
        <c:crosses val="autoZero"/>
        <c:auto val="1"/>
        <c:lblAlgn val="ctr"/>
        <c:lblOffset val="100"/>
        <c:noMultiLvlLbl val="0"/>
      </c:catAx>
      <c:valAx>
        <c:axId val="270059392"/>
        <c:scaling>
          <c:orientation val="minMax"/>
          <c:max val="28"/>
          <c:min val="-8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0057856"/>
        <c:crosses val="autoZero"/>
        <c:crossBetween val="between"/>
        <c:majorUnit val="4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7.3334810874704504E-2"/>
          <c:y val="0.88817854328492629"/>
          <c:w val="0.89999282337048292"/>
          <c:h val="9.8380614657210319E-2"/>
        </c:manualLayout>
      </c:layout>
      <c:overlay val="0"/>
      <c:spPr>
        <a:ln w="6350">
          <a:solidFill>
            <a:schemeClr val="tx1"/>
          </a:solidFill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948270126413842E-2"/>
          <c:y val="2.181131592422042E-2"/>
          <c:w val="0.91916383898868925"/>
          <c:h val="0.716632331419565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'Ceny 4'!$C$5</c:f>
              <c:strCache>
                <c:ptCount val="1"/>
                <c:pt idx="0">
                  <c:v>Celkem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 w="19050">
              <a:noFill/>
            </a:ln>
          </c:spPr>
          <c:invertIfNegative val="0"/>
          <c:cat>
            <c:multiLvlStrRef>
              <c:f>'Ceny 4'!$A$14:$B$34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4'!$C$14:$C$34</c:f>
              <c:numCache>
                <c:formatCode>General</c:formatCode>
                <c:ptCount val="21"/>
                <c:pt idx="0">
                  <c:v>1.4000000000000057</c:v>
                </c:pt>
                <c:pt idx="1">
                  <c:v>-0.59999999999999432</c:v>
                </c:pt>
                <c:pt idx="2">
                  <c:v>-0.29999999999999716</c:v>
                </c:pt>
                <c:pt idx="3">
                  <c:v>9.9999999999994316E-2</c:v>
                </c:pt>
                <c:pt idx="4">
                  <c:v>1.5</c:v>
                </c:pt>
                <c:pt idx="5">
                  <c:v>5.2999999999999972</c:v>
                </c:pt>
                <c:pt idx="6">
                  <c:v>9</c:v>
                </c:pt>
                <c:pt idx="7">
                  <c:v>12.799999999999997</c:v>
                </c:pt>
                <c:pt idx="8">
                  <c:v>21.799999999999997</c:v>
                </c:pt>
                <c:pt idx="9">
                  <c:v>27.700000000000003</c:v>
                </c:pt>
                <c:pt idx="10">
                  <c:v>25.900000000000006</c:v>
                </c:pt>
                <c:pt idx="11">
                  <c:v>21.799999999999997</c:v>
                </c:pt>
                <c:pt idx="12">
                  <c:v>15</c:v>
                </c:pt>
                <c:pt idx="13">
                  <c:v>3.9000000000000057</c:v>
                </c:pt>
                <c:pt idx="14">
                  <c:v>1.3</c:v>
                </c:pt>
                <c:pt idx="15">
                  <c:v>0.8</c:v>
                </c:pt>
                <c:pt idx="16">
                  <c:v>-0.9</c:v>
                </c:pt>
                <c:pt idx="17">
                  <c:v>1.1000000000000001</c:v>
                </c:pt>
                <c:pt idx="18">
                  <c:v>1.2</c:v>
                </c:pt>
                <c:pt idx="19">
                  <c:v>1.8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37-4FE8-982C-BE750FC2CD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axId val="271374208"/>
        <c:axId val="271375744"/>
      </c:barChart>
      <c:lineChart>
        <c:grouping val="standard"/>
        <c:varyColors val="0"/>
        <c:ser>
          <c:idx val="1"/>
          <c:order val="1"/>
          <c:tx>
            <c:strRef>
              <c:f>'Ceny 4'!$D$5</c:f>
              <c:strCache>
                <c:ptCount val="1"/>
                <c:pt idx="0">
                  <c:v>Těžba a dobývání</c:v>
                </c:pt>
              </c:strCache>
            </c:strRef>
          </c:tx>
          <c:spPr>
            <a:ln w="19050">
              <a:solidFill>
                <a:srgbClr val="7DBB2D"/>
              </a:solidFill>
            </a:ln>
          </c:spPr>
          <c:marker>
            <c:symbol val="none"/>
          </c:marker>
          <c:cat>
            <c:multiLvlStrRef>
              <c:f>'Ceny 4'!$A$14:$B$34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4'!$D$14:$D$34</c:f>
              <c:numCache>
                <c:formatCode>General</c:formatCode>
                <c:ptCount val="21"/>
                <c:pt idx="0">
                  <c:v>-2.0999999999999943</c:v>
                </c:pt>
                <c:pt idx="1">
                  <c:v>-3.5</c:v>
                </c:pt>
                <c:pt idx="2">
                  <c:v>-3.5999999999999943</c:v>
                </c:pt>
                <c:pt idx="3">
                  <c:v>-2</c:v>
                </c:pt>
                <c:pt idx="4">
                  <c:v>-0.5</c:v>
                </c:pt>
                <c:pt idx="5">
                  <c:v>0.79999999999999716</c:v>
                </c:pt>
                <c:pt idx="6">
                  <c:v>3.2999999999999972</c:v>
                </c:pt>
                <c:pt idx="7">
                  <c:v>13.799999999999997</c:v>
                </c:pt>
                <c:pt idx="8">
                  <c:v>25.200000000000003</c:v>
                </c:pt>
                <c:pt idx="9">
                  <c:v>31.900000000000006</c:v>
                </c:pt>
                <c:pt idx="10">
                  <c:v>30.199999999999989</c:v>
                </c:pt>
                <c:pt idx="11">
                  <c:v>23.299999999999997</c:v>
                </c:pt>
                <c:pt idx="12">
                  <c:v>54</c:v>
                </c:pt>
                <c:pt idx="13">
                  <c:v>47.599999999999994</c:v>
                </c:pt>
                <c:pt idx="14">
                  <c:v>44.5</c:v>
                </c:pt>
                <c:pt idx="15">
                  <c:v>40.200000000000003</c:v>
                </c:pt>
                <c:pt idx="16">
                  <c:v>-1.2</c:v>
                </c:pt>
                <c:pt idx="17">
                  <c:v>-1.7</c:v>
                </c:pt>
                <c:pt idx="18">
                  <c:v>-0.5</c:v>
                </c:pt>
                <c:pt idx="19">
                  <c:v>-1.8</c:v>
                </c:pt>
                <c:pt idx="20">
                  <c:v>-2.6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A37-4FE8-982C-BE750FC2CD31}"/>
            </c:ext>
          </c:extLst>
        </c:ser>
        <c:ser>
          <c:idx val="2"/>
          <c:order val="2"/>
          <c:tx>
            <c:strRef>
              <c:f>'Ceny 4'!$E$5</c:f>
              <c:strCache>
                <c:ptCount val="1"/>
                <c:pt idx="0">
                  <c:v>Zpracovatelský průmysl</c:v>
                </c:pt>
              </c:strCache>
            </c:strRef>
          </c:tx>
          <c:spPr>
            <a:ln w="19050">
              <a:solidFill>
                <a:srgbClr val="BD1B21"/>
              </a:solidFill>
            </a:ln>
          </c:spPr>
          <c:marker>
            <c:symbol val="none"/>
          </c:marker>
          <c:cat>
            <c:multiLvlStrRef>
              <c:f>'Ceny 4'!$A$14:$B$34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4'!$E$14:$E$34</c:f>
              <c:numCache>
                <c:formatCode>General</c:formatCode>
                <c:ptCount val="21"/>
                <c:pt idx="0">
                  <c:v>0</c:v>
                </c:pt>
                <c:pt idx="1">
                  <c:v>-2.2999999999999972</c:v>
                </c:pt>
                <c:pt idx="2">
                  <c:v>-1.7999999999999972</c:v>
                </c:pt>
                <c:pt idx="3">
                  <c:v>-1.2000000000000028</c:v>
                </c:pt>
                <c:pt idx="4">
                  <c:v>1.7999999999999972</c:v>
                </c:pt>
                <c:pt idx="5">
                  <c:v>6.5</c:v>
                </c:pt>
                <c:pt idx="6">
                  <c:v>11</c:v>
                </c:pt>
                <c:pt idx="7">
                  <c:v>14.5</c:v>
                </c:pt>
                <c:pt idx="8">
                  <c:v>17.5</c:v>
                </c:pt>
                <c:pt idx="9">
                  <c:v>24.200000000000003</c:v>
                </c:pt>
                <c:pt idx="10">
                  <c:v>20.5</c:v>
                </c:pt>
                <c:pt idx="11">
                  <c:v>16</c:v>
                </c:pt>
                <c:pt idx="12">
                  <c:v>10.299999999999997</c:v>
                </c:pt>
                <c:pt idx="13">
                  <c:v>-0.90000000000000568</c:v>
                </c:pt>
                <c:pt idx="14">
                  <c:v>-2.4</c:v>
                </c:pt>
                <c:pt idx="15">
                  <c:v>-2.2999999999999998</c:v>
                </c:pt>
                <c:pt idx="16">
                  <c:v>-1.7</c:v>
                </c:pt>
                <c:pt idx="17">
                  <c:v>0.1</c:v>
                </c:pt>
                <c:pt idx="18">
                  <c:v>0.2</c:v>
                </c:pt>
                <c:pt idx="19">
                  <c:v>0.4</c:v>
                </c:pt>
                <c:pt idx="20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A37-4FE8-982C-BE750FC2CD31}"/>
            </c:ext>
          </c:extLst>
        </c:ser>
        <c:ser>
          <c:idx val="3"/>
          <c:order val="3"/>
          <c:tx>
            <c:strRef>
              <c:f>'Ceny 4'!$F$5</c:f>
              <c:strCache>
                <c:ptCount val="1"/>
                <c:pt idx="0">
                  <c:v>Elektřina, plyn, pára a klim. vzduch</c:v>
                </c:pt>
              </c:strCache>
            </c:strRef>
          </c:tx>
          <c:spPr>
            <a:ln w="19050">
              <a:solidFill>
                <a:srgbClr val="F8A124"/>
              </a:solidFill>
            </a:ln>
          </c:spPr>
          <c:marker>
            <c:symbol val="none"/>
          </c:marker>
          <c:cat>
            <c:multiLvlStrRef>
              <c:f>'Ceny 4'!$A$14:$B$34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4'!$F$14:$F$34</c:f>
              <c:numCache>
                <c:formatCode>General</c:formatCode>
                <c:ptCount val="21"/>
                <c:pt idx="0">
                  <c:v>8.9000000000000057</c:v>
                </c:pt>
                <c:pt idx="1">
                  <c:v>8.2000000000000028</c:v>
                </c:pt>
                <c:pt idx="2">
                  <c:v>7.7999999999999972</c:v>
                </c:pt>
                <c:pt idx="3">
                  <c:v>6.0999999999999943</c:v>
                </c:pt>
                <c:pt idx="4">
                  <c:v>0.29999999999999716</c:v>
                </c:pt>
                <c:pt idx="5">
                  <c:v>9.9999999999994316E-2</c:v>
                </c:pt>
                <c:pt idx="6">
                  <c:v>0.79999999999999716</c:v>
                </c:pt>
                <c:pt idx="7">
                  <c:v>5.5</c:v>
                </c:pt>
                <c:pt idx="8">
                  <c:v>45</c:v>
                </c:pt>
                <c:pt idx="9">
                  <c:v>47.199999999999989</c:v>
                </c:pt>
                <c:pt idx="10">
                  <c:v>56</c:v>
                </c:pt>
                <c:pt idx="11">
                  <c:v>54.300000000000011</c:v>
                </c:pt>
                <c:pt idx="12">
                  <c:v>28.400000000000006</c:v>
                </c:pt>
                <c:pt idx="13">
                  <c:v>18.400000000000006</c:v>
                </c:pt>
                <c:pt idx="14">
                  <c:v>10.5</c:v>
                </c:pt>
                <c:pt idx="15">
                  <c:v>7.1</c:v>
                </c:pt>
                <c:pt idx="16">
                  <c:v>0.8</c:v>
                </c:pt>
                <c:pt idx="17">
                  <c:v>4.5</c:v>
                </c:pt>
                <c:pt idx="18">
                  <c:v>4.2</c:v>
                </c:pt>
                <c:pt idx="19">
                  <c:v>6.7</c:v>
                </c:pt>
                <c:pt idx="20">
                  <c:v>-1.2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A37-4FE8-982C-BE750FC2CD31}"/>
            </c:ext>
          </c:extLst>
        </c:ser>
        <c:ser>
          <c:idx val="4"/>
          <c:order val="4"/>
          <c:tx>
            <c:strRef>
              <c:f>'Ceny 4'!$G$5</c:f>
              <c:strCache>
                <c:ptCount val="1"/>
                <c:pt idx="0">
                  <c:v>Zás. vodou; odpadní vody</c:v>
                </c:pt>
              </c:strCache>
            </c:strRef>
          </c:tx>
          <c:spPr>
            <a:ln w="19050">
              <a:solidFill>
                <a:schemeClr val="accent1"/>
              </a:solidFill>
            </a:ln>
          </c:spPr>
          <c:marker>
            <c:symbol val="none"/>
          </c:marker>
          <c:cat>
            <c:multiLvlStrRef>
              <c:f>'Ceny 4'!$A$14:$B$34</c:f>
              <c:multiLvlStrCache>
                <c:ptCount val="21"/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1</c:v>
                  </c:pt>
                  <c:pt idx="5">
                    <c:v>2</c:v>
                  </c:pt>
                  <c:pt idx="6">
                    <c:v>3</c:v>
                  </c:pt>
                  <c:pt idx="7">
                    <c:v>4</c:v>
                  </c:pt>
                  <c:pt idx="8">
                    <c:v>1</c:v>
                  </c:pt>
                  <c:pt idx="9">
                    <c:v>2</c:v>
                  </c:pt>
                  <c:pt idx="10">
                    <c:v>3</c:v>
                  </c:pt>
                  <c:pt idx="11">
                    <c:v>4</c:v>
                  </c:pt>
                  <c:pt idx="12">
                    <c:v>1</c:v>
                  </c:pt>
                  <c:pt idx="13">
                    <c:v>2</c:v>
                  </c:pt>
                  <c:pt idx="14">
                    <c:v>3</c:v>
                  </c:pt>
                  <c:pt idx="15">
                    <c:v>4</c:v>
                  </c:pt>
                  <c:pt idx="16">
                    <c:v>1</c:v>
                  </c:pt>
                  <c:pt idx="17">
                    <c:v>2</c:v>
                  </c:pt>
                  <c:pt idx="18">
                    <c:v>3</c:v>
                  </c:pt>
                  <c:pt idx="19">
                    <c:v>4</c:v>
                  </c:pt>
                  <c:pt idx="20">
                    <c:v>1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  <c:pt idx="16">
                    <c:v>2024</c:v>
                  </c:pt>
                  <c:pt idx="20">
                    <c:v>2025</c:v>
                  </c:pt>
                </c:lvl>
              </c:multiLvlStrCache>
            </c:multiLvlStrRef>
          </c:cat>
          <c:val>
            <c:numRef>
              <c:f>'Ceny 4'!$G$14:$G$34</c:f>
              <c:numCache>
                <c:formatCode>General</c:formatCode>
                <c:ptCount val="21"/>
                <c:pt idx="0">
                  <c:v>5.4000000000000057</c:v>
                </c:pt>
                <c:pt idx="1">
                  <c:v>6.0999999999999943</c:v>
                </c:pt>
                <c:pt idx="2">
                  <c:v>6.4000000000000057</c:v>
                </c:pt>
                <c:pt idx="3">
                  <c:v>6.4000000000000057</c:v>
                </c:pt>
                <c:pt idx="4">
                  <c:v>6.9000000000000057</c:v>
                </c:pt>
                <c:pt idx="5">
                  <c:v>6.2000000000000028</c:v>
                </c:pt>
                <c:pt idx="6">
                  <c:v>5.9000000000000057</c:v>
                </c:pt>
                <c:pt idx="7">
                  <c:v>5.9000000000000057</c:v>
                </c:pt>
                <c:pt idx="8">
                  <c:v>5.2999999999999972</c:v>
                </c:pt>
                <c:pt idx="9">
                  <c:v>5.2999999999999972</c:v>
                </c:pt>
                <c:pt idx="10">
                  <c:v>5.2999999999999972</c:v>
                </c:pt>
                <c:pt idx="11">
                  <c:v>5.2999999999999972</c:v>
                </c:pt>
                <c:pt idx="12">
                  <c:v>16.299999999999997</c:v>
                </c:pt>
                <c:pt idx="13">
                  <c:v>16.299999999999997</c:v>
                </c:pt>
                <c:pt idx="14">
                  <c:v>16.3</c:v>
                </c:pt>
                <c:pt idx="15">
                  <c:v>16.3</c:v>
                </c:pt>
                <c:pt idx="16">
                  <c:v>9.1999999999999993</c:v>
                </c:pt>
                <c:pt idx="17">
                  <c:v>9.1999999999999993</c:v>
                </c:pt>
                <c:pt idx="18">
                  <c:v>9.1999999999999993</c:v>
                </c:pt>
                <c:pt idx="19">
                  <c:v>9.1999999999999993</c:v>
                </c:pt>
                <c:pt idx="20">
                  <c:v>4.0999999999999996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A37-4FE8-982C-BE750FC2CD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1374208"/>
        <c:axId val="271375744"/>
      </c:lineChart>
      <c:catAx>
        <c:axId val="27137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spPr>
          <a:ln>
            <a:solidFill>
              <a:schemeClr val="tx1"/>
            </a:solidFill>
          </a:ln>
        </c:spPr>
        <c:crossAx val="271375744"/>
        <c:crosses val="autoZero"/>
        <c:auto val="1"/>
        <c:lblAlgn val="ctr"/>
        <c:lblOffset val="100"/>
        <c:noMultiLvlLbl val="0"/>
      </c:catAx>
      <c:valAx>
        <c:axId val="271375744"/>
        <c:scaling>
          <c:orientation val="minMax"/>
          <c:min val="-5"/>
        </c:scaling>
        <c:delete val="0"/>
        <c:axPos val="l"/>
        <c:majorGridlines>
          <c:spPr>
            <a:ln w="6350">
              <a:solidFill>
                <a:schemeClr val="bg1">
                  <a:lumMod val="75000"/>
                </a:schemeClr>
              </a:solidFill>
            </a:ln>
          </c:spPr>
        </c:majorGridlines>
        <c:numFmt formatCode="0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crossAx val="271374208"/>
        <c:crosses val="autoZero"/>
        <c:crossBetween val="between"/>
        <c:majorUnit val="5"/>
      </c:val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5.0756819693945444E-2"/>
          <c:y val="0.86223931272106069"/>
          <c:w val="0.91957268795741853"/>
          <c:h val="0.12109402425765226"/>
        </c:manualLayout>
      </c:layout>
      <c:overlay val="0"/>
      <c:spPr>
        <a:ln w="6350">
          <a:noFill/>
        </a:ln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aseline="0">
          <a:latin typeface="Arial" pitchFamily="34" charset="0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204C7C21F48A488F44995C5F8FB06D" ma:contentTypeVersion="11" ma:contentTypeDescription="Vytvoří nový dokument" ma:contentTypeScope="" ma:versionID="1df8c39b067b5d25b5f5e865a8e6deb3">
  <xsd:schema xmlns:xsd="http://www.w3.org/2001/XMLSchema" xmlns:xs="http://www.w3.org/2001/XMLSchema" xmlns:p="http://schemas.microsoft.com/office/2006/metadata/properties" xmlns:ns3="b8c0c86d-151e-4fca-b0d5-747e6692fa1d" targetNamespace="http://schemas.microsoft.com/office/2006/metadata/properties" ma:root="true" ma:fieldsID="0a1e36cc980726b26aea9439dfb6e5b7" ns3:_="">
    <xsd:import namespace="b8c0c86d-151e-4fca-b0d5-747e6692f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0c86d-151e-4fca-b0d5-747e6692f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b8c0c86d-151e-4fca-b0d5-747e6692fa1d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BC6B78-CD4F-4CCE-9179-CFFE2F383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c0c86d-151e-4fca-b0d5-747e6692f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FA8C18-7A30-4A81-973F-83EF35C7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2360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16258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5</cp:revision>
  <cp:lastPrinted>2014-07-17T14:07:00Z</cp:lastPrinted>
  <dcterms:created xsi:type="dcterms:W3CDTF">2025-06-16T10:26:00Z</dcterms:created>
  <dcterms:modified xsi:type="dcterms:W3CDTF">2025-06-16T10:36:00Z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0x01010070204C7C21F48A488F44995C5F8FB06D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