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7D" w:rsidRPr="00831010" w:rsidRDefault="00085A7D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ind w:firstLine="709"/>
        <w:jc w:val="both"/>
        <w:rPr>
          <w:rFonts w:ascii="Arial" w:hAnsi="Arial" w:cs="Arial"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18. OBCHOD, UBYTOVÁNÍ, STRAVOVÁNÍ A CESTOVNÍ RUCH</w:t>
      </w:r>
    </w:p>
    <w:p w:rsidR="00085A7D" w:rsidRDefault="00085A7D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Default="000C74FE" w:rsidP="00856909">
      <w:pPr>
        <w:pStyle w:val="Nadpis5"/>
        <w:keepNext w:val="0"/>
        <w:widowControl/>
        <w:numPr>
          <w:ilvl w:val="0"/>
          <w:numId w:val="0"/>
        </w:numPr>
        <w:ind w:left="284" w:hanging="284"/>
      </w:pPr>
      <w:r>
        <w:t>A. OBCHOD, UBYTOVÁNÍ A STRAVOVÁNÍ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Údaje jsou čerpány z výsledků zpracování ročních statistických výkazů ČSÚ s využitím administrativních zdrojů</w:t>
      </w:r>
      <w:r w:rsidR="00C1674E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r w:rsidR="00C1674E">
        <w:rPr>
          <w:rFonts w:ascii="Arial" w:hAnsi="Arial" w:cs="Arial"/>
          <w:lang w:val="cs-CZ"/>
        </w:rPr>
        <w:t>Ú</w:t>
      </w:r>
      <w:r>
        <w:rPr>
          <w:rFonts w:ascii="Arial" w:hAnsi="Arial" w:cs="Arial"/>
          <w:lang w:val="cs-CZ"/>
        </w:rPr>
        <w:t>daje za fyzické osoby jsou plně modelovány z administrativních dat.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Ekonomickým subjektem zjišťování je podnik, který svou </w:t>
      </w:r>
      <w:r>
        <w:rPr>
          <w:rFonts w:ascii="Arial" w:hAnsi="Arial" w:cs="Arial"/>
          <w:b/>
          <w:bCs/>
          <w:lang w:val="cs-CZ"/>
        </w:rPr>
        <w:t>převažující činností</w:t>
      </w:r>
      <w:r>
        <w:rPr>
          <w:rFonts w:ascii="Arial" w:hAnsi="Arial" w:cs="Arial"/>
          <w:lang w:val="cs-CZ"/>
        </w:rPr>
        <w:t xml:space="preserve"> patřil v daném roce dle odvětvové </w:t>
      </w:r>
      <w:r w:rsidR="00C1674E">
        <w:rPr>
          <w:rFonts w:ascii="Arial" w:hAnsi="Arial" w:cs="Arial"/>
          <w:lang w:val="cs-CZ"/>
        </w:rPr>
        <w:t>K</w:t>
      </w:r>
      <w:r>
        <w:rPr>
          <w:rFonts w:ascii="Arial" w:hAnsi="Arial" w:cs="Arial"/>
          <w:lang w:val="cs-CZ"/>
        </w:rPr>
        <w:t xml:space="preserve">lasifikace </w:t>
      </w:r>
      <w:r w:rsidR="00C1674E">
        <w:rPr>
          <w:rFonts w:ascii="Arial" w:hAnsi="Arial" w:cs="Arial"/>
          <w:lang w:val="cs-CZ"/>
        </w:rPr>
        <w:t>ekonomických činností 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 xml:space="preserve"> do následujících odvětví: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45 – Velkoobchod, maloobchod a opravy motorových vozidel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46 – Velkoobchod, kromě motorových vozidel</w:t>
      </w:r>
    </w:p>
    <w:p w:rsidR="000C74FE" w:rsidRDefault="000C74FE" w:rsidP="00856909">
      <w:pPr>
        <w:pStyle w:val="Zkladntextodsazen2"/>
        <w:widowControl/>
        <w:tabs>
          <w:tab w:val="clear" w:pos="13452"/>
          <w:tab w:val="left" w:pos="141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47 – Maloobchod, kromě motorových vozidel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55 – Ubytování </w:t>
      </w:r>
    </w:p>
    <w:p w:rsidR="000C74FE" w:rsidRDefault="000C74FE" w:rsidP="008C4D3B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56 – Stravování a pohostinství</w:t>
      </w:r>
    </w:p>
    <w:p w:rsidR="000C74FE" w:rsidRDefault="000C74FE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805398" w:rsidRDefault="00805398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b/>
          <w:lang w:val="cs-CZ"/>
        </w:rPr>
      </w:pPr>
      <w:r w:rsidRPr="00E77A29">
        <w:rPr>
          <w:rFonts w:ascii="Arial" w:hAnsi="Arial" w:cs="Arial"/>
          <w:b/>
          <w:lang w:val="cs-CZ"/>
        </w:rPr>
        <w:t>Poznámky k</w:t>
      </w:r>
      <w:r>
        <w:rPr>
          <w:rFonts w:ascii="Arial" w:hAnsi="Arial" w:cs="Arial"/>
          <w:b/>
          <w:lang w:val="cs-CZ"/>
        </w:rPr>
        <w:t> </w:t>
      </w:r>
      <w:r w:rsidRPr="00E77A29">
        <w:rPr>
          <w:rFonts w:ascii="Arial" w:hAnsi="Arial" w:cs="Arial"/>
          <w:b/>
          <w:lang w:val="cs-CZ"/>
        </w:rPr>
        <w:t>tabulkám</w:t>
      </w:r>
    </w:p>
    <w:p w:rsidR="000C74FE" w:rsidRPr="00460D95" w:rsidRDefault="000C74FE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Pr="00460D95" w:rsidRDefault="000C74FE" w:rsidP="00856909">
      <w:pPr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Pr="00F24E16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ind w:firstLine="709"/>
        <w:jc w:val="both"/>
        <w:rPr>
          <w:rFonts w:ascii="Arial" w:hAnsi="Arial" w:cs="Arial"/>
          <w:bCs/>
          <w:lang w:val="cs-CZ"/>
        </w:rPr>
      </w:pPr>
      <w:r w:rsidRPr="00F24E16">
        <w:rPr>
          <w:rFonts w:ascii="Arial" w:hAnsi="Arial" w:cs="Arial"/>
          <w:b/>
          <w:bCs/>
          <w:lang w:val="cs-CZ"/>
        </w:rPr>
        <w:t xml:space="preserve">Aktivní podniky celkem </w:t>
      </w:r>
      <w:r w:rsidRPr="00F24E16">
        <w:rPr>
          <w:rFonts w:ascii="Arial" w:hAnsi="Arial" w:cs="Arial"/>
          <w:bCs/>
          <w:lang w:val="cs-CZ"/>
        </w:rPr>
        <w:t>je počet podniků, které byly alespoň po část daného roku aktivní.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Zam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>stnané osoby</w:t>
      </w:r>
      <w:r>
        <w:rPr>
          <w:rFonts w:ascii="Arial" w:hAnsi="Arial" w:cs="Arial"/>
          <w:lang w:val="cs-CZ"/>
        </w:rPr>
        <w:t xml:space="preserve"> zahrnují evidenční počet zaměstnanců ve fyzických osobách, počet pracujících podnikatelů a pomáhajících rodinných p</w:t>
      </w:r>
      <w:r>
        <w:rPr>
          <w:rFonts w:ascii="Arial" w:hAnsi="Arial" w:cs="Arial" w:hint="eastAsia"/>
          <w:lang w:val="cs-CZ"/>
        </w:rPr>
        <w:t>ří</w:t>
      </w:r>
      <w:r>
        <w:rPr>
          <w:rFonts w:ascii="Arial" w:hAnsi="Arial" w:cs="Arial"/>
          <w:lang w:val="cs-CZ"/>
        </w:rPr>
        <w:t xml:space="preserve">slušníků, pro které je </w:t>
      </w:r>
      <w:r>
        <w:rPr>
          <w:rFonts w:ascii="Arial" w:hAnsi="Arial" w:cs="Arial" w:hint="eastAsia"/>
          <w:lang w:val="cs-CZ"/>
        </w:rPr>
        <w:t>č</w:t>
      </w:r>
      <w:r>
        <w:rPr>
          <w:rFonts w:ascii="Arial" w:hAnsi="Arial" w:cs="Arial"/>
          <w:lang w:val="cs-CZ"/>
        </w:rPr>
        <w:t>innost ve firm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 xml:space="preserve"> hlavním zam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stnáním</w:t>
      </w:r>
      <w:r w:rsidR="00C1674E">
        <w:rPr>
          <w:rFonts w:ascii="Arial" w:hAnsi="Arial" w:cs="Arial"/>
          <w:lang w:val="cs-CZ"/>
        </w:rPr>
        <w:t xml:space="preserve"> a</w:t>
      </w:r>
      <w:r>
        <w:rPr>
          <w:rFonts w:ascii="Arial" w:hAnsi="Arial" w:cs="Arial"/>
          <w:lang w:val="cs-CZ"/>
        </w:rPr>
        <w:t xml:space="preserve"> osoby zam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stnávané na dohody přepočtené na plný úvazek dle odpracovaných hodin.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Pr</w:t>
      </w:r>
      <w:r>
        <w:rPr>
          <w:rFonts w:ascii="Arial" w:hAnsi="Arial" w:cs="Arial" w:hint="eastAsia"/>
          <w:b/>
          <w:bCs/>
          <w:lang w:val="cs-CZ"/>
        </w:rPr>
        <w:t>ů</w:t>
      </w:r>
      <w:r>
        <w:rPr>
          <w:rFonts w:ascii="Arial" w:hAnsi="Arial" w:cs="Arial"/>
          <w:b/>
          <w:bCs/>
          <w:lang w:val="cs-CZ"/>
        </w:rPr>
        <w:t>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>rný eviden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ní po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et zam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>stnanc</w:t>
      </w:r>
      <w:r>
        <w:rPr>
          <w:rFonts w:ascii="Arial" w:hAnsi="Arial" w:cs="Arial" w:hint="eastAsia"/>
          <w:b/>
          <w:bCs/>
          <w:lang w:val="cs-CZ"/>
        </w:rPr>
        <w:t>ů</w:t>
      </w:r>
      <w:r>
        <w:rPr>
          <w:rFonts w:ascii="Arial" w:hAnsi="Arial" w:cs="Arial"/>
          <w:lang w:val="cs-CZ"/>
        </w:rPr>
        <w:t xml:space="preserve"> je ro</w:t>
      </w:r>
      <w:r>
        <w:rPr>
          <w:rFonts w:ascii="Arial" w:hAnsi="Arial" w:cs="Arial" w:hint="eastAsia"/>
          <w:lang w:val="cs-CZ"/>
        </w:rPr>
        <w:t>č</w:t>
      </w:r>
      <w:r>
        <w:rPr>
          <w:rFonts w:ascii="Arial" w:hAnsi="Arial" w:cs="Arial"/>
          <w:lang w:val="cs-CZ"/>
        </w:rPr>
        <w:t>ní aritmetický pr</w:t>
      </w:r>
      <w:r>
        <w:rPr>
          <w:rFonts w:ascii="Arial" w:hAnsi="Arial" w:cs="Arial" w:hint="eastAsia"/>
          <w:lang w:val="cs-CZ"/>
        </w:rPr>
        <w:t>ů</w:t>
      </w:r>
      <w:r>
        <w:rPr>
          <w:rFonts w:ascii="Arial" w:hAnsi="Arial" w:cs="Arial"/>
          <w:lang w:val="cs-CZ"/>
        </w:rPr>
        <w:t>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r po</w:t>
      </w:r>
      <w:r>
        <w:rPr>
          <w:rFonts w:ascii="Arial" w:hAnsi="Arial" w:cs="Arial" w:hint="eastAsia"/>
          <w:lang w:val="cs-CZ"/>
        </w:rPr>
        <w:t>č</w:t>
      </w:r>
      <w:r>
        <w:rPr>
          <w:rFonts w:ascii="Arial" w:hAnsi="Arial" w:cs="Arial"/>
          <w:lang w:val="cs-CZ"/>
        </w:rPr>
        <w:t>tu osob v pracovním pom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ru k</w:t>
      </w:r>
      <w:r w:rsidR="005C3EDD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zam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 xml:space="preserve">stnavateli. </w:t>
      </w:r>
      <w:r>
        <w:rPr>
          <w:rFonts w:ascii="Arial" w:hAnsi="Arial" w:cs="Arial"/>
          <w:b/>
          <w:bCs/>
          <w:lang w:val="cs-CZ"/>
        </w:rPr>
        <w:t>P</w:t>
      </w:r>
      <w:r>
        <w:rPr>
          <w:rFonts w:ascii="Arial" w:hAnsi="Arial" w:cs="Arial" w:hint="eastAsia"/>
          <w:b/>
          <w:bCs/>
          <w:lang w:val="cs-CZ"/>
        </w:rPr>
        <w:t>ř</w:t>
      </w:r>
      <w:r>
        <w:rPr>
          <w:rFonts w:ascii="Arial" w:hAnsi="Arial" w:cs="Arial"/>
          <w:b/>
          <w:bCs/>
          <w:lang w:val="cs-CZ"/>
        </w:rPr>
        <w:t>epo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tený po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et</w:t>
      </w:r>
      <w:r>
        <w:rPr>
          <w:rFonts w:ascii="Arial" w:hAnsi="Arial" w:cs="Arial"/>
          <w:lang w:val="cs-CZ"/>
        </w:rPr>
        <w:t xml:space="preserve"> zohled</w:t>
      </w:r>
      <w:r>
        <w:rPr>
          <w:rFonts w:ascii="Arial" w:hAnsi="Arial" w:cs="Arial" w:hint="eastAsia"/>
          <w:lang w:val="cs-CZ"/>
        </w:rPr>
        <w:t>ň</w:t>
      </w:r>
      <w:r>
        <w:rPr>
          <w:rFonts w:ascii="Arial" w:hAnsi="Arial" w:cs="Arial"/>
          <w:lang w:val="cs-CZ"/>
        </w:rPr>
        <w:t>uje velikost pracovního úvazku.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Mzdy bez OON</w:t>
      </w:r>
      <w:r>
        <w:rPr>
          <w:rFonts w:ascii="Arial" w:hAnsi="Arial" w:cs="Arial"/>
          <w:lang w:val="cs-CZ"/>
        </w:rPr>
        <w:t xml:space="preserve"> </w:t>
      </w:r>
      <w:r w:rsidR="004C5995">
        <w:rPr>
          <w:rFonts w:ascii="Arial" w:hAnsi="Arial" w:cs="Arial"/>
          <w:lang w:val="cs-CZ"/>
        </w:rPr>
        <w:t>(ostatní osobní náklady)</w:t>
      </w:r>
      <w:r w:rsidR="001038C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zahrnují základní mzdy a platy </w:t>
      </w:r>
      <w:r w:rsidRPr="00BB7B9B">
        <w:rPr>
          <w:rFonts w:ascii="Arial" w:hAnsi="Arial" w:cs="Arial"/>
          <w:lang w:val="cs-CZ"/>
        </w:rPr>
        <w:t xml:space="preserve">zaměstnanců v pracovním poměru </w:t>
      </w:r>
      <w:r>
        <w:rPr>
          <w:rFonts w:ascii="Arial" w:hAnsi="Arial" w:cs="Arial"/>
          <w:lang w:val="cs-CZ"/>
        </w:rPr>
        <w:t>(mzdový tarif, platový tarif, smluvní mzdu), p</w:t>
      </w:r>
      <w:r>
        <w:rPr>
          <w:rFonts w:ascii="Arial" w:hAnsi="Arial" w:cs="Arial" w:hint="eastAsia"/>
          <w:lang w:val="cs-CZ"/>
        </w:rPr>
        <w:t>ří</w:t>
      </w:r>
      <w:r>
        <w:rPr>
          <w:rFonts w:ascii="Arial" w:hAnsi="Arial" w:cs="Arial"/>
          <w:lang w:val="cs-CZ"/>
        </w:rPr>
        <w:t>platky a doplatky ke mzd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 xml:space="preserve"> nebo platu, prémie, odm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ny, náhrady mezd a plat</w:t>
      </w:r>
      <w:r>
        <w:rPr>
          <w:rFonts w:ascii="Arial" w:hAnsi="Arial" w:cs="Arial" w:hint="eastAsia"/>
          <w:lang w:val="cs-CZ"/>
        </w:rPr>
        <w:t>ů</w:t>
      </w:r>
      <w:r>
        <w:rPr>
          <w:rFonts w:ascii="Arial" w:hAnsi="Arial" w:cs="Arial"/>
          <w:lang w:val="cs-CZ"/>
        </w:rPr>
        <w:t>, odm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ny za pracovní pohotovost a jiné složky mzdy nebo platu.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Pr</w:t>
      </w:r>
      <w:r>
        <w:rPr>
          <w:rFonts w:ascii="Arial" w:hAnsi="Arial" w:cs="Arial" w:hint="eastAsia"/>
          <w:b/>
          <w:bCs/>
          <w:lang w:val="cs-CZ"/>
        </w:rPr>
        <w:t>ů</w:t>
      </w:r>
      <w:r>
        <w:rPr>
          <w:rFonts w:ascii="Arial" w:hAnsi="Arial" w:cs="Arial"/>
          <w:b/>
          <w:bCs/>
          <w:lang w:val="cs-CZ"/>
        </w:rPr>
        <w:t>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>rná hrubá 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>sí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ní mzda</w:t>
      </w:r>
      <w:r>
        <w:rPr>
          <w:rFonts w:ascii="Arial" w:hAnsi="Arial" w:cs="Arial"/>
          <w:lang w:val="cs-CZ"/>
        </w:rPr>
        <w:t xml:space="preserve"> p</w:t>
      </w:r>
      <w:r>
        <w:rPr>
          <w:rFonts w:ascii="Arial" w:hAnsi="Arial" w:cs="Arial" w:hint="eastAsia"/>
          <w:lang w:val="cs-CZ"/>
        </w:rPr>
        <w:t>ř</w:t>
      </w:r>
      <w:r>
        <w:rPr>
          <w:rFonts w:ascii="Arial" w:hAnsi="Arial" w:cs="Arial"/>
          <w:lang w:val="cs-CZ"/>
        </w:rPr>
        <w:t>edstavuje mzdu bez ostatních osobních náklad</w:t>
      </w:r>
      <w:r>
        <w:rPr>
          <w:rFonts w:ascii="Arial" w:hAnsi="Arial" w:cs="Arial" w:hint="eastAsia"/>
          <w:lang w:val="cs-CZ"/>
        </w:rPr>
        <w:t>ů</w:t>
      </w:r>
      <w:r>
        <w:rPr>
          <w:rFonts w:ascii="Arial" w:hAnsi="Arial" w:cs="Arial"/>
          <w:lang w:val="cs-CZ"/>
        </w:rPr>
        <w:t xml:space="preserve"> p</w:t>
      </w:r>
      <w:r>
        <w:rPr>
          <w:rFonts w:ascii="Arial" w:hAnsi="Arial" w:cs="Arial" w:hint="eastAsia"/>
          <w:lang w:val="cs-CZ"/>
        </w:rPr>
        <w:t>ř</w:t>
      </w:r>
      <w:r>
        <w:rPr>
          <w:rFonts w:ascii="Arial" w:hAnsi="Arial" w:cs="Arial"/>
          <w:lang w:val="cs-CZ"/>
        </w:rPr>
        <w:t>ipadající na jednoho zam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stnance (fyzickou osobu nebo p</w:t>
      </w:r>
      <w:r>
        <w:rPr>
          <w:rFonts w:ascii="Arial" w:hAnsi="Arial" w:cs="Arial" w:hint="eastAsia"/>
          <w:lang w:val="cs-CZ"/>
        </w:rPr>
        <w:t>ř</w:t>
      </w:r>
      <w:r>
        <w:rPr>
          <w:rFonts w:ascii="Arial" w:hAnsi="Arial" w:cs="Arial"/>
          <w:lang w:val="cs-CZ"/>
        </w:rPr>
        <w:t>epo</w:t>
      </w:r>
      <w:r>
        <w:rPr>
          <w:rFonts w:ascii="Arial" w:hAnsi="Arial" w:cs="Arial" w:hint="eastAsia"/>
          <w:lang w:val="cs-CZ"/>
        </w:rPr>
        <w:t>č</w:t>
      </w:r>
      <w:r>
        <w:rPr>
          <w:rFonts w:ascii="Arial" w:hAnsi="Arial" w:cs="Arial"/>
          <w:lang w:val="cs-CZ"/>
        </w:rPr>
        <w:t>teného) za 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síc.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Tržby celkem</w:t>
      </w:r>
      <w:r>
        <w:rPr>
          <w:rFonts w:ascii="Arial" w:hAnsi="Arial" w:cs="Arial"/>
          <w:lang w:val="cs-CZ"/>
        </w:rPr>
        <w:t xml:space="preserve"> zahrnují tržby bez DPH za prodej zboží, vlastních výrobků a služeb.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Výkony v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etn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 xml:space="preserve"> obchodní marže</w:t>
      </w:r>
      <w:r>
        <w:rPr>
          <w:rFonts w:ascii="Arial" w:hAnsi="Arial" w:cs="Arial"/>
          <w:lang w:val="cs-CZ"/>
        </w:rPr>
        <w:t xml:space="preserve"> zahrnují tržby za prodej vlastních výrobk</w:t>
      </w:r>
      <w:r>
        <w:rPr>
          <w:rFonts w:ascii="Arial" w:hAnsi="Arial" w:cs="Arial" w:hint="eastAsia"/>
          <w:lang w:val="cs-CZ"/>
        </w:rPr>
        <w:t>ů</w:t>
      </w:r>
      <w:r>
        <w:rPr>
          <w:rFonts w:ascii="Arial" w:hAnsi="Arial" w:cs="Arial"/>
          <w:lang w:val="cs-CZ"/>
        </w:rPr>
        <w:t xml:space="preserve"> a služeb, obchodní marži, zm</w:t>
      </w:r>
      <w:r>
        <w:rPr>
          <w:rFonts w:ascii="Arial" w:hAnsi="Arial" w:cs="Arial" w:hint="eastAsia"/>
          <w:lang w:val="cs-CZ"/>
        </w:rPr>
        <w:t>ě</w:t>
      </w:r>
      <w:r>
        <w:rPr>
          <w:rFonts w:ascii="Arial" w:hAnsi="Arial" w:cs="Arial"/>
          <w:lang w:val="cs-CZ"/>
        </w:rPr>
        <w:t>nu stavu zásob vlastní výroby a aktivaci materiálu, zboží, služeb a dlouhodobého majetku.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Obchodní marže</w:t>
      </w:r>
      <w:r>
        <w:rPr>
          <w:rFonts w:ascii="Arial" w:hAnsi="Arial" w:cs="Arial"/>
          <w:lang w:val="cs-CZ"/>
        </w:rPr>
        <w:t xml:space="preserve"> je rozdíl mezi tržbami za prodané zboží a náklady na prodané zboží. </w:t>
      </w:r>
      <w:r w:rsidRPr="00BB7B9B">
        <w:rPr>
          <w:rFonts w:ascii="Arial" w:hAnsi="Arial" w:cs="Arial"/>
          <w:bCs/>
          <w:lang w:val="cs-CZ"/>
        </w:rPr>
        <w:t>Procentní vyjádření je podíl obchodní marže na tržbách za zboží.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Výkonová spot</w:t>
      </w:r>
      <w:r>
        <w:rPr>
          <w:rFonts w:ascii="Arial" w:hAnsi="Arial" w:cs="Arial" w:hint="eastAsia"/>
          <w:b/>
          <w:bCs/>
          <w:lang w:val="cs-CZ"/>
        </w:rPr>
        <w:t>ř</w:t>
      </w:r>
      <w:r>
        <w:rPr>
          <w:rFonts w:ascii="Arial" w:hAnsi="Arial" w:cs="Arial"/>
          <w:b/>
          <w:bCs/>
          <w:lang w:val="cs-CZ"/>
        </w:rPr>
        <w:t>eba</w:t>
      </w:r>
      <w:r>
        <w:rPr>
          <w:rFonts w:ascii="Arial" w:hAnsi="Arial" w:cs="Arial"/>
          <w:lang w:val="cs-CZ"/>
        </w:rPr>
        <w:t xml:space="preserve"> představuje spot</w:t>
      </w:r>
      <w:r>
        <w:rPr>
          <w:rFonts w:ascii="Arial" w:hAnsi="Arial" w:cs="Arial" w:hint="eastAsia"/>
          <w:lang w:val="cs-CZ"/>
        </w:rPr>
        <w:t>ř</w:t>
      </w:r>
      <w:r>
        <w:rPr>
          <w:rFonts w:ascii="Arial" w:hAnsi="Arial" w:cs="Arial"/>
          <w:lang w:val="cs-CZ"/>
        </w:rPr>
        <w:t>e</w:t>
      </w:r>
      <w:r w:rsidR="00856909">
        <w:rPr>
          <w:rFonts w:ascii="Arial" w:hAnsi="Arial" w:cs="Arial"/>
          <w:lang w:val="cs-CZ"/>
        </w:rPr>
        <w:t>bu materiálu, energií a služeb.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</w:t>
      </w:r>
      <w:r>
        <w:rPr>
          <w:rFonts w:ascii="Arial" w:hAnsi="Arial" w:cs="Arial" w:hint="eastAsia"/>
          <w:b/>
          <w:bCs/>
          <w:lang w:val="cs-CZ"/>
        </w:rPr>
        <w:t>ř</w:t>
      </w:r>
      <w:r>
        <w:rPr>
          <w:rFonts w:ascii="Arial" w:hAnsi="Arial" w:cs="Arial"/>
          <w:b/>
          <w:bCs/>
          <w:lang w:val="cs-CZ"/>
        </w:rPr>
        <w:t>idaná hodnota</w:t>
      </w:r>
      <w:r>
        <w:rPr>
          <w:rFonts w:ascii="Arial" w:hAnsi="Arial" w:cs="Arial"/>
          <w:lang w:val="cs-CZ"/>
        </w:rPr>
        <w:t xml:space="preserve"> je rozdíl mezi </w:t>
      </w:r>
      <w:r w:rsidR="004C5995">
        <w:rPr>
          <w:rFonts w:ascii="Arial" w:hAnsi="Arial" w:cs="Arial"/>
          <w:lang w:val="cs-CZ"/>
        </w:rPr>
        <w:t xml:space="preserve">výkony, </w:t>
      </w:r>
      <w:r>
        <w:rPr>
          <w:rFonts w:ascii="Arial" w:hAnsi="Arial" w:cs="Arial"/>
          <w:lang w:val="cs-CZ"/>
        </w:rPr>
        <w:t>v</w:t>
      </w:r>
      <w:r>
        <w:rPr>
          <w:rFonts w:ascii="Arial" w:hAnsi="Arial" w:cs="Arial" w:hint="eastAsia"/>
          <w:lang w:val="cs-CZ"/>
        </w:rPr>
        <w:t>č</w:t>
      </w:r>
      <w:r w:rsidR="004C5995">
        <w:rPr>
          <w:rFonts w:ascii="Arial" w:hAnsi="Arial" w:cs="Arial"/>
          <w:lang w:val="cs-CZ"/>
        </w:rPr>
        <w:t xml:space="preserve">etně </w:t>
      </w:r>
      <w:r>
        <w:rPr>
          <w:rFonts w:ascii="Arial" w:hAnsi="Arial" w:cs="Arial"/>
          <w:lang w:val="cs-CZ"/>
        </w:rPr>
        <w:t>obchodní marže a výkonovou spot</w:t>
      </w:r>
      <w:r>
        <w:rPr>
          <w:rFonts w:ascii="Arial" w:hAnsi="Arial" w:cs="Arial" w:hint="eastAsia"/>
          <w:lang w:val="cs-CZ"/>
        </w:rPr>
        <w:t>ř</w:t>
      </w:r>
      <w:r>
        <w:rPr>
          <w:rFonts w:ascii="Arial" w:hAnsi="Arial" w:cs="Arial"/>
          <w:lang w:val="cs-CZ"/>
        </w:rPr>
        <w:t>ebou.</w:t>
      </w:r>
    </w:p>
    <w:p w:rsidR="000C74FE" w:rsidRPr="00BB7B9B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BB7B9B">
        <w:rPr>
          <w:rFonts w:ascii="Arial" w:hAnsi="Arial" w:cs="Arial"/>
          <w:b/>
          <w:bCs/>
          <w:lang w:val="cs-CZ"/>
        </w:rPr>
        <w:t>Výsledek hospodaření po zdanění</w:t>
      </w:r>
      <w:r w:rsidRPr="00BB7B9B">
        <w:rPr>
          <w:rFonts w:ascii="Arial" w:hAnsi="Arial" w:cs="Arial"/>
          <w:bCs/>
          <w:lang w:val="cs-CZ"/>
        </w:rPr>
        <w:t xml:space="preserve"> je vypočten jako rozdíl mezi celkovými výnosy a</w:t>
      </w:r>
      <w:r w:rsidR="00460D95">
        <w:rPr>
          <w:rFonts w:ascii="Arial" w:hAnsi="Arial" w:cs="Arial"/>
          <w:bCs/>
          <w:lang w:val="cs-CZ"/>
        </w:rPr>
        <w:t> </w:t>
      </w:r>
      <w:r w:rsidRPr="00BB7B9B">
        <w:rPr>
          <w:rFonts w:ascii="Arial" w:hAnsi="Arial" w:cs="Arial"/>
          <w:bCs/>
          <w:lang w:val="cs-CZ"/>
        </w:rPr>
        <w:t>celkovými náklady.</w:t>
      </w:r>
    </w:p>
    <w:p w:rsidR="000C74FE" w:rsidRPr="00BB7B9B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BB7B9B">
        <w:rPr>
          <w:rFonts w:ascii="Arial" w:hAnsi="Arial" w:cs="Arial"/>
          <w:b/>
          <w:bCs/>
          <w:lang w:val="cs-CZ"/>
        </w:rPr>
        <w:t>Aktiva celkem</w:t>
      </w:r>
      <w:r w:rsidRPr="00BB7B9B">
        <w:rPr>
          <w:rFonts w:ascii="Arial" w:hAnsi="Arial" w:cs="Arial"/>
          <w:bCs/>
          <w:lang w:val="cs-CZ"/>
        </w:rPr>
        <w:t xml:space="preserve"> představují stav majetku v netto hodnotě v podobě stálých, oběžných a</w:t>
      </w:r>
      <w:r w:rsidR="00460D95">
        <w:rPr>
          <w:rFonts w:ascii="Arial" w:hAnsi="Arial" w:cs="Arial"/>
          <w:bCs/>
          <w:lang w:val="cs-CZ"/>
        </w:rPr>
        <w:t> </w:t>
      </w:r>
      <w:r w:rsidRPr="00BB7B9B">
        <w:rPr>
          <w:rFonts w:ascii="Arial" w:hAnsi="Arial" w:cs="Arial"/>
          <w:bCs/>
          <w:lang w:val="cs-CZ"/>
        </w:rPr>
        <w:t>ostatních aktiv.</w:t>
      </w:r>
    </w:p>
    <w:p w:rsidR="000C74FE" w:rsidRPr="00BB7B9B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BB7B9B">
        <w:rPr>
          <w:rFonts w:ascii="Arial" w:hAnsi="Arial" w:cs="Arial"/>
          <w:b/>
          <w:bCs/>
          <w:lang w:val="cs-CZ"/>
        </w:rPr>
        <w:t>Dlouhodobý hmotný majetek v zůstatkové ceně</w:t>
      </w:r>
      <w:r w:rsidRPr="00BB7B9B">
        <w:rPr>
          <w:rFonts w:ascii="Arial" w:hAnsi="Arial" w:cs="Arial"/>
          <w:bCs/>
          <w:lang w:val="cs-CZ"/>
        </w:rPr>
        <w:t xml:space="preserve"> představuje pozemky, stavby</w:t>
      </w:r>
      <w:r w:rsidR="004C5995">
        <w:rPr>
          <w:rFonts w:ascii="Arial" w:hAnsi="Arial" w:cs="Arial"/>
          <w:bCs/>
          <w:lang w:val="cs-CZ"/>
        </w:rPr>
        <w:t>,</w:t>
      </w:r>
      <w:r w:rsidRPr="00BB7B9B">
        <w:rPr>
          <w:rFonts w:ascii="Arial" w:hAnsi="Arial" w:cs="Arial"/>
          <w:bCs/>
          <w:lang w:val="cs-CZ"/>
        </w:rPr>
        <w:t xml:space="preserve"> vč</w:t>
      </w:r>
      <w:r w:rsidR="004C5995">
        <w:rPr>
          <w:rFonts w:ascii="Arial" w:hAnsi="Arial" w:cs="Arial"/>
          <w:bCs/>
          <w:lang w:val="cs-CZ"/>
        </w:rPr>
        <w:t>etn</w:t>
      </w:r>
      <w:r w:rsidR="00D403C4">
        <w:rPr>
          <w:rFonts w:ascii="Arial" w:hAnsi="Arial" w:cs="Arial"/>
          <w:bCs/>
          <w:lang w:val="cs-CZ"/>
        </w:rPr>
        <w:t>ě</w:t>
      </w:r>
      <w:r w:rsidRPr="00BB7B9B">
        <w:rPr>
          <w:rFonts w:ascii="Arial" w:hAnsi="Arial" w:cs="Arial"/>
          <w:bCs/>
          <w:lang w:val="cs-CZ"/>
        </w:rPr>
        <w:t xml:space="preserve"> budov, samostatné movité věci a soubory movitých věcí, pěstitelské celky trvalých porostů, základní stádo a</w:t>
      </w:r>
      <w:r w:rsidR="00460D95">
        <w:rPr>
          <w:rFonts w:ascii="Arial" w:hAnsi="Arial" w:cs="Arial"/>
          <w:bCs/>
          <w:lang w:val="cs-CZ"/>
        </w:rPr>
        <w:t> </w:t>
      </w:r>
      <w:r w:rsidRPr="00BB7B9B">
        <w:rPr>
          <w:rFonts w:ascii="Arial" w:hAnsi="Arial" w:cs="Arial"/>
          <w:bCs/>
          <w:lang w:val="cs-CZ"/>
        </w:rPr>
        <w:t xml:space="preserve">tažná zvířata, </w:t>
      </w:r>
      <w:r w:rsidR="001038CB">
        <w:rPr>
          <w:rFonts w:ascii="Arial" w:hAnsi="Arial" w:cs="Arial"/>
          <w:bCs/>
          <w:lang w:val="cs-CZ"/>
        </w:rPr>
        <w:t xml:space="preserve">nedokončený </w:t>
      </w:r>
      <w:r w:rsidR="00987918">
        <w:rPr>
          <w:rFonts w:ascii="Arial" w:hAnsi="Arial" w:cs="Arial"/>
          <w:bCs/>
          <w:lang w:val="cs-CZ"/>
        </w:rPr>
        <w:t xml:space="preserve">a </w:t>
      </w:r>
      <w:r w:rsidRPr="00BB7B9B">
        <w:rPr>
          <w:rFonts w:ascii="Arial" w:hAnsi="Arial" w:cs="Arial"/>
          <w:bCs/>
          <w:lang w:val="cs-CZ"/>
        </w:rPr>
        <w:t>jiný dlouhodobý hmotný majetek, poskytnuté zálohy na dlouhodobý hmotný majetek a oceňovací rozdíl k nabytému majetku.</w:t>
      </w:r>
    </w:p>
    <w:p w:rsidR="000C74FE" w:rsidRPr="00BB7B9B" w:rsidRDefault="000C74FE" w:rsidP="00805398">
      <w:pPr>
        <w:keepNext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BB7B9B">
        <w:rPr>
          <w:rFonts w:ascii="Arial" w:hAnsi="Arial" w:cs="Arial"/>
          <w:b/>
          <w:bCs/>
          <w:lang w:val="cs-CZ"/>
        </w:rPr>
        <w:lastRenderedPageBreak/>
        <w:t>Zásoby</w:t>
      </w:r>
      <w:r w:rsidRPr="00BB7B9B">
        <w:rPr>
          <w:rFonts w:ascii="Arial" w:hAnsi="Arial" w:cs="Arial"/>
          <w:bCs/>
          <w:lang w:val="cs-CZ"/>
        </w:rPr>
        <w:t xml:space="preserve"> zahrnují materiál, nedokončenou výrobu a polotovary, výrobky, zvířata a zboží bez poskytnutých záloh.</w:t>
      </w:r>
    </w:p>
    <w:p w:rsidR="000C74FE" w:rsidRPr="005A7EE2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5A7EE2">
        <w:rPr>
          <w:rFonts w:ascii="Arial" w:hAnsi="Arial" w:cs="Arial"/>
          <w:bCs/>
          <w:lang w:val="cs-CZ"/>
        </w:rPr>
        <w:t>Stavové ukazatele jsou uváděny k 31. </w:t>
      </w:r>
      <w:r w:rsidR="00547525" w:rsidRPr="005A7EE2">
        <w:rPr>
          <w:rFonts w:ascii="Arial" w:hAnsi="Arial" w:cs="Arial"/>
          <w:bCs/>
          <w:lang w:val="cs-CZ"/>
        </w:rPr>
        <w:t>prosinci referenčního</w:t>
      </w:r>
      <w:r w:rsidR="00C1674E" w:rsidRPr="005A7EE2">
        <w:rPr>
          <w:rFonts w:ascii="Arial" w:hAnsi="Arial" w:cs="Arial"/>
          <w:bCs/>
          <w:lang w:val="cs-CZ"/>
        </w:rPr>
        <w:t xml:space="preserve"> roku</w:t>
      </w:r>
      <w:r w:rsidRPr="005A7EE2">
        <w:rPr>
          <w:rFonts w:ascii="Arial" w:hAnsi="Arial" w:cs="Arial"/>
          <w:bCs/>
          <w:lang w:val="cs-CZ"/>
        </w:rPr>
        <w:t>.</w:t>
      </w:r>
    </w:p>
    <w:p w:rsidR="000C74FE" w:rsidRPr="005A7EE2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E33D5A" w:rsidRDefault="00E33D5A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-1. a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-2. </w:t>
      </w:r>
      <w:r w:rsidRPr="0092412B">
        <w:rPr>
          <w:rFonts w:ascii="Arial" w:hAnsi="Arial" w:cs="Arial"/>
          <w:b/>
          <w:lang w:val="cs-CZ"/>
        </w:rPr>
        <w:t>Základní ukazatele obchodu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</w:t>
      </w:r>
      <w:r w:rsidRPr="0092412B">
        <w:rPr>
          <w:rFonts w:ascii="Arial" w:hAnsi="Arial" w:cs="Arial"/>
          <w:lang w:val="cs-CZ"/>
        </w:rPr>
        <w:t>ahrnují</w:t>
      </w:r>
      <w:r>
        <w:rPr>
          <w:rFonts w:ascii="Arial" w:hAnsi="Arial" w:cs="Arial"/>
          <w:lang w:val="cs-CZ"/>
        </w:rPr>
        <w:t xml:space="preserve"> data za všechna odvětví obchodu celkem, včetně prodeje a oprav motorových vozidel, patřící do sekce G Klasifikace ekonomických činností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E33D5A" w:rsidRDefault="00E33D5A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-3. až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-5. </w:t>
      </w:r>
      <w:r w:rsidRPr="00BE3DC8">
        <w:rPr>
          <w:rFonts w:ascii="Arial" w:hAnsi="Arial" w:cs="Arial"/>
          <w:b/>
          <w:lang w:val="cs-CZ"/>
        </w:rPr>
        <w:t>Vybrané základní ukazatele</w:t>
      </w:r>
      <w:r>
        <w:rPr>
          <w:rFonts w:ascii="Arial" w:hAnsi="Arial" w:cs="Arial"/>
          <w:lang w:val="cs-CZ"/>
        </w:rPr>
        <w:t xml:space="preserve"> </w:t>
      </w:r>
      <w:r w:rsidRPr="00BE3DC8">
        <w:rPr>
          <w:rFonts w:ascii="Arial" w:hAnsi="Arial" w:cs="Arial"/>
          <w:b/>
          <w:lang w:val="cs-CZ"/>
        </w:rPr>
        <w:t>obchodu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 w:rsidRPr="00BE3DC8">
        <w:rPr>
          <w:rFonts w:ascii="Arial" w:hAnsi="Arial" w:cs="Arial"/>
          <w:lang w:val="cs-CZ"/>
        </w:rPr>
        <w:t>V tabulkách jsou prezentována</w:t>
      </w:r>
      <w:r>
        <w:rPr>
          <w:rFonts w:ascii="Arial" w:hAnsi="Arial" w:cs="Arial"/>
          <w:lang w:val="cs-CZ"/>
        </w:rPr>
        <w:t xml:space="preserve"> data za jednotlivé oddíly sekce</w:t>
      </w:r>
      <w:r w:rsidR="005C3EDD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 xml:space="preserve">G, tj. za oddíly 45, 46 a 47 Klasifikace ekonomických činností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E33D5A" w:rsidRDefault="00E33D5A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-6. </w:t>
      </w:r>
      <w:r w:rsidRPr="00EA33BE">
        <w:rPr>
          <w:rFonts w:ascii="Arial" w:hAnsi="Arial" w:cs="Arial"/>
          <w:b/>
          <w:lang w:val="cs-CZ"/>
        </w:rPr>
        <w:t>Tržby v</w:t>
      </w:r>
      <w:r>
        <w:rPr>
          <w:rFonts w:ascii="Arial" w:hAnsi="Arial" w:cs="Arial"/>
          <w:b/>
          <w:lang w:val="cs-CZ"/>
        </w:rPr>
        <w:t> </w:t>
      </w:r>
      <w:r w:rsidRPr="00EA33BE">
        <w:rPr>
          <w:rFonts w:ascii="Arial" w:hAnsi="Arial" w:cs="Arial"/>
          <w:b/>
          <w:lang w:val="cs-CZ"/>
        </w:rPr>
        <w:t>maloobchodě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Přehled tržeb v maloobchodě (bez prodeje motorových vozidel a včetně prodeje pohonných hmot) dle trojmístných skupin 47.1 až 47.9 Klasifikace ekonomických činností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E33D5A" w:rsidRDefault="00E33D5A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 w:rsidRPr="006B3E0F"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-7. a </w:t>
      </w:r>
      <w:r w:rsidRPr="006B3E0F"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-8. </w:t>
      </w:r>
      <w:r w:rsidRPr="00EA33BE">
        <w:rPr>
          <w:rFonts w:ascii="Arial" w:hAnsi="Arial" w:cs="Arial"/>
          <w:b/>
          <w:lang w:val="cs-CZ"/>
        </w:rPr>
        <w:t>Základní ukazatele ubytování, stravování a pohostinství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Obě tabulky zahrnují celková data za sekci I Klasifikace ekonomických činností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E33D5A" w:rsidRDefault="00E33D5A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>-9. a</w:t>
      </w:r>
      <w:r>
        <w:rPr>
          <w:rFonts w:ascii="Arial" w:hAnsi="Arial" w:cs="Arial"/>
          <w:b/>
          <w:lang w:val="cs-CZ"/>
        </w:rPr>
        <w:t xml:space="preserve"> 18</w:t>
      </w:r>
      <w:r>
        <w:rPr>
          <w:rFonts w:ascii="Arial" w:hAnsi="Arial" w:cs="Arial"/>
          <w:lang w:val="cs-CZ"/>
        </w:rPr>
        <w:t xml:space="preserve">-10. </w:t>
      </w:r>
      <w:r w:rsidRPr="00EA33BE">
        <w:rPr>
          <w:rFonts w:ascii="Arial" w:hAnsi="Arial" w:cs="Arial"/>
          <w:b/>
          <w:lang w:val="cs-CZ"/>
        </w:rPr>
        <w:t>Vybrané základní ukazatele</w:t>
      </w:r>
      <w:r>
        <w:rPr>
          <w:rFonts w:ascii="Arial" w:hAnsi="Arial" w:cs="Arial"/>
          <w:lang w:val="cs-CZ"/>
        </w:rPr>
        <w:t xml:space="preserve"> </w:t>
      </w:r>
      <w:r w:rsidRPr="00EA33BE">
        <w:rPr>
          <w:rFonts w:ascii="Arial" w:hAnsi="Arial" w:cs="Arial"/>
          <w:b/>
          <w:lang w:val="cs-CZ"/>
        </w:rPr>
        <w:t>ubytování</w:t>
      </w:r>
      <w:r>
        <w:rPr>
          <w:rFonts w:ascii="Arial" w:hAnsi="Arial" w:cs="Arial"/>
          <w:b/>
          <w:lang w:val="cs-CZ"/>
        </w:rPr>
        <w:t>, stravování a pohostinství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Tabulka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-9. obsahuje vybrané základní ukazatele za oddíl 55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 xml:space="preserve">, tabulka </w:t>
      </w:r>
      <w:r>
        <w:rPr>
          <w:rFonts w:ascii="Arial" w:hAnsi="Arial" w:cs="Arial"/>
          <w:b/>
          <w:lang w:val="cs-CZ"/>
        </w:rPr>
        <w:t>18</w:t>
      </w:r>
      <w:r>
        <w:rPr>
          <w:rFonts w:ascii="Arial" w:hAnsi="Arial" w:cs="Arial"/>
          <w:lang w:val="cs-CZ"/>
        </w:rPr>
        <w:t xml:space="preserve">-10. tytéž ukazatele za oddíl 56 </w:t>
      </w:r>
      <w:r w:rsidR="00C1674E">
        <w:rPr>
          <w:rFonts w:ascii="Arial" w:hAnsi="Arial" w:cs="Arial"/>
          <w:lang w:val="cs-CZ"/>
        </w:rPr>
        <w:t>(</w:t>
      </w:r>
      <w:r>
        <w:rPr>
          <w:rFonts w:ascii="Arial" w:hAnsi="Arial" w:cs="Arial"/>
          <w:lang w:val="cs-CZ"/>
        </w:rPr>
        <w:t>CZ-NACE</w:t>
      </w:r>
      <w:r w:rsidR="00C1674E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44794C" w:rsidRDefault="0044794C" w:rsidP="0085690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rPr>
          <w:rFonts w:ascii="Arial" w:hAnsi="Arial" w:cs="Arial"/>
          <w:lang w:val="cs-CZ"/>
        </w:rPr>
      </w:pPr>
    </w:p>
    <w:p w:rsidR="000C74FE" w:rsidRDefault="000C74FE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ind w:firstLine="709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*          *          *</w:t>
      </w:r>
    </w:p>
    <w:p w:rsidR="000C74FE" w:rsidRDefault="000C74FE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  <w:lang w:val="cs-CZ"/>
        </w:rPr>
      </w:pPr>
    </w:p>
    <w:p w:rsidR="0044794C" w:rsidRDefault="0044794C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  <w:lang w:val="cs-CZ"/>
        </w:rPr>
      </w:pPr>
    </w:p>
    <w:p w:rsidR="009D74C7" w:rsidRPr="008C4D3B" w:rsidRDefault="00547525" w:rsidP="00856909">
      <w:pPr>
        <w:pStyle w:val="Zkladntextodsazen2"/>
        <w:widowControl/>
        <w:spacing w:before="0"/>
        <w:ind w:left="0" w:firstLine="709"/>
        <w:rPr>
          <w:rFonts w:ascii="Arial" w:hAnsi="Arial" w:cs="Arial"/>
        </w:rPr>
      </w:pPr>
      <w:r w:rsidRPr="00547525">
        <w:rPr>
          <w:rFonts w:ascii="Arial" w:hAnsi="Arial" w:cs="Arial"/>
        </w:rPr>
        <w:t xml:space="preserve">Další informace jsou dostupné na internetových stránkách </w:t>
      </w:r>
      <w:r w:rsidRPr="00547525">
        <w:rPr>
          <w:rFonts w:ascii="Arial" w:hAnsi="Arial" w:cs="Arial" w:hint="eastAsia"/>
        </w:rPr>
        <w:t>Č</w:t>
      </w:r>
      <w:r w:rsidRPr="00547525">
        <w:rPr>
          <w:rFonts w:ascii="Arial" w:hAnsi="Arial" w:cs="Arial"/>
        </w:rPr>
        <w:t>eského statistického ú</w:t>
      </w:r>
      <w:r w:rsidRPr="00547525">
        <w:rPr>
          <w:rFonts w:ascii="Arial" w:hAnsi="Arial" w:cs="Arial" w:hint="eastAsia"/>
        </w:rPr>
        <w:t>ř</w:t>
      </w:r>
      <w:r w:rsidRPr="00547525">
        <w:rPr>
          <w:rFonts w:ascii="Arial" w:hAnsi="Arial" w:cs="Arial"/>
        </w:rPr>
        <w:t>adu:</w:t>
      </w:r>
    </w:p>
    <w:p w:rsidR="000C74FE" w:rsidRDefault="000C74FE" w:rsidP="00856909">
      <w:pPr>
        <w:pStyle w:val="Zkladntext2"/>
        <w:widowControl/>
        <w:spacing w:before="120"/>
      </w:pPr>
      <w:r w:rsidRPr="006C594A">
        <w:t>– </w:t>
      </w:r>
      <w:hyperlink r:id="rId6" w:history="1">
        <w:r w:rsidR="0061133A" w:rsidRPr="00154B68">
          <w:rPr>
            <w:rStyle w:val="Hypertextovodkaz"/>
          </w:rPr>
          <w:t>www.czso.cz/csu/czso/obchod_pohostinstvi_ubytovani</w:t>
        </w:r>
      </w:hyperlink>
    </w:p>
    <w:p w:rsidR="00AD50E1" w:rsidRPr="006C594A" w:rsidRDefault="00AD50E1" w:rsidP="00856909">
      <w:pPr>
        <w:pStyle w:val="Zkladntext2"/>
        <w:widowControl/>
        <w:spacing w:before="120"/>
      </w:pPr>
    </w:p>
    <w:p w:rsidR="00AD50E1" w:rsidRDefault="00AD50E1" w:rsidP="00856909">
      <w:pPr>
        <w:pStyle w:val="Zkladntext2"/>
        <w:widowControl/>
      </w:pPr>
    </w:p>
    <w:p w:rsidR="00AD50E1" w:rsidRDefault="00AD50E1" w:rsidP="00856909">
      <w:pPr>
        <w:pStyle w:val="Zkladntext2"/>
        <w:widowControl/>
      </w:pPr>
    </w:p>
    <w:p w:rsidR="00AD50E1" w:rsidRDefault="00AD50E1" w:rsidP="00856909">
      <w:pPr>
        <w:pStyle w:val="Zkladntext2"/>
        <w:widowControl/>
      </w:pPr>
    </w:p>
    <w:p w:rsidR="00AD50E1" w:rsidRDefault="00AD50E1" w:rsidP="00856909">
      <w:pPr>
        <w:pStyle w:val="Nadpis5"/>
        <w:keepNext w:val="0"/>
        <w:widowControl/>
        <w:numPr>
          <w:ilvl w:val="0"/>
          <w:numId w:val="0"/>
        </w:numPr>
      </w:pPr>
      <w:r>
        <w:t>B. CESTOVNÍ RUCH</w:t>
      </w:r>
    </w:p>
    <w:p w:rsidR="00AD50E1" w:rsidRDefault="00AD50E1" w:rsidP="00856909">
      <w:pPr>
        <w:pStyle w:val="Zkladntext2"/>
        <w:widowControl/>
        <w:spacing w:before="120"/>
        <w:ind w:firstLine="709"/>
      </w:pPr>
      <w:r>
        <w:t>Do statistiky cestovního ruchu jsou zahrnuty údaje o kapacitě a výkonech hromadných ubytovacích zařízení sloužících cestovnímu ruchu, údaje z výběrového šetření v domácnostech o cestovních zvyklostech rezidentů, satelitního účtu cestovního ruchu (TSA), tvorbě hrubého fixního kapitálu v cestovním ruchu a modulu zaměstnanosti cestovního ruchu.</w:t>
      </w:r>
    </w:p>
    <w:p w:rsidR="00400E61" w:rsidRDefault="00400E61" w:rsidP="00856909">
      <w:pPr>
        <w:pStyle w:val="Zkladntext2"/>
        <w:widowControl/>
        <w:spacing w:before="120"/>
        <w:ind w:firstLine="709"/>
      </w:pPr>
      <w:r>
        <w:t>Na základě výsledků cenzu ubytovacích zařízení M</w:t>
      </w:r>
      <w:r w:rsidR="00C16B4F">
        <w:t>inisterstva pro místní rozvoj</w:t>
      </w:r>
      <w:r>
        <w:t xml:space="preserve"> byla provedena revize údajů za rok 2012 a 2013 </w:t>
      </w:r>
      <w:r w:rsidRPr="00547525">
        <w:t>(</w:t>
      </w:r>
      <w:r>
        <w:t>t</w:t>
      </w:r>
      <w:r w:rsidRPr="00547525">
        <w:t xml:space="preserve">ab. </w:t>
      </w:r>
      <w:r w:rsidRPr="009D7869">
        <w:rPr>
          <w:b/>
        </w:rPr>
        <w:t>18</w:t>
      </w:r>
      <w:r w:rsidRPr="00547525">
        <w:t>-11.)</w:t>
      </w:r>
      <w:r>
        <w:t>. Předchozí období již revidována nebyla, proto data do roku 2011 nemusí být s roky 2012 až 2014 plně srovnatelná.</w:t>
      </w:r>
    </w:p>
    <w:p w:rsidR="00AD50E1" w:rsidRDefault="00AD50E1" w:rsidP="00856909">
      <w:pPr>
        <w:widowControl/>
        <w:suppressAutoHyphens/>
        <w:rPr>
          <w:rFonts w:ascii="Arial" w:hAnsi="Arial" w:cs="Arial"/>
          <w:lang w:val="cs-CZ"/>
        </w:rPr>
      </w:pPr>
    </w:p>
    <w:p w:rsidR="00400E61" w:rsidRPr="009D7869" w:rsidRDefault="00400E61" w:rsidP="00856909">
      <w:pPr>
        <w:widowControl/>
        <w:suppressAutoHyphens/>
        <w:rPr>
          <w:rFonts w:ascii="Arial" w:hAnsi="Arial" w:cs="Arial"/>
          <w:lang w:val="cs-CZ"/>
        </w:rPr>
      </w:pPr>
    </w:p>
    <w:p w:rsidR="00AD50E1" w:rsidRPr="009D7869" w:rsidRDefault="00AD50E1" w:rsidP="00856909">
      <w:pPr>
        <w:pStyle w:val="Nadpis2"/>
        <w:keepNext w:val="0"/>
        <w:widowControl/>
        <w:tabs>
          <w:tab w:val="clear" w:pos="1416"/>
          <w:tab w:val="left" w:pos="13452"/>
        </w:tabs>
        <w:rPr>
          <w:rFonts w:ascii="Arial" w:hAnsi="Arial" w:cs="Arial"/>
          <w:b w:val="0"/>
        </w:rPr>
      </w:pPr>
    </w:p>
    <w:p w:rsidR="00AD50E1" w:rsidRDefault="00AD50E1" w:rsidP="00805398">
      <w:pPr>
        <w:pStyle w:val="Nadpis2"/>
        <w:widowControl/>
        <w:tabs>
          <w:tab w:val="clear" w:pos="1416"/>
          <w:tab w:val="left" w:pos="1345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Poznámky k tabulkám</w:t>
      </w:r>
    </w:p>
    <w:p w:rsidR="00AD50E1" w:rsidRPr="00E606E9" w:rsidRDefault="00AD50E1" w:rsidP="00805398">
      <w:pPr>
        <w:keepNext/>
        <w:widowControl/>
        <w:suppressAutoHyphens/>
        <w:rPr>
          <w:rFonts w:ascii="Arial" w:hAnsi="Arial" w:cs="Arial"/>
          <w:lang w:val="cs-CZ"/>
        </w:rPr>
      </w:pPr>
    </w:p>
    <w:p w:rsidR="00AD50E1" w:rsidRPr="00E606E9" w:rsidRDefault="00AD50E1" w:rsidP="00805398">
      <w:pPr>
        <w:keepNext/>
        <w:widowControl/>
        <w:suppressAutoHyphens/>
        <w:rPr>
          <w:rFonts w:ascii="Arial" w:hAnsi="Arial" w:cs="Arial"/>
          <w:lang w:val="cs-CZ"/>
        </w:rPr>
      </w:pPr>
    </w:p>
    <w:p w:rsidR="00AD50E1" w:rsidRDefault="00AD50E1" w:rsidP="00805398">
      <w:pPr>
        <w:keepNext/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bCs/>
          <w:lang w:val="cs-CZ"/>
        </w:rPr>
        <w:t>18</w:t>
      </w:r>
      <w:r>
        <w:rPr>
          <w:rFonts w:ascii="Arial" w:hAnsi="Arial" w:cs="Arial"/>
          <w:lang w:val="cs-CZ"/>
        </w:rPr>
        <w:t xml:space="preserve">-11. až </w:t>
      </w:r>
      <w:r>
        <w:rPr>
          <w:rFonts w:ascii="Arial" w:hAnsi="Arial" w:cs="Arial"/>
          <w:b/>
          <w:bCs/>
          <w:lang w:val="cs-CZ"/>
        </w:rPr>
        <w:t>18</w:t>
      </w:r>
      <w:r>
        <w:rPr>
          <w:rFonts w:ascii="Arial" w:hAnsi="Arial" w:cs="Arial"/>
          <w:lang w:val="cs-CZ"/>
        </w:rPr>
        <w:t xml:space="preserve">-14. </w:t>
      </w:r>
      <w:r>
        <w:rPr>
          <w:rFonts w:ascii="Arial" w:hAnsi="Arial" w:cs="Arial"/>
          <w:b/>
          <w:bCs/>
          <w:lang w:val="cs-CZ"/>
        </w:rPr>
        <w:t>Hromadná ubytovací zařízení cestovního ruchu</w:t>
      </w:r>
    </w:p>
    <w:p w:rsidR="00AD50E1" w:rsidRPr="00DE6C4A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bCs/>
          <w:lang w:val="cs-CZ"/>
        </w:rPr>
      </w:pPr>
      <w:r w:rsidRPr="00DE6C4A">
        <w:rPr>
          <w:rFonts w:ascii="Arial" w:hAnsi="Arial" w:cs="Arial"/>
          <w:bCs/>
          <w:lang w:val="cs-CZ"/>
        </w:rPr>
        <w:t xml:space="preserve">Údaje o ubytovacích zařízeních jsou získávány ze šetření o kapacitách a návštěvnosti </w:t>
      </w:r>
      <w:r>
        <w:rPr>
          <w:rFonts w:ascii="Arial" w:hAnsi="Arial" w:cs="Arial"/>
          <w:bCs/>
          <w:lang w:val="cs-CZ"/>
        </w:rPr>
        <w:t xml:space="preserve">hromadných ubytovacích zařízení. </w:t>
      </w:r>
      <w:r>
        <w:rPr>
          <w:rFonts w:ascii="Arial" w:hAnsi="Arial" w:cs="Arial"/>
          <w:lang w:val="cs-CZ"/>
        </w:rPr>
        <w:t xml:space="preserve">Uváděné údaje jsou souhrnem dat za zpracované dotazníky </w:t>
      </w:r>
      <w:r w:rsidR="00856909">
        <w:rPr>
          <w:rFonts w:ascii="Arial" w:hAnsi="Arial" w:cs="Arial"/>
          <w:lang w:val="cs-CZ"/>
        </w:rPr>
        <w:t>a </w:t>
      </w:r>
      <w:r>
        <w:rPr>
          <w:rFonts w:ascii="Arial" w:hAnsi="Arial" w:cs="Arial"/>
          <w:lang w:val="cs-CZ"/>
        </w:rPr>
        <w:t>dopočtenou non-response.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Hromadná ubytovací zařízení </w:t>
      </w:r>
      <w:r>
        <w:rPr>
          <w:rFonts w:ascii="Arial" w:hAnsi="Arial" w:cs="Arial"/>
          <w:lang w:val="cs-CZ"/>
        </w:rPr>
        <w:t>jsou zařízení s pěti a více pokoji a deseti a více lůžky, která poskytují přechodné ubytování hostům. Patří mezi ně hotely, motely, botely, penziony, turistické ubytovny, chatové osady, kempy a ostatní ubytovací zařízení. Ostatní ubytovací zařízení zahrnují např. rekreační zařízení podniků, školicí střediska, kulturně-historické objekty, lázeňská zařízení a jiná ubytovací zařízení, která vyčleňují lůžkovou kapacitu pro cestovní ruch (např. domovy mládeže, vysokoškolské koleje, podnikové ubytovny apod.).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szCs w:val="16"/>
          <w:lang w:val="cs-CZ"/>
        </w:rPr>
        <w:t>Maximální kapacita</w:t>
      </w:r>
      <w:r>
        <w:rPr>
          <w:rFonts w:ascii="Arial" w:hAnsi="Arial" w:cs="Arial"/>
          <w:szCs w:val="16"/>
          <w:lang w:val="cs-CZ"/>
        </w:rPr>
        <w:t xml:space="preserve"> hromadných ubytovacích zařízení cestovního ruchu je součtem maximálních kapacit za jednotlivá ubytovací zařízení.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Lůžka</w:t>
      </w:r>
      <w:r>
        <w:rPr>
          <w:rFonts w:ascii="Arial" w:hAnsi="Arial" w:cs="Arial"/>
          <w:lang w:val="cs-CZ"/>
        </w:rPr>
        <w:t xml:space="preserve"> v hromadných ubytovacích zařízeních udávají maximální počet všech </w:t>
      </w:r>
      <w:r w:rsidRPr="00DA5346">
        <w:rPr>
          <w:rFonts w:ascii="Arial" w:hAnsi="Arial" w:cs="Arial"/>
          <w:bCs/>
          <w:lang w:val="cs-CZ"/>
        </w:rPr>
        <w:t>stálých</w:t>
      </w:r>
      <w:r w:rsidRPr="00DA534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lůžek, která jsou využívána výhradně pro noční odpočinek hostů (bez lůžek příležitostných – přistýlek).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Místa pro stany a karavany</w:t>
      </w:r>
      <w:r>
        <w:rPr>
          <w:rFonts w:ascii="Arial" w:hAnsi="Arial" w:cs="Arial"/>
          <w:lang w:val="cs-CZ"/>
        </w:rPr>
        <w:t xml:space="preserve"> udávají maximální počet stanovišť pro umístění stanů, obytných přívěsů a karavanů.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Host</w:t>
      </w:r>
      <w:r>
        <w:rPr>
          <w:rFonts w:ascii="Arial" w:hAnsi="Arial" w:cs="Arial"/>
          <w:lang w:val="cs-CZ"/>
        </w:rPr>
        <w:t xml:space="preserve"> v ubytovacím zařízení je každá osoba včetně dětí, která se zde přechodně ubytovala (kromě personálu a majitelů ubytovacího zařízení). Příjezd hosta nastává v okamžiku jeho nahlášení v ubytovacím zařízení. Host může využít služeb ubytovacího zařízení z důvodu dovolené, zájezdu, služební cesty, školení, kurzu, kongresu, sympozia, lázeňského léčebného pobytu, pobytu dětí ve škole v přírodě nebo na letních a zimních táborech apod. Mezi hosty se nezapočítávají osoby, které využívají služeb ubytovacího zařízení pro přechodné ubytování za účelem zaměstnání, či řádného studia.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proofErr w:type="spellStart"/>
      <w:r>
        <w:rPr>
          <w:rFonts w:ascii="Arial" w:hAnsi="Arial" w:cs="Arial"/>
          <w:b/>
          <w:bCs/>
          <w:lang w:val="cs-CZ"/>
        </w:rPr>
        <w:t>Nerezidenti</w:t>
      </w:r>
      <w:proofErr w:type="spellEnd"/>
      <w:r>
        <w:rPr>
          <w:rFonts w:ascii="Arial" w:hAnsi="Arial" w:cs="Arial"/>
          <w:lang w:val="cs-CZ"/>
        </w:rPr>
        <w:t xml:space="preserve"> jsou osoby, které se na území ČR zdržují kratší dobu než jeden rok.</w:t>
      </w:r>
    </w:p>
    <w:p w:rsidR="00AD50E1" w:rsidRDefault="00AD50E1" w:rsidP="00856909">
      <w:pPr>
        <w:widowControl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Počet přenocování </w:t>
      </w:r>
      <w:r>
        <w:rPr>
          <w:rFonts w:ascii="Arial" w:hAnsi="Arial" w:cs="Arial"/>
          <w:lang w:val="cs-CZ"/>
        </w:rPr>
        <w:t>je celkový počet přenocování (strávených nocí) hostů v hromadných ubytovacích zařízeních ve sledovaném období.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Čisté využití lůžek</w:t>
      </w:r>
      <w:r>
        <w:rPr>
          <w:rFonts w:ascii="Arial" w:hAnsi="Arial" w:cs="Arial"/>
          <w:lang w:val="cs-CZ"/>
        </w:rPr>
        <w:t xml:space="preserve"> je podílem počtu přenocování za sledované období a součinu průměrného počtu lůžek k dispozici s počtem provozních dnů.</w:t>
      </w:r>
    </w:p>
    <w:p w:rsidR="00AD50E1" w:rsidRPr="004E0D6B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 xml:space="preserve">Využití pokojů </w:t>
      </w:r>
      <w:r>
        <w:rPr>
          <w:rFonts w:ascii="Arial" w:hAnsi="Arial" w:cs="Arial"/>
          <w:lang w:val="cs-CZ"/>
        </w:rPr>
        <w:t xml:space="preserve">je podílem počtu realizovaných </w:t>
      </w:r>
      <w:proofErr w:type="spellStart"/>
      <w:r>
        <w:rPr>
          <w:rFonts w:ascii="Arial" w:hAnsi="Arial" w:cs="Arial"/>
          <w:lang w:val="cs-CZ"/>
        </w:rPr>
        <w:t>pokojodnů</w:t>
      </w:r>
      <w:proofErr w:type="spellEnd"/>
      <w:r>
        <w:rPr>
          <w:rFonts w:ascii="Arial" w:hAnsi="Arial" w:cs="Arial"/>
          <w:lang w:val="cs-CZ"/>
        </w:rPr>
        <w:t xml:space="preserve"> (tj. počtu obsazených pokojů za jednotlivé dny sledovaného období) a součinu průměrného počtu pokojů k dispozici s počtem provozních dnů.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Průměrný počet přenocování </w:t>
      </w:r>
      <w:r>
        <w:rPr>
          <w:rFonts w:ascii="Arial" w:hAnsi="Arial" w:cs="Arial"/>
          <w:lang w:val="cs-CZ"/>
        </w:rPr>
        <w:t>je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průměrný počet přenocování připadající na jednoho hosta ve sledovaném období.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Průměrná doba pobytu</w:t>
      </w:r>
      <w:r>
        <w:rPr>
          <w:rFonts w:ascii="Arial" w:hAnsi="Arial" w:cs="Arial"/>
          <w:lang w:val="cs-CZ"/>
        </w:rPr>
        <w:t xml:space="preserve"> je o jeden den vyšší než průměrný počet přenocování.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bCs/>
          <w:lang w:val="cs-CZ"/>
        </w:rPr>
        <w:t>18</w:t>
      </w:r>
      <w:r>
        <w:rPr>
          <w:rFonts w:ascii="Arial" w:hAnsi="Arial" w:cs="Arial"/>
          <w:lang w:val="cs-CZ"/>
        </w:rPr>
        <w:t xml:space="preserve">-15. </w:t>
      </w:r>
      <w:r>
        <w:rPr>
          <w:rFonts w:ascii="Arial" w:hAnsi="Arial" w:cs="Arial"/>
          <w:b/>
          <w:bCs/>
          <w:lang w:val="cs-CZ"/>
        </w:rPr>
        <w:t>Delší cesty za účelem trávení volného času</w:t>
      </w:r>
    </w:p>
    <w:p w:rsidR="00AD50E1" w:rsidRPr="00DD30B4" w:rsidRDefault="00AD50E1" w:rsidP="00856909">
      <w:pPr>
        <w:pStyle w:val="Zkladntext"/>
        <w:widowControl/>
        <w:tabs>
          <w:tab w:val="left" w:pos="540"/>
        </w:tabs>
        <w:spacing w:before="120"/>
        <w:ind w:firstLine="709"/>
        <w:rPr>
          <w:rFonts w:ascii="Arial" w:hAnsi="Arial" w:cs="Arial"/>
          <w:b w:val="0"/>
          <w:bCs w:val="0"/>
        </w:rPr>
      </w:pPr>
      <w:r w:rsidRPr="00DD30B4">
        <w:rPr>
          <w:rFonts w:ascii="Arial" w:hAnsi="Arial" w:cs="Arial"/>
          <w:b w:val="0"/>
          <w:bCs w:val="0"/>
        </w:rPr>
        <w:t xml:space="preserve">Zdrojem údajů je </w:t>
      </w:r>
      <w:r w:rsidRPr="00DD30B4">
        <w:rPr>
          <w:rFonts w:ascii="Arial" w:hAnsi="Arial" w:cs="Arial"/>
          <w:b w:val="0"/>
        </w:rPr>
        <w:t xml:space="preserve">výběrové šetření cestovního ruchu </w:t>
      </w:r>
      <w:r w:rsidRPr="00DD30B4">
        <w:rPr>
          <w:rFonts w:ascii="Arial" w:hAnsi="Arial" w:cs="Arial"/>
          <w:b w:val="0"/>
          <w:bCs w:val="0"/>
        </w:rPr>
        <w:t>(VŠCR). Šetření se provádí každý měsíc v náhodně vybraném vzorku domácností, dotazovány jsou osoby ve věku 15 a více let.</w:t>
      </w:r>
      <w:r w:rsidRPr="00DD30B4">
        <w:rPr>
          <w:rFonts w:ascii="Arial" w:hAnsi="Arial" w:cs="Arial"/>
          <w:b w:val="0"/>
        </w:rPr>
        <w:t xml:space="preserve"> </w:t>
      </w:r>
      <w:r w:rsidRPr="00DD30B4">
        <w:rPr>
          <w:rFonts w:ascii="Arial" w:hAnsi="Arial" w:cs="Arial"/>
          <w:b w:val="0"/>
          <w:bCs w:val="0"/>
        </w:rPr>
        <w:t>Údaje o cestovních zvyklostech jsou zjišťovány u všech členů domácnosti a jsou pomocí váhových koeficientů přepočteny na populaci České republiky ve věku 15 a více let.</w:t>
      </w:r>
    </w:p>
    <w:p w:rsidR="00AD50E1" w:rsidRPr="00DD30B4" w:rsidRDefault="00AD50E1" w:rsidP="00856909">
      <w:pPr>
        <w:pStyle w:val="Zkladntext"/>
        <w:widowControl/>
        <w:tabs>
          <w:tab w:val="left" w:pos="540"/>
        </w:tabs>
        <w:spacing w:before="120"/>
        <w:ind w:firstLine="709"/>
        <w:rPr>
          <w:rFonts w:ascii="Arial" w:hAnsi="Arial" w:cs="Arial"/>
          <w:b w:val="0"/>
          <w:bCs w:val="0"/>
        </w:rPr>
      </w:pPr>
      <w:r w:rsidRPr="00DD30B4">
        <w:rPr>
          <w:rFonts w:ascii="Arial" w:hAnsi="Arial" w:cs="Arial"/>
          <w:b w:val="0"/>
          <w:bCs w:val="0"/>
        </w:rPr>
        <w:t>Respondenti jsou vedle dalších ukazatelů cestovního ruchu dotazováni na cesty s noclehem, jež uskutečnili ve sledovaném období za účelem trávení volného času a rekreace mimo své obvyklé prostředí (mimo své trvalé a přechodné bydliště, obvyklé pracoviště, školu a podobně). Za delší cesty jsou považovány cesty s nejméně 4 noclehy v řadě za sebou. Do celkového počtu delších cest nejsou zahrnuty služební cesty, pobyty v nemocnici apod.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 delších cest se za přenocování považuje nocleh v hromadném ubytovacím zařízení nebo placené či neplacené ubytování v soukromí, tj. včetně pobytu na vlastní chatě a chalupě, u příbuzných a známých, případně v přírodě, dále také ubytování v dopravním prostředku v průběhu uskutečněné cesty apod.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lang w:val="cs-CZ"/>
        </w:rPr>
      </w:pPr>
    </w:p>
    <w:p w:rsidR="00AD50E1" w:rsidRPr="00DD30B4" w:rsidRDefault="00AD50E1" w:rsidP="00856909">
      <w:pPr>
        <w:pStyle w:val="Zkladntext2"/>
        <w:widowControl/>
        <w:rPr>
          <w:b/>
          <w:bCs/>
        </w:rPr>
      </w:pPr>
      <w:r w:rsidRPr="00DD30B4">
        <w:t xml:space="preserve">Tab. </w:t>
      </w:r>
      <w:r w:rsidRPr="00DD30B4">
        <w:rPr>
          <w:b/>
          <w:bCs/>
        </w:rPr>
        <w:t>18</w:t>
      </w:r>
      <w:r w:rsidRPr="00DD30B4">
        <w:t xml:space="preserve">-16. </w:t>
      </w:r>
      <w:r w:rsidRPr="00DD30B4">
        <w:rPr>
          <w:b/>
          <w:bCs/>
        </w:rPr>
        <w:t>Satelitní účet cestovního ruchu České republiky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Vnitřní cestovní ruch</w:t>
      </w:r>
      <w:r>
        <w:rPr>
          <w:rFonts w:ascii="Arial" w:hAnsi="Arial" w:cs="Arial"/>
          <w:lang w:val="cs-CZ"/>
        </w:rPr>
        <w:t xml:space="preserve"> (domácí a příjezdový) je cestovní ruch rezidentů i nerezidentů na</w:t>
      </w:r>
      <w:r>
        <w:rPr>
          <w:rFonts w:ascii="Arial" w:hAnsi="Arial" w:cs="Arial"/>
          <w:strike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území České republiky. </w:t>
      </w:r>
      <w:r>
        <w:rPr>
          <w:rFonts w:ascii="Arial" w:hAnsi="Arial" w:cs="Arial"/>
          <w:b/>
          <w:bCs/>
          <w:lang w:val="cs-CZ"/>
        </w:rPr>
        <w:t xml:space="preserve">Spotřeba ve vnitřním cestovním ruchu </w:t>
      </w:r>
      <w:r>
        <w:rPr>
          <w:rFonts w:ascii="Arial" w:hAnsi="Arial" w:cs="Arial"/>
          <w:lang w:val="cs-CZ"/>
        </w:rPr>
        <w:t>v České republice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vyjadřuje celkový objem financí utracených za cestovní ruch v národním hospodářství (tj. všechny výdaje za cestovní ruch realizované v České republice).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Domácí cestovní ruch</w:t>
      </w:r>
      <w:r>
        <w:rPr>
          <w:rFonts w:ascii="Arial" w:hAnsi="Arial" w:cs="Arial"/>
          <w:lang w:val="cs-CZ"/>
        </w:rPr>
        <w:t xml:space="preserve"> je cestovní ruch rezidentů na území České republiky. Pro potřeby satelitního účtu cestovního ruchu je však nutné chápat domácí cestovní ruch, resp. jeho spotřebu </w:t>
      </w:r>
      <w:proofErr w:type="spellStart"/>
      <w:r>
        <w:rPr>
          <w:rFonts w:ascii="Arial" w:hAnsi="Arial" w:cs="Arial"/>
          <w:lang w:val="cs-CZ"/>
        </w:rPr>
        <w:t>šířeji</w:t>
      </w:r>
      <w:proofErr w:type="spellEnd"/>
      <w:r>
        <w:rPr>
          <w:rFonts w:ascii="Arial" w:hAnsi="Arial" w:cs="Arial"/>
          <w:lang w:val="cs-CZ"/>
        </w:rPr>
        <w:t xml:space="preserve">. </w:t>
      </w:r>
      <w:r>
        <w:rPr>
          <w:rFonts w:ascii="Arial" w:hAnsi="Arial" w:cs="Arial"/>
          <w:b/>
          <w:bCs/>
          <w:lang w:val="cs-CZ"/>
        </w:rPr>
        <w:t>Spotřeba v domácím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b/>
          <w:bCs/>
          <w:lang w:val="cs-CZ"/>
        </w:rPr>
        <w:t xml:space="preserve">cestovním ruchu </w:t>
      </w:r>
      <w:r>
        <w:rPr>
          <w:rFonts w:ascii="Arial" w:hAnsi="Arial" w:cs="Arial"/>
          <w:lang w:val="cs-CZ"/>
        </w:rPr>
        <w:t>je spotřeba rezidentů v České republice, a to i ta část spotřeby spojená s návštěvou (konečným cílem cesty) jiné země, pokud byla realizována v České republice (např. marže tuzemských cestovních kanceláří či agentur zajišťujících zahraniční zájezd).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Příjezdový cestovní ruch</w:t>
      </w:r>
      <w:r>
        <w:rPr>
          <w:rFonts w:ascii="Arial" w:hAnsi="Arial" w:cs="Arial"/>
          <w:lang w:val="cs-CZ"/>
        </w:rPr>
        <w:t xml:space="preserve"> zahrnuje návštěvu a pobyt nerezidentů na území České republiky. </w:t>
      </w:r>
      <w:r>
        <w:rPr>
          <w:rFonts w:ascii="Arial" w:hAnsi="Arial" w:cs="Arial"/>
          <w:b/>
          <w:bCs/>
          <w:lang w:val="cs-CZ"/>
        </w:rPr>
        <w:t>Spotřeba v příjezdovém cestovním ruchu</w:t>
      </w:r>
      <w:r>
        <w:rPr>
          <w:rFonts w:ascii="Arial" w:hAnsi="Arial" w:cs="Arial"/>
          <w:lang w:val="cs-CZ"/>
        </w:rPr>
        <w:t xml:space="preserve"> je chápána jako celkový objem prostředků vydaných na cestovní ruch nerezidenty plynoucích do navštívené země. To znamená, že je započítávána i ta část výdajů, které jsou zaplaceny mimo území České republiky (v zemi </w:t>
      </w:r>
      <w:proofErr w:type="spellStart"/>
      <w:r>
        <w:rPr>
          <w:rFonts w:ascii="Arial" w:hAnsi="Arial" w:cs="Arial"/>
          <w:lang w:val="cs-CZ"/>
        </w:rPr>
        <w:t>nerezidenta</w:t>
      </w:r>
      <w:proofErr w:type="spellEnd"/>
      <w:r>
        <w:rPr>
          <w:rFonts w:ascii="Arial" w:hAnsi="Arial" w:cs="Arial"/>
          <w:lang w:val="cs-CZ"/>
        </w:rPr>
        <w:t>), ale formou různých plateb do České republiky směřují (např. platby za ubytování v rámci zájezdu).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Výjezdový cestovní ruch</w:t>
      </w:r>
      <w:r>
        <w:rPr>
          <w:rFonts w:ascii="Arial" w:hAnsi="Arial" w:cs="Arial"/>
          <w:lang w:val="cs-CZ"/>
        </w:rPr>
        <w:t xml:space="preserve"> zahrnuje návštěvu a pobyt rezidentů mimo území České republiky. </w:t>
      </w:r>
      <w:r>
        <w:rPr>
          <w:rFonts w:ascii="Arial" w:hAnsi="Arial" w:cs="Arial"/>
          <w:b/>
          <w:bCs/>
          <w:lang w:val="cs-CZ"/>
        </w:rPr>
        <w:t>Spotřeba ve výjezdovém cestovním ruchu</w:t>
      </w:r>
      <w:r>
        <w:rPr>
          <w:rFonts w:ascii="Arial" w:hAnsi="Arial" w:cs="Arial"/>
          <w:lang w:val="cs-CZ"/>
        </w:rPr>
        <w:t xml:space="preserve"> je chápána jako spotřeba rezidentských návštěvníků mimo území vlastní země (tj. všechny výdaje rezidentů za cestovní ruch realizované v zahraničí). Nezahrnuje výrobky zakoupené na cestu nebo po cestě v České republice (ty patří do spotřeby v domácím cestovním ruchu).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Saldo cestovního ruchu</w:t>
      </w:r>
      <w:r>
        <w:rPr>
          <w:rFonts w:ascii="Arial" w:hAnsi="Arial" w:cs="Arial"/>
          <w:lang w:val="cs-CZ"/>
        </w:rPr>
        <w:t xml:space="preserve"> vyjadřuje rozdíl mezi objemy finančních prostředků mířících ze zahraničí do České republiky a naopak.</w:t>
      </w: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bCs/>
          <w:lang w:val="cs-CZ"/>
        </w:rPr>
        <w:t>18</w:t>
      </w:r>
      <w:r>
        <w:rPr>
          <w:rFonts w:ascii="Arial" w:hAnsi="Arial" w:cs="Arial"/>
          <w:lang w:val="cs-CZ"/>
        </w:rPr>
        <w:t xml:space="preserve">-17. </w:t>
      </w:r>
      <w:r>
        <w:rPr>
          <w:rFonts w:ascii="Arial" w:hAnsi="Arial" w:cs="Arial"/>
          <w:b/>
          <w:bCs/>
          <w:lang w:val="cs-CZ"/>
        </w:rPr>
        <w:t>Tvorba hrubého fixního kapitálu (THFK) v cestovním ruchu</w:t>
      </w:r>
    </w:p>
    <w:p w:rsidR="00AD50E1" w:rsidRDefault="00AD50E1" w:rsidP="00856909">
      <w:pPr>
        <w:widowControl/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Tvorba hrubého fixního kapitálu v cestovním ruchu</w:t>
      </w:r>
      <w:r>
        <w:rPr>
          <w:rFonts w:ascii="Arial" w:hAnsi="Arial" w:cs="Arial"/>
          <w:lang w:val="cs-CZ"/>
        </w:rPr>
        <w:t xml:space="preserve"> zahrnuje pořízení a úbytky hmotných (P.511) a nehmotných fixních aktiv (P.512) a zvýšení hodnoty nevyráběných nefinančních aktiv (P.513). Pořízení fixních aktiv tvoří nové investice, investice ve vlastní režii, technické zhodnocení (rekonstrukce, modernizace), nákupy a bezúplatná nabytí stávajícího dlouhodobého majetku pro účely cestovního ruchu. Úbytky fixních aktiv představují prodeje a bezúplatná předání stávajícího dlouhodobého majetku pro účely cestovního ruchu.</w:t>
      </w: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suppressAutoHyphens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Tab. </w:t>
      </w:r>
      <w:r>
        <w:rPr>
          <w:rFonts w:ascii="Arial" w:hAnsi="Arial" w:cs="Arial"/>
          <w:b/>
          <w:bCs/>
          <w:lang w:val="cs-CZ"/>
        </w:rPr>
        <w:t>18</w:t>
      </w:r>
      <w:r>
        <w:rPr>
          <w:rFonts w:ascii="Arial" w:hAnsi="Arial" w:cs="Arial"/>
          <w:lang w:val="cs-CZ"/>
        </w:rPr>
        <w:t xml:space="preserve">-18. </w:t>
      </w:r>
      <w:r>
        <w:rPr>
          <w:rFonts w:ascii="Arial" w:hAnsi="Arial" w:cs="Arial"/>
          <w:b/>
          <w:bCs/>
          <w:lang w:val="cs-CZ"/>
        </w:rPr>
        <w:t>Modul zam</w:t>
      </w:r>
      <w:r>
        <w:rPr>
          <w:rFonts w:ascii="Arial" w:hAnsi="Arial" w:cs="Arial" w:hint="eastAsia"/>
          <w:b/>
          <w:bCs/>
          <w:lang w:val="cs-CZ"/>
        </w:rPr>
        <w:t>ě</w:t>
      </w:r>
      <w:r>
        <w:rPr>
          <w:rFonts w:ascii="Arial" w:hAnsi="Arial" w:cs="Arial"/>
          <w:b/>
          <w:bCs/>
          <w:lang w:val="cs-CZ"/>
        </w:rPr>
        <w:t xml:space="preserve">stnanosti cestovního ruchu </w:t>
      </w:r>
      <w:r>
        <w:rPr>
          <w:rFonts w:ascii="Arial" w:hAnsi="Arial" w:cs="Arial" w:hint="eastAsia"/>
          <w:b/>
          <w:bCs/>
          <w:lang w:val="cs-CZ"/>
        </w:rPr>
        <w:t>Č</w:t>
      </w:r>
      <w:r>
        <w:rPr>
          <w:rFonts w:ascii="Arial" w:hAnsi="Arial" w:cs="Arial"/>
          <w:b/>
          <w:bCs/>
          <w:lang w:val="cs-CZ"/>
        </w:rPr>
        <w:t>eské republiky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Počet zaměstnaných osob v cestovním ruchu</w:t>
      </w:r>
      <w:r>
        <w:rPr>
          <w:rFonts w:ascii="Arial" w:hAnsi="Arial" w:cs="Arial"/>
          <w:lang w:val="cs-CZ"/>
        </w:rPr>
        <w:t xml:space="preserve"> udává roční průměr počtu všech fyzických osob, které pracují v odvětví cestovního ruchu v hlavním zaměstnání nebo které dočasně nepracují, ale mají tzv. formální pracovní poměr. Zahrnuje počet zaměstnanců i osoby </w:t>
      </w:r>
      <w:proofErr w:type="spellStart"/>
      <w:r>
        <w:rPr>
          <w:rFonts w:ascii="Arial" w:hAnsi="Arial" w:cs="Arial"/>
          <w:lang w:val="cs-CZ"/>
        </w:rPr>
        <w:t>sebezaměstnané</w:t>
      </w:r>
      <w:proofErr w:type="spellEnd"/>
      <w:r>
        <w:rPr>
          <w:rFonts w:ascii="Arial" w:hAnsi="Arial" w:cs="Arial"/>
          <w:lang w:val="cs-CZ"/>
        </w:rPr>
        <w:t>.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Počet pracovních míst v cestovním ruchu</w:t>
      </w:r>
      <w:r>
        <w:rPr>
          <w:rFonts w:ascii="Arial" w:hAnsi="Arial" w:cs="Arial"/>
          <w:lang w:val="cs-CZ"/>
        </w:rPr>
        <w:t xml:space="preserve"> zahrnuje navíc druhá a další zaměstnání a zároveň je přepočítán na ekvivalent plné pracovní doby (plný úvazek).</w:t>
      </w:r>
    </w:p>
    <w:p w:rsidR="00AD50E1" w:rsidRPr="00DD30B4" w:rsidRDefault="00AD50E1" w:rsidP="00856909">
      <w:pPr>
        <w:pStyle w:val="Zkladntext2"/>
        <w:widowControl/>
        <w:spacing w:before="120"/>
        <w:ind w:firstLine="709"/>
      </w:pPr>
      <w:r w:rsidRPr="00DD30B4">
        <w:rPr>
          <w:b/>
          <w:bCs/>
        </w:rPr>
        <w:t>Podíly cestovního ruchu</w:t>
      </w:r>
      <w:r w:rsidRPr="00DD30B4">
        <w:t xml:space="preserve"> na hlavních makroekonomických ukazatelích vyjadřují tzv. přímý vliv cestovního ruchu.</w:t>
      </w:r>
    </w:p>
    <w:p w:rsidR="00AD50E1" w:rsidRPr="00DD30B4" w:rsidRDefault="00AD50E1" w:rsidP="00856909">
      <w:pPr>
        <w:pStyle w:val="Zkladntext2"/>
        <w:widowControl/>
      </w:pPr>
    </w:p>
    <w:p w:rsidR="00AD50E1" w:rsidRPr="00DD30B4" w:rsidRDefault="00AD50E1" w:rsidP="00856909">
      <w:pPr>
        <w:pStyle w:val="Zkladntext2"/>
        <w:widowControl/>
      </w:pP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ind w:firstLine="709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*          *          *</w:t>
      </w: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  <w:lang w:val="cs-CZ"/>
        </w:rPr>
      </w:pPr>
    </w:p>
    <w:p w:rsidR="00AD50E1" w:rsidRDefault="00AD50E1" w:rsidP="0085690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  <w:lang w:val="cs-CZ"/>
        </w:rPr>
      </w:pPr>
    </w:p>
    <w:p w:rsidR="00AD50E1" w:rsidRPr="00DD30B4" w:rsidRDefault="00AD50E1" w:rsidP="00856909">
      <w:pPr>
        <w:pStyle w:val="Zkladntextodsazen2"/>
        <w:widowControl/>
        <w:spacing w:before="0"/>
        <w:ind w:left="0" w:firstLine="709"/>
        <w:rPr>
          <w:rFonts w:ascii="Arial" w:hAnsi="Arial" w:cs="Arial"/>
        </w:rPr>
      </w:pPr>
      <w:r w:rsidRPr="00DD30B4">
        <w:rPr>
          <w:rFonts w:ascii="Arial" w:hAnsi="Arial" w:cs="Arial"/>
        </w:rPr>
        <w:t xml:space="preserve">Další informace jsou dostupné na internetových stránkách </w:t>
      </w:r>
      <w:r w:rsidRPr="00DD30B4">
        <w:rPr>
          <w:rFonts w:ascii="Arial" w:hAnsi="Arial" w:cs="Arial" w:hint="eastAsia"/>
        </w:rPr>
        <w:t>Č</w:t>
      </w:r>
      <w:r w:rsidRPr="00DD30B4">
        <w:rPr>
          <w:rFonts w:ascii="Arial" w:hAnsi="Arial" w:cs="Arial"/>
        </w:rPr>
        <w:t xml:space="preserve">eského statistického </w:t>
      </w:r>
      <w:r w:rsidRPr="00DD30B4">
        <w:rPr>
          <w:rFonts w:ascii="Arial" w:hAnsi="Arial" w:cs="Arial" w:hint="eastAsia"/>
        </w:rPr>
        <w:t>úř</w:t>
      </w:r>
      <w:r w:rsidRPr="00DD30B4">
        <w:rPr>
          <w:rFonts w:ascii="Arial" w:hAnsi="Arial" w:cs="Arial"/>
        </w:rPr>
        <w:t>adu:</w:t>
      </w:r>
    </w:p>
    <w:p w:rsidR="0054710E" w:rsidRDefault="00AD50E1" w:rsidP="00856909">
      <w:pPr>
        <w:pStyle w:val="Zkladntext2"/>
        <w:widowControl/>
        <w:spacing w:before="120"/>
      </w:pPr>
      <w:r w:rsidRPr="00DD30B4">
        <w:rPr>
          <w:rFonts w:ascii="Segoe UI" w:hAnsi="Segoe UI" w:cs="Segoe UI"/>
        </w:rPr>
        <w:t>–</w:t>
      </w:r>
      <w:r w:rsidRPr="00DD30B4">
        <w:rPr>
          <w:rFonts w:ascii="Segoe UI" w:hAnsi="Segoe UI" w:cs="Segoe UI"/>
          <w:u w:val="single"/>
        </w:rPr>
        <w:t> </w:t>
      </w:r>
      <w:hyperlink r:id="rId7" w:history="1">
        <w:r w:rsidR="005F7B4D" w:rsidRPr="00154B68">
          <w:rPr>
            <w:rStyle w:val="Hypertextovodkaz"/>
            <w:rFonts w:ascii="Segoe UI" w:hAnsi="Segoe UI" w:cs="Segoe UI"/>
          </w:rPr>
          <w:t>www.czso.cz/csu/</w:t>
        </w:r>
        <w:bookmarkStart w:id="0" w:name="_GoBack"/>
        <w:bookmarkEnd w:id="0"/>
        <w:r w:rsidR="005F7B4D" w:rsidRPr="00154B68">
          <w:rPr>
            <w:rStyle w:val="Hypertextovodkaz"/>
            <w:rFonts w:ascii="Segoe UI" w:hAnsi="Segoe UI" w:cs="Segoe UI"/>
          </w:rPr>
          <w:t>czso/cestovni_ruch</w:t>
        </w:r>
      </w:hyperlink>
    </w:p>
    <w:sectPr w:rsidR="0054710E" w:rsidSect="0016503F">
      <w:footnotePr>
        <w:numRestart w:val="eachSect"/>
      </w:footnotePr>
      <w:endnotePr>
        <w:numFmt w:val="decimal"/>
      </w:endnotePr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3E1E"/>
    <w:multiLevelType w:val="hybridMultilevel"/>
    <w:tmpl w:val="0448B5A0"/>
    <w:lvl w:ilvl="0" w:tplc="6ECAB568">
      <w:start w:val="1"/>
      <w:numFmt w:val="upperLetter"/>
      <w:pStyle w:val="Nadpis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numRestart w:val="eachSect"/>
  </w:footnotePr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A7D"/>
    <w:rsid w:val="00000A90"/>
    <w:rsid w:val="00011948"/>
    <w:rsid w:val="00030E44"/>
    <w:rsid w:val="00062CDC"/>
    <w:rsid w:val="00085A7D"/>
    <w:rsid w:val="00085F1C"/>
    <w:rsid w:val="000B1B79"/>
    <w:rsid w:val="000C74FE"/>
    <w:rsid w:val="001038CB"/>
    <w:rsid w:val="00115C6E"/>
    <w:rsid w:val="00126D7A"/>
    <w:rsid w:val="00134DCA"/>
    <w:rsid w:val="00160537"/>
    <w:rsid w:val="0016503F"/>
    <w:rsid w:val="00177605"/>
    <w:rsid w:val="0018065B"/>
    <w:rsid w:val="0018635B"/>
    <w:rsid w:val="001A1FDC"/>
    <w:rsid w:val="001D71A0"/>
    <w:rsid w:val="001E3653"/>
    <w:rsid w:val="001E7E5C"/>
    <w:rsid w:val="0023206A"/>
    <w:rsid w:val="00285CC9"/>
    <w:rsid w:val="002915EF"/>
    <w:rsid w:val="002A16D3"/>
    <w:rsid w:val="002A18B0"/>
    <w:rsid w:val="002A457F"/>
    <w:rsid w:val="00312923"/>
    <w:rsid w:val="00340E46"/>
    <w:rsid w:val="00361029"/>
    <w:rsid w:val="003E29C7"/>
    <w:rsid w:val="00400E61"/>
    <w:rsid w:val="00417114"/>
    <w:rsid w:val="00421C96"/>
    <w:rsid w:val="00435AE8"/>
    <w:rsid w:val="00435E6E"/>
    <w:rsid w:val="0044794C"/>
    <w:rsid w:val="004519E6"/>
    <w:rsid w:val="00460D95"/>
    <w:rsid w:val="004828D4"/>
    <w:rsid w:val="004A4F85"/>
    <w:rsid w:val="004C5995"/>
    <w:rsid w:val="004E0F88"/>
    <w:rsid w:val="0050671F"/>
    <w:rsid w:val="005139B3"/>
    <w:rsid w:val="00516A90"/>
    <w:rsid w:val="00535D97"/>
    <w:rsid w:val="0054710E"/>
    <w:rsid w:val="00547525"/>
    <w:rsid w:val="0056716C"/>
    <w:rsid w:val="005955AA"/>
    <w:rsid w:val="005A7EE2"/>
    <w:rsid w:val="005C3EDD"/>
    <w:rsid w:val="005E7C64"/>
    <w:rsid w:val="005F7B4D"/>
    <w:rsid w:val="0061133A"/>
    <w:rsid w:val="006A4CA9"/>
    <w:rsid w:val="006B7B3E"/>
    <w:rsid w:val="006B7CFF"/>
    <w:rsid w:val="006C5C55"/>
    <w:rsid w:val="006D69D0"/>
    <w:rsid w:val="006F4BE9"/>
    <w:rsid w:val="00723436"/>
    <w:rsid w:val="00782CAA"/>
    <w:rsid w:val="007A0C58"/>
    <w:rsid w:val="007A4CB9"/>
    <w:rsid w:val="007F431F"/>
    <w:rsid w:val="00805398"/>
    <w:rsid w:val="00831010"/>
    <w:rsid w:val="00844CD2"/>
    <w:rsid w:val="00856909"/>
    <w:rsid w:val="00860E9C"/>
    <w:rsid w:val="008701C1"/>
    <w:rsid w:val="00871C6C"/>
    <w:rsid w:val="00885281"/>
    <w:rsid w:val="008C1D0C"/>
    <w:rsid w:val="008C4D3B"/>
    <w:rsid w:val="0091536F"/>
    <w:rsid w:val="00935CE8"/>
    <w:rsid w:val="00972D22"/>
    <w:rsid w:val="009815AA"/>
    <w:rsid w:val="00987918"/>
    <w:rsid w:val="0099712C"/>
    <w:rsid w:val="009D74C7"/>
    <w:rsid w:val="009D7869"/>
    <w:rsid w:val="00A22D72"/>
    <w:rsid w:val="00A4568C"/>
    <w:rsid w:val="00A61710"/>
    <w:rsid w:val="00A83D2F"/>
    <w:rsid w:val="00A9257D"/>
    <w:rsid w:val="00A957EB"/>
    <w:rsid w:val="00AD50E1"/>
    <w:rsid w:val="00B455C6"/>
    <w:rsid w:val="00B74F8A"/>
    <w:rsid w:val="00B84194"/>
    <w:rsid w:val="00B95867"/>
    <w:rsid w:val="00BA2570"/>
    <w:rsid w:val="00BC4203"/>
    <w:rsid w:val="00BD0003"/>
    <w:rsid w:val="00BE0C67"/>
    <w:rsid w:val="00C1674E"/>
    <w:rsid w:val="00C16B4F"/>
    <w:rsid w:val="00C32CB2"/>
    <w:rsid w:val="00C504CB"/>
    <w:rsid w:val="00C813F2"/>
    <w:rsid w:val="00CA58B7"/>
    <w:rsid w:val="00CC007A"/>
    <w:rsid w:val="00CE56A0"/>
    <w:rsid w:val="00CE7F77"/>
    <w:rsid w:val="00D11567"/>
    <w:rsid w:val="00D24E2B"/>
    <w:rsid w:val="00D30A09"/>
    <w:rsid w:val="00D403C4"/>
    <w:rsid w:val="00D6329E"/>
    <w:rsid w:val="00D64A6E"/>
    <w:rsid w:val="00D6689F"/>
    <w:rsid w:val="00D816C4"/>
    <w:rsid w:val="00D91C63"/>
    <w:rsid w:val="00DA5346"/>
    <w:rsid w:val="00DA65BF"/>
    <w:rsid w:val="00DB2123"/>
    <w:rsid w:val="00DF08D5"/>
    <w:rsid w:val="00E10E8D"/>
    <w:rsid w:val="00E16EB4"/>
    <w:rsid w:val="00E265D4"/>
    <w:rsid w:val="00E33D5A"/>
    <w:rsid w:val="00E62C1D"/>
    <w:rsid w:val="00E94093"/>
    <w:rsid w:val="00E94A9E"/>
    <w:rsid w:val="00EA7047"/>
    <w:rsid w:val="00EB1BA0"/>
    <w:rsid w:val="00EB524B"/>
    <w:rsid w:val="00ED031E"/>
    <w:rsid w:val="00EE2DC0"/>
    <w:rsid w:val="00EF56FF"/>
    <w:rsid w:val="00F03476"/>
    <w:rsid w:val="00F036E5"/>
    <w:rsid w:val="00F17BAC"/>
    <w:rsid w:val="00F6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A7D"/>
    <w:pPr>
      <w:widowControl w:val="0"/>
      <w:autoSpaceDE w:val="0"/>
      <w:autoSpaceDN w:val="0"/>
      <w:adjustRightInd w:val="0"/>
    </w:pPr>
    <w:rPr>
      <w:rFonts w:ascii="Times New Roman CE obyeejné" w:eastAsia="Times New Roman" w:hAnsi="Times New Roman CE obyeejné"/>
      <w:lang w:val="en-US"/>
    </w:rPr>
  </w:style>
  <w:style w:type="paragraph" w:styleId="Nadpis2">
    <w:name w:val="heading 2"/>
    <w:basedOn w:val="Normln"/>
    <w:next w:val="Normln"/>
    <w:link w:val="Nadpis2Char"/>
    <w:qFormat/>
    <w:rsid w:val="00085A7D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jc w:val="both"/>
      <w:outlineLvl w:val="1"/>
    </w:pPr>
    <w:rPr>
      <w:b/>
      <w:bCs/>
      <w:lang w:val="cs-CZ"/>
    </w:rPr>
  </w:style>
  <w:style w:type="paragraph" w:styleId="Nadpis5">
    <w:name w:val="heading 5"/>
    <w:basedOn w:val="Normln"/>
    <w:next w:val="Normln"/>
    <w:link w:val="Nadpis5Char"/>
    <w:qFormat/>
    <w:rsid w:val="00085A7D"/>
    <w:pPr>
      <w:keepNext/>
      <w:numPr>
        <w:numId w:val="1"/>
      </w:numPr>
      <w:tabs>
        <w:tab w:val="clear" w:pos="720"/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ind w:left="284" w:hanging="284"/>
      <w:jc w:val="both"/>
      <w:outlineLvl w:val="4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85A7D"/>
    <w:rPr>
      <w:rFonts w:ascii="Times New Roman CE obyeejné" w:eastAsia="Times New Roman" w:hAnsi="Times New Roman CE obyeejné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85A7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jc w:val="both"/>
    </w:pPr>
    <w:rPr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85A7D"/>
    <w:rPr>
      <w:rFonts w:ascii="Times New Roman CE obyeejné" w:eastAsia="Times New Roman" w:hAnsi="Times New Roman CE obyeejné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85A7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before="120"/>
      <w:jc w:val="both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spacing w:before="120"/>
      <w:ind w:left="879" w:hanging="709"/>
      <w:jc w:val="both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085A7D"/>
  </w:style>
  <w:style w:type="character" w:customStyle="1" w:styleId="TextkomenteChar">
    <w:name w:val="Text komentáře Char"/>
    <w:basedOn w:val="Standardnpsmoodstavce"/>
    <w:link w:val="Textkomente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val="en-US" w:eastAsia="cs-CZ"/>
    </w:rPr>
  </w:style>
  <w:style w:type="paragraph" w:styleId="Zkladntext2">
    <w:name w:val="Body Text 2"/>
    <w:basedOn w:val="Normln"/>
    <w:link w:val="Zkladntext2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jc w:val="both"/>
    </w:pPr>
    <w:rPr>
      <w:rFonts w:ascii="Arial" w:hAnsi="Arial" w:cs="Arial"/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85A7D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635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212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7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E"/>
    <w:rPr>
      <w:rFonts w:ascii="Tahoma" w:eastAsia="Times New Roman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1674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7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7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zso.cz/csu/czso/cestovni_ru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obchod_pohostinstvi_ubytova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0C15-C199-449C-88C5-0D5BAFD3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11663</CharactersWithSpaces>
  <SharedDoc>false</SharedDoc>
  <HLinks>
    <vt:vector size="24" baseType="variant">
      <vt:variant>
        <vt:i4>2293824</vt:i4>
      </vt:variant>
      <vt:variant>
        <vt:i4>9</vt:i4>
      </vt:variant>
      <vt:variant>
        <vt:i4>0</vt:i4>
      </vt:variant>
      <vt:variant>
        <vt:i4>5</vt:i4>
      </vt:variant>
      <vt:variant>
        <vt:lpwstr>http://www.tourism.cz/mapa/mapa.phtml?id_objektu=113950</vt:lpwstr>
      </vt:variant>
      <vt:variant>
        <vt:lpwstr/>
      </vt:variant>
      <vt:variant>
        <vt:i4>8323119</vt:i4>
      </vt:variant>
      <vt:variant>
        <vt:i4>6</vt:i4>
      </vt:variant>
      <vt:variant>
        <vt:i4>0</vt:i4>
      </vt:variant>
      <vt:variant>
        <vt:i4>5</vt:i4>
      </vt:variant>
      <vt:variant>
        <vt:lpwstr>http://www.czechtourism.cz/</vt:lpwstr>
      </vt:variant>
      <vt:variant>
        <vt:lpwstr/>
      </vt:variant>
      <vt:variant>
        <vt:i4>5439600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http://www.czso.cz/csu/redakce.nsf/i/cestovni_ruch</vt:lpwstr>
      </vt:variant>
      <vt:variant>
        <vt:lpwstr/>
      </vt:variant>
      <vt:variant>
        <vt:i4>5242967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http://www.czso.cz/csu/redakce.nsf/i/obchod_pohostinstvi_ubytovani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havlinova2503</dc:creator>
  <cp:lastModifiedBy>palivcova5849</cp:lastModifiedBy>
  <cp:revision>2</cp:revision>
  <cp:lastPrinted>2015-08-04T11:02:00Z</cp:lastPrinted>
  <dcterms:created xsi:type="dcterms:W3CDTF">2016-06-03T07:35:00Z</dcterms:created>
  <dcterms:modified xsi:type="dcterms:W3CDTF">2016-06-03T07:35:00Z</dcterms:modified>
</cp:coreProperties>
</file>