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6C0F" w14:textId="15378885" w:rsidR="0038123E" w:rsidRDefault="6E1EAC99" w:rsidP="001224E5">
      <w:pPr>
        <w:pStyle w:val="Nadpis1"/>
      </w:pPr>
      <w:bookmarkStart w:id="0" w:name="_Toc176767109"/>
      <w:bookmarkStart w:id="1" w:name="_Toc193366677"/>
      <w:r>
        <w:t>6. Trh práce</w:t>
      </w:r>
      <w:bookmarkEnd w:id="1"/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7"/>
        <w:gridCol w:w="222"/>
        <w:gridCol w:w="7675"/>
      </w:tblGrid>
      <w:tr w:rsidR="00A40EDD" w:rsidRPr="009F0D7F" w14:paraId="39871AFF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3A78C152" w14:textId="77777777" w:rsidR="00A40EDD" w:rsidRPr="00A43D45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0"/>
              </w:rPr>
            </w:pPr>
            <w:r w:rsidRPr="00A43D45">
              <w:rPr>
                <w:color w:val="0D0D0D" w:themeColor="text1" w:themeTint="F2"/>
                <w:spacing w:val="0"/>
              </w:rPr>
              <w:t xml:space="preserve">Nerovnoměrné oživení ekonomiky v roce 2024 vedlo patrně k větším pohybům lidí na trhu práce. </w:t>
            </w:r>
          </w:p>
          <w:p w14:paraId="459D3A56" w14:textId="77777777" w:rsidR="00A40EDD" w:rsidRPr="00A43D45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BD3BD06" w14:textId="77777777" w:rsidR="00A40EDD" w:rsidRPr="00A43D45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45076978" w14:textId="77777777" w:rsidR="00A40EDD" w:rsidRPr="00A43D45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4865F5B6" w14:textId="77777777" w:rsidR="00A40EDD" w:rsidRPr="00A43D45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0"/>
              </w:rPr>
            </w:pPr>
            <w:r w:rsidRPr="00A43D45">
              <w:rPr>
                <w:color w:val="0D0D0D" w:themeColor="text1" w:themeTint="F2"/>
                <w:spacing w:val="0"/>
              </w:rPr>
              <w:t>Meziroční růst kupní síly mezd se loni obnovil a ty tak začaly postupně eliminovat své hluboké ztráty z let 2022 i 2023.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A902E26" w14:textId="77777777" w:rsidR="00A40EDD" w:rsidRPr="00A43D45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584711EA" w14:textId="77777777" w:rsidR="00A40EDD" w:rsidRPr="00C058D0" w:rsidRDefault="00A40EDD" w:rsidP="002B48B4">
            <w:pPr>
              <w:spacing w:after="200"/>
              <w:rPr>
                <w:color w:val="0D0D0D" w:themeColor="text1" w:themeTint="F2"/>
                <w:spacing w:val="-4"/>
                <w:szCs w:val="20"/>
              </w:rPr>
            </w:pPr>
            <w:r>
              <w:rPr>
                <w:color w:val="0D0D0D" w:themeColor="text1" w:themeTint="F2"/>
                <w:spacing w:val="-4"/>
                <w:szCs w:val="20"/>
              </w:rPr>
              <w:t>V roce 2024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 se na trhu práce stále setrvačně projevovaly dozvuky mírné recese, je</w:t>
            </w:r>
            <w:r>
              <w:rPr>
                <w:color w:val="0D0D0D" w:themeColor="text1" w:themeTint="F2"/>
                <w:spacing w:val="-4"/>
                <w:szCs w:val="20"/>
              </w:rPr>
              <w:t>ž postihla ekonomiku v roce předchozím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. Současně však byly stále více zřejmé stopy oživení,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a to 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zejména v odvětvích, jež těžily z posilující tuzemské poptávky. Přetrval mírný, dosti diferencovaný růst zaměstnanosti. </w:t>
            </w:r>
            <w:r>
              <w:rPr>
                <w:color w:val="0D0D0D" w:themeColor="text1" w:themeTint="F2"/>
                <w:spacing w:val="-4"/>
                <w:szCs w:val="20"/>
              </w:rPr>
              <w:t>P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>odnikatelé ve většin</w:t>
            </w:r>
            <w:r>
              <w:rPr>
                <w:color w:val="0D0D0D" w:themeColor="text1" w:themeTint="F2"/>
                <w:spacing w:val="-4"/>
                <w:szCs w:val="20"/>
              </w:rPr>
              <w:t>ě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 odvětví ekonomiky na konci letošního roku lehce vylepšili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 krátkodobá očekávání zaměstnanosti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. V průmyslu ale zůstávala situace obtížná. I přes nejisté ekonomické výhledy firmy stále intenzivně poptávaly levnější pracovní sílu ze zahraničí a souběžně pokračovala </w:t>
            </w:r>
            <w:r>
              <w:rPr>
                <w:color w:val="0D0D0D" w:themeColor="text1" w:themeTint="F2"/>
                <w:spacing w:val="-4"/>
                <w:szCs w:val="20"/>
              </w:rPr>
              <w:t>také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 integrace ukrajinských uprchlíků v Česku na pracovní trh, což zčásti řešilo dlouhodobější nedostatek volných pracovních sil v tuzemsku. Nezaměstnanost setrvala bez výraznějších změn na velmi nízké úrovni</w:t>
            </w:r>
            <w:r>
              <w:rPr>
                <w:color w:val="0D0D0D" w:themeColor="text1" w:themeTint="F2"/>
                <w:spacing w:val="-4"/>
                <w:szCs w:val="20"/>
              </w:rPr>
              <w:t>. P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racovníci propuštění z průmyslových podniků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totiž 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mohli ve většině případů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nalézt nové místo v jiných odvětvích 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>bez výraznějších obtíží</w:t>
            </w:r>
            <w:r>
              <w:rPr>
                <w:color w:val="0D0D0D" w:themeColor="text1" w:themeTint="F2"/>
                <w:spacing w:val="-4"/>
                <w:szCs w:val="20"/>
              </w:rPr>
              <w:t>, a to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 i díky vyšší aktivitě úřadů práce v oblasti rekvalifikací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 (ÚP). Pokračoval poměrn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>ě sviž</w:t>
            </w:r>
            <w:r>
              <w:rPr>
                <w:color w:val="0D0D0D" w:themeColor="text1" w:themeTint="F2"/>
                <w:spacing w:val="-4"/>
                <w:szCs w:val="20"/>
              </w:rPr>
              <w:t>ný nominální růst mezd, tažený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 xml:space="preserve"> </w:t>
            </w:r>
            <w:r>
              <w:rPr>
                <w:color w:val="0D0D0D" w:themeColor="text1" w:themeTint="F2"/>
                <w:spacing w:val="-4"/>
                <w:szCs w:val="20"/>
              </w:rPr>
              <w:t xml:space="preserve">hlavně </w:t>
            </w:r>
            <w:r w:rsidRPr="00C058D0">
              <w:rPr>
                <w:color w:val="0D0D0D" w:themeColor="text1" w:themeTint="F2"/>
                <w:spacing w:val="-4"/>
                <w:szCs w:val="20"/>
              </w:rPr>
              <w:t>tržními odvětvími služeb. To při stabilizaci cenové hladiny v ekonomice vedlo k obnovení růstu reálných mezd, jenž v celoročním pohledu nastal ve všech hlavních odvětvích. Kupní síla zaměstnaneckých výdělků ovšem stále nedosahovala ani úrovně z roku 2019.</w:t>
            </w:r>
          </w:p>
        </w:tc>
      </w:tr>
      <w:tr w:rsidR="00A40EDD" w:rsidRPr="009F0D7F" w14:paraId="483A6B5B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0F236C13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Růst zaměstnanosti loni zmírnil, absolutně však v Česku pracovalo nejvíce lidí v novodobé historii.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5CF5DAA9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5ED2635A" w14:textId="77777777" w:rsidR="00A40EDD" w:rsidRPr="00C058D0" w:rsidRDefault="00A40EDD" w:rsidP="002B48B4">
            <w:pPr>
              <w:rPr>
                <w:spacing w:val="-4"/>
              </w:rPr>
            </w:pPr>
            <w:r w:rsidRPr="00C058D0">
              <w:rPr>
                <w:spacing w:val="-4"/>
              </w:rPr>
              <w:t>V roce 2024 pokračoval trend mírného růstu zaměstnanosti trvající od ústupu pandemie</w:t>
            </w:r>
            <w:r>
              <w:rPr>
                <w:spacing w:val="-4"/>
              </w:rPr>
              <w:t xml:space="preserve"> covid-19</w:t>
            </w:r>
            <w:r w:rsidRPr="00C058D0">
              <w:rPr>
                <w:spacing w:val="-4"/>
              </w:rPr>
              <w:t>. Celková zaměstnanost</w:t>
            </w:r>
            <w:r w:rsidRPr="00C058D0">
              <w:rPr>
                <w:color w:val="0D0D0D" w:themeColor="text1" w:themeTint="F2"/>
                <w:spacing w:val="-4"/>
                <w:vertAlign w:val="superscript"/>
              </w:rPr>
              <w:footnoteReference w:id="1"/>
            </w:r>
            <w:r w:rsidRPr="00C058D0">
              <w:rPr>
                <w:spacing w:val="-4"/>
              </w:rPr>
              <w:t xml:space="preserve"> se meziročně zvýšila o 0,3 %, což ovšem znamenalo </w:t>
            </w:r>
            <w:r>
              <w:rPr>
                <w:spacing w:val="-4"/>
              </w:rPr>
              <w:t xml:space="preserve">lehké zvolnění </w:t>
            </w:r>
            <w:r w:rsidRPr="00C058D0">
              <w:rPr>
                <w:spacing w:val="-4"/>
              </w:rPr>
              <w:t>ve srovnání s dynamikou v předchozích třech letech</w:t>
            </w:r>
            <w:r>
              <w:rPr>
                <w:spacing w:val="-4"/>
              </w:rPr>
              <w:t>.</w:t>
            </w:r>
            <w:r w:rsidRPr="00C058D0">
              <w:rPr>
                <w:spacing w:val="-4"/>
              </w:rPr>
              <w:t xml:space="preserve"> To souvisí i s tím, že ve druhé půli loňského roku počet pracovníků mezikvartálně pouze stagnoval, neboť se setrvačně projevoval vliv nedávné stagnace výkonu celé ekonomiky. I přesto během roku vystoupala zaměstnanost na rekordních 5,41 mil. osob a ve srovnání s maximální hodnotou z období poslední konjunktury (4. čtvrtletí 2018) byla vyšší o 0,6 %, z převážné části zásluhou rozvoje veřejných služeb. Současně také nelze opomenout, že tempo růstu zaměstnanosti v Česku je ve srovnání s většinou států EU dlouhodobě pomalejší</w:t>
            </w:r>
            <w:r w:rsidRPr="00C058D0">
              <w:rPr>
                <w:rStyle w:val="Znakapoznpodarou"/>
                <w:color w:val="0D0D0D" w:themeColor="text1" w:themeTint="F2"/>
                <w:spacing w:val="-4"/>
              </w:rPr>
              <w:footnoteReference w:id="2"/>
            </w:r>
            <w:r w:rsidRPr="00C058D0">
              <w:rPr>
                <w:spacing w:val="-4"/>
              </w:rPr>
              <w:t>.</w:t>
            </w:r>
          </w:p>
        </w:tc>
      </w:tr>
      <w:tr w:rsidR="00A40EDD" w:rsidRPr="009F0D7F" w14:paraId="28CE8F68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04355EF9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K růstu zaměstnanosti nadále přispívaly zejména veřejné služby. Dařilo se však i většině ostatních odvětví terciárního sektoru ekonomiky.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E8932ED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407377FA" w14:textId="77777777" w:rsidR="00A40EDD" w:rsidRPr="00C058D0" w:rsidRDefault="00A40EDD" w:rsidP="002B48B4">
            <w:pPr>
              <w:spacing w:after="200"/>
              <w:rPr>
                <w:spacing w:val="-4"/>
              </w:rPr>
            </w:pPr>
            <w:r w:rsidRPr="00C058D0">
              <w:rPr>
                <w:spacing w:val="-4"/>
              </w:rPr>
              <w:t>Loni přispěli</w:t>
            </w:r>
            <w:r>
              <w:rPr>
                <w:spacing w:val="-4"/>
              </w:rPr>
              <w:t xml:space="preserve"> k</w:t>
            </w:r>
            <w:r w:rsidRPr="00C058D0">
              <w:rPr>
                <w:spacing w:val="-4"/>
              </w:rPr>
              <w:t xml:space="preserve"> růstu celkové zaměstnanosti podobným dílem zaměstnanci (jejich počet vzrostl o 0,2 %) i sebezaměstnaní (+0,9 %). Z pohledu hlavních odvětví přispěly tradičně nejvíce veřejné služby</w:t>
            </w:r>
            <w:r w:rsidRPr="00C058D0">
              <w:rPr>
                <w:rStyle w:val="Znakapoznpodarou"/>
                <w:spacing w:val="-4"/>
              </w:rPr>
              <w:footnoteReference w:id="3"/>
            </w:r>
            <w:r w:rsidRPr="00C058D0">
              <w:rPr>
                <w:spacing w:val="-4"/>
              </w:rPr>
              <w:t>, kde loni, stejně jako v předchozím roce, přibyl</w:t>
            </w:r>
            <w:r>
              <w:rPr>
                <w:spacing w:val="-4"/>
              </w:rPr>
              <w:t>a</w:t>
            </w:r>
            <w:r w:rsidRPr="00C058D0">
              <w:rPr>
                <w:spacing w:val="-4"/>
              </w:rPr>
              <w:t xml:space="preserve"> necel</w:t>
            </w:r>
            <w:r>
              <w:rPr>
                <w:spacing w:val="-4"/>
              </w:rPr>
              <w:t>á</w:t>
            </w:r>
            <w:r w:rsidRPr="00C058D0">
              <w:rPr>
                <w:spacing w:val="-4"/>
              </w:rPr>
              <w:t xml:space="preserve"> 2 % pracovníků</w:t>
            </w:r>
            <w:r>
              <w:rPr>
                <w:spacing w:val="-4"/>
              </w:rPr>
              <w:t>.</w:t>
            </w:r>
            <w:r w:rsidRPr="00C058D0">
              <w:rPr>
                <w:spacing w:val="-4"/>
              </w:rPr>
              <w:t xml:space="preserve"> V průběhu roku 2024 zde navíc růst zaměstnanost</w:t>
            </w:r>
            <w:r>
              <w:rPr>
                <w:spacing w:val="-4"/>
              </w:rPr>
              <w:t>i</w:t>
            </w:r>
            <w:r w:rsidRPr="00C058D0">
              <w:rPr>
                <w:spacing w:val="-4"/>
              </w:rPr>
              <w:t xml:space="preserve"> mírně sílil (ve 4. čtvrtletí až na 2,5 %). Tyto služby tak reagovaly na vysokou poptávku spojenou s dlouhodobějšími změnami ve věkové skladbě populace (v oblasti vzdělávání, zdravotní a sociální péči). V celoročním pohledu se dařilo i váhově významnému uskupení odvětví obchod, doprava, ubytování a pohostinství (1,0 %), celková zaměstnanost zde však stále </w:t>
            </w:r>
            <w:r>
              <w:rPr>
                <w:spacing w:val="-4"/>
              </w:rPr>
              <w:t xml:space="preserve">lehce zaostávala </w:t>
            </w:r>
            <w:r w:rsidRPr="00C058D0">
              <w:rPr>
                <w:spacing w:val="-4"/>
              </w:rPr>
              <w:t>za rokem 2019 (−10 tis. osob). Je to dáno i horším vývojem v oblasti dopravy a skladování, kde poptávku po zaměstnancích loni limitoval slabší výkon v souvisejícím odvětví průmyslu. Naopak drobným podnikatelům v celém výše uvedeném uskupení se dařilo lépe, což lze přičíst zotavování cestovního ruchu. Dále se rozvíjely také činnost</w:t>
            </w:r>
            <w:r>
              <w:rPr>
                <w:spacing w:val="-4"/>
              </w:rPr>
              <w:t>i</w:t>
            </w:r>
            <w:r w:rsidRPr="00C058D0">
              <w:rPr>
                <w:spacing w:val="-4"/>
              </w:rPr>
              <w:t xml:space="preserve"> v oblasti nemovitostí, což zde vedlo k navýšení počtu zaměstnanců (+2,3 %). Mírněji se zvyšovala celková zaměstnanost v dalších oblastech služeb</w:t>
            </w:r>
            <w:r w:rsidRPr="00C058D0">
              <w:rPr>
                <w:rStyle w:val="Znakapoznpodarou"/>
                <w:spacing w:val="-4"/>
              </w:rPr>
              <w:footnoteReference w:id="4"/>
            </w:r>
            <w:r w:rsidRPr="00C058D0">
              <w:rPr>
                <w:spacing w:val="-4"/>
              </w:rPr>
              <w:t xml:space="preserve">, vyjma informačních a komunikačních činností, </w:t>
            </w:r>
            <w:r w:rsidRPr="00C058D0">
              <w:rPr>
                <w:spacing w:val="-4"/>
              </w:rPr>
              <w:lastRenderedPageBreak/>
              <w:t>kde nastal úbytek poprvé za posledních třináct let (−0,3 %</w:t>
            </w:r>
            <w:r w:rsidRPr="00C058D0">
              <w:rPr>
                <w:spacing w:val="-4"/>
                <w:szCs w:val="20"/>
              </w:rPr>
              <w:t>). Tento pokles se zde týkal výhradně zaměstnanců (−0,7 %)</w:t>
            </w:r>
            <w:r w:rsidRPr="00C058D0">
              <w:rPr>
                <w:rStyle w:val="Znakapoznpodarou"/>
                <w:spacing w:val="-4"/>
                <w:szCs w:val="20"/>
              </w:rPr>
              <w:footnoteReference w:id="5"/>
            </w:r>
            <w:r w:rsidRPr="00C058D0">
              <w:rPr>
                <w:spacing w:val="-4"/>
                <w:szCs w:val="20"/>
              </w:rPr>
              <w:t>. Ovšem i u počtu sebezaměstnaných došlo loni v ICT ve srovnání s předchozími roky k výraznějšímu zvolnění růstového tempa (+2,2 %).</w:t>
            </w:r>
          </w:p>
        </w:tc>
      </w:tr>
      <w:tr w:rsidR="00A40EDD" w:rsidRPr="009F0D7F" w14:paraId="3E528379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17605D9A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 xml:space="preserve">Pokles zaměstnanosti ve zpracovatelském průmyslu se loni prohloubil na 2 % a zasáhl takřka všechny obory. </w:t>
            </w:r>
          </w:p>
          <w:p w14:paraId="66F3A819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2C84A80A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 menším útlumu se nacházelo i stavebnictví, během roku se však stav zlepšoval.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782F631E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4CFA6DC9" w14:textId="77777777" w:rsidR="00A40EDD" w:rsidRPr="00C058D0" w:rsidRDefault="00A40EDD" w:rsidP="002B48B4">
            <w:pPr>
              <w:rPr>
                <w:spacing w:val="-4"/>
              </w:rPr>
            </w:pPr>
            <w:r w:rsidRPr="00C058D0">
              <w:rPr>
                <w:spacing w:val="-4"/>
              </w:rPr>
              <w:t>Růst celkové zaměstnanosti byl po celý loňský rok významně tlumen vývojem ve zpracovatelském průmyslu, kde ubyla rovn</w:t>
            </w:r>
            <w:r>
              <w:rPr>
                <w:spacing w:val="-4"/>
              </w:rPr>
              <w:t>á</w:t>
            </w:r>
            <w:r w:rsidRPr="00C058D0">
              <w:rPr>
                <w:spacing w:val="-4"/>
              </w:rPr>
              <w:t xml:space="preserve"> 2 % pracovních míst (k redukci došlo s</w:t>
            </w:r>
            <w:r>
              <w:rPr>
                <w:spacing w:val="-4"/>
              </w:rPr>
              <w:t> </w:t>
            </w:r>
            <w:r w:rsidRPr="00C058D0">
              <w:rPr>
                <w:spacing w:val="-4"/>
              </w:rPr>
              <w:t>podobnou intenzitou u zaměstnanců i sebezaměstnaných). To souviselo s</w:t>
            </w:r>
            <w:r w:rsidRPr="00C058D0">
              <w:rPr>
                <w:color w:val="0D0D0D" w:themeColor="text1" w:themeTint="F2"/>
                <w:spacing w:val="-4"/>
              </w:rPr>
              <w:t> </w:t>
            </w:r>
            <w:r w:rsidRPr="00C058D0">
              <w:rPr>
                <w:spacing w:val="-4"/>
              </w:rPr>
              <w:t>recesí celého odvětví doprovázenou zesílenými nákladovými tlaky i  oslabenou poptávkou v řadě tradičních exportních oborů (strojírenství, elektrotechnika, hutnictví)</w:t>
            </w:r>
            <w:r w:rsidRPr="00C058D0">
              <w:rPr>
                <w:rStyle w:val="Znakapoznpodarou"/>
                <w:spacing w:val="-4"/>
              </w:rPr>
              <w:footnoteReference w:id="6"/>
            </w:r>
            <w:r w:rsidRPr="00C058D0">
              <w:rPr>
                <w:spacing w:val="-4"/>
              </w:rPr>
              <w:t>. V ostatním průmyslu byla situace příznivější, neboť i mírný růst zam</w:t>
            </w:r>
            <w:r>
              <w:rPr>
                <w:spacing w:val="-4"/>
              </w:rPr>
              <w:t xml:space="preserve">ěstnanosti v energetice, vodním </w:t>
            </w:r>
            <w:r w:rsidRPr="00C058D0">
              <w:rPr>
                <w:spacing w:val="-4"/>
              </w:rPr>
              <w:t xml:space="preserve">a odpadovém hospodářství stačil kompenzovat prohlubující se útlum v relativně malém oboru těžby a dobývání. Ve stavebnictví se loni růst počtu pracovníků po třech letech zastavil, což lze přičíst méně příznivému vývoji u drobných podnikatelů (−1,5 %). V průběhu roku se nicméně situace postupně zlepšovala. V odvětví zemědělství, lesnictví a rybářství zaměstnanost loni druhým rokem v řadě spíše stagnovala, přičemž </w:t>
            </w:r>
            <w:r>
              <w:rPr>
                <w:spacing w:val="-4"/>
              </w:rPr>
              <w:t xml:space="preserve">se </w:t>
            </w:r>
            <w:r w:rsidRPr="00C058D0">
              <w:rPr>
                <w:spacing w:val="-4"/>
              </w:rPr>
              <w:t>nadále zvyšoval počet sebezaměstnaných.</w:t>
            </w:r>
          </w:p>
        </w:tc>
      </w:tr>
      <w:tr w:rsidR="00A40EDD" w:rsidRPr="009F0D7F" w14:paraId="236E3947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7E8A8F6C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Počet odpracovaných hodin v ekonomice nepatrně klesl vlivem nižší potřeby práce v průmyslu i v důsledku rozšiřování zkrácených pracovních úvazků.</w:t>
            </w:r>
          </w:p>
          <w:p w14:paraId="24AD139A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. 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1ED5CE0B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B4E4056" w14:textId="77777777" w:rsidR="00A40EDD" w:rsidRPr="00C058D0" w:rsidRDefault="00A40EDD" w:rsidP="002B48B4">
            <w:pPr>
              <w:spacing w:after="0"/>
              <w:rPr>
                <w:color w:val="0D0D0D" w:themeColor="text1" w:themeTint="F2"/>
                <w:spacing w:val="-4"/>
              </w:rPr>
            </w:pPr>
            <w:r w:rsidRPr="00C058D0">
              <w:rPr>
                <w:color w:val="0D0D0D" w:themeColor="text1" w:themeTint="F2"/>
                <w:spacing w:val="-4"/>
              </w:rPr>
              <w:t>Celkový počet odpracovaných hodin v ekonomice, jenž se v roce 2023 poprvé vrátil na předkrizovou úroveň (rok 2018), se za loňský rok mírně snížil (</w:t>
            </w:r>
            <w:r w:rsidRPr="00C058D0">
              <w:rPr>
                <w:spacing w:val="-4"/>
              </w:rPr>
              <w:t>−</w:t>
            </w:r>
            <w:r w:rsidRPr="00C058D0">
              <w:rPr>
                <w:color w:val="0D0D0D" w:themeColor="text1" w:themeTint="F2"/>
                <w:spacing w:val="-4"/>
              </w:rPr>
              <w:t>0,2 %). Nejvíce narostl v uskupení obchod, doprava, ubytování a pohostinství (1,6 %) a také v primárním sektoru ekonomiky (2,0 %), kde však z velké části závisí na přírodních podmínkách. Naopak největší pokles nastal ve zpracovatelském průmyslu (</w:t>
            </w:r>
            <w:r w:rsidRPr="00C058D0">
              <w:rPr>
                <w:spacing w:val="-4"/>
              </w:rPr>
              <w:t>−</w:t>
            </w:r>
            <w:r w:rsidRPr="00C058D0">
              <w:rPr>
                <w:color w:val="0D0D0D" w:themeColor="text1" w:themeTint="F2"/>
                <w:spacing w:val="-4"/>
              </w:rPr>
              <w:t>2,7 %), kde předčil i tempo poklesu zaměstnanosti ve fyzických osobách. Mohly se zde projevit nižší potřeba přesčasové práce</w:t>
            </w:r>
            <w:r>
              <w:rPr>
                <w:color w:val="0D0D0D" w:themeColor="text1" w:themeTint="F2"/>
                <w:spacing w:val="-4"/>
              </w:rPr>
              <w:t xml:space="preserve">, </w:t>
            </w:r>
            <w:r w:rsidRPr="00C058D0">
              <w:rPr>
                <w:color w:val="0D0D0D" w:themeColor="text1" w:themeTint="F2"/>
                <w:spacing w:val="-4"/>
              </w:rPr>
              <w:t>či dokonce krácení plánovaných směn v některých oborech zasažených recesí. O</w:t>
            </w:r>
            <w:r>
              <w:rPr>
                <w:color w:val="0D0D0D" w:themeColor="text1" w:themeTint="F2"/>
                <w:spacing w:val="-4"/>
              </w:rPr>
              <w:t>d</w:t>
            </w:r>
            <w:r w:rsidRPr="00C058D0">
              <w:rPr>
                <w:color w:val="0D0D0D" w:themeColor="text1" w:themeTint="F2"/>
                <w:spacing w:val="-4"/>
              </w:rPr>
              <w:t>pracovaná doba mírně klesla také v některých odvětvích služeb, v nichž se jinak loni zaměstnanost navyšovala (peněžnictví a pojišťovnictví, veřejné služby). To může souviset s rozšiřováním zkrácených pracovních úvazků</w:t>
            </w:r>
            <w:r w:rsidRPr="00C058D0"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 w:rsidRPr="00C058D0">
              <w:rPr>
                <w:color w:val="0D0D0D" w:themeColor="text1" w:themeTint="F2"/>
                <w:spacing w:val="-4"/>
              </w:rPr>
              <w:t xml:space="preserve"> (vlivem rostoucí zaměstnanost</w:t>
            </w:r>
            <w:r>
              <w:rPr>
                <w:color w:val="0D0D0D" w:themeColor="text1" w:themeTint="F2"/>
                <w:spacing w:val="-4"/>
              </w:rPr>
              <w:t>i</w:t>
            </w:r>
            <w:r w:rsidRPr="00C058D0">
              <w:rPr>
                <w:color w:val="0D0D0D" w:themeColor="text1" w:themeTint="F2"/>
                <w:spacing w:val="-4"/>
              </w:rPr>
              <w:t xml:space="preserve"> žen podpořené integrací uprchlic z Ukrajiny i s loni zavedeným daňovým zvýhodněním zkrácených úvazků) či s poklesem počtu osob pracujících na dohody</w:t>
            </w:r>
            <w:r w:rsidRPr="00C058D0"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 w:rsidRPr="00C058D0">
              <w:rPr>
                <w:color w:val="0D0D0D" w:themeColor="text1" w:themeTint="F2"/>
                <w:spacing w:val="-4"/>
              </w:rPr>
              <w:t xml:space="preserve"> (v důsledku legislativních změn snižujících pro zaměstnance finanční výhodnost těchto forem práce</w:t>
            </w:r>
            <w:r>
              <w:rPr>
                <w:color w:val="0D0D0D" w:themeColor="text1" w:themeTint="F2"/>
                <w:spacing w:val="-4"/>
              </w:rPr>
              <w:t xml:space="preserve">, </w:t>
            </w:r>
            <w:r w:rsidRPr="00C058D0">
              <w:rPr>
                <w:color w:val="0D0D0D" w:themeColor="text1" w:themeTint="F2"/>
                <w:spacing w:val="-4"/>
              </w:rPr>
              <w:t>a naopak zvyšující se administrativní náročnost pro firmy).</w:t>
            </w:r>
          </w:p>
          <w:p w14:paraId="5406C988" w14:textId="77777777" w:rsidR="00A40EDD" w:rsidRPr="00C058D0" w:rsidRDefault="00A40EDD" w:rsidP="002B48B4">
            <w:pPr>
              <w:spacing w:after="0"/>
              <w:rPr>
                <w:spacing w:val="-4"/>
              </w:rPr>
            </w:pPr>
          </w:p>
        </w:tc>
      </w:tr>
      <w:tr w:rsidR="00A40EDD" w:rsidRPr="009F0D7F" w14:paraId="399D11BA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56982E96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Narůstal počet lidí kombinujících více zaměstnání. </w:t>
            </w:r>
          </w:p>
          <w:p w14:paraId="5EB991F9" w14:textId="2B87A46D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1021DDD1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Pokračoval dlouhodobý růst počtu specialistů </w:t>
            </w:r>
            <w:r>
              <w:rPr>
                <w:color w:val="0D0D0D" w:themeColor="text1" w:themeTint="F2"/>
                <w:spacing w:val="-4"/>
              </w:rPr>
              <w:br/>
              <w:t>i pokles v kategorii úředníků.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7E476507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13FBB009" w14:textId="77777777" w:rsidR="00A40EDD" w:rsidRPr="00C058D0" w:rsidRDefault="00A40EDD" w:rsidP="002B48B4">
            <w:pPr>
              <w:rPr>
                <w:color w:val="0D0D0D" w:themeColor="text1" w:themeTint="F2"/>
                <w:spacing w:val="-4"/>
              </w:rPr>
            </w:pPr>
            <w:r w:rsidRPr="00C058D0">
              <w:rPr>
                <w:color w:val="0D0D0D" w:themeColor="text1" w:themeTint="F2"/>
                <w:spacing w:val="-4"/>
              </w:rPr>
              <w:t>Se zvyšující se rolí zkrácených úvazků souvisí i rostoucí podíl osob pracující</w:t>
            </w:r>
            <w:r>
              <w:rPr>
                <w:color w:val="0D0D0D" w:themeColor="text1" w:themeTint="F2"/>
                <w:spacing w:val="-4"/>
              </w:rPr>
              <w:t>ch</w:t>
            </w:r>
            <w:r w:rsidRPr="00C058D0">
              <w:rPr>
                <w:color w:val="0D0D0D" w:themeColor="text1" w:themeTint="F2"/>
                <w:spacing w:val="-4"/>
              </w:rPr>
              <w:t xml:space="preserve"> ve dvou zaměstnáních. Zatímco ve 3. čtvrtletí 2023 bylo takto zaměstnáno 2,8 % pracovníků, o rok později rekordních 3,3 %</w:t>
            </w:r>
            <w:r w:rsidRPr="00C058D0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C058D0">
              <w:rPr>
                <w:color w:val="0D0D0D" w:themeColor="text1" w:themeTint="F2"/>
                <w:spacing w:val="-4"/>
              </w:rPr>
              <w:t>. Vedle těchto posunů probíhají i dlouhodobější strukturální změny zaměstnanosti. Se zvyšující se vzdělaností pracovní síly roste i počet lidí působících v kategorii specialistů (dle údajů VŠPS v 1. až 3. čtvrtletí 2024 meziročně o 8 %). V letošním roce došlo také</w:t>
            </w:r>
            <w:r>
              <w:rPr>
                <w:color w:val="0D0D0D" w:themeColor="text1" w:themeTint="F2"/>
                <w:spacing w:val="-4"/>
              </w:rPr>
              <w:t xml:space="preserve"> k</w:t>
            </w:r>
            <w:r w:rsidRPr="00C058D0">
              <w:rPr>
                <w:color w:val="0D0D0D" w:themeColor="text1" w:themeTint="F2"/>
                <w:spacing w:val="-4"/>
              </w:rPr>
              <w:t xml:space="preserve"> navýšení pracovníků se službách a prodeji (+6 %) či technických a odborných pracovníků (+4 %). Naopak pokračoval pokles v kategorii úředníků (</w:t>
            </w:r>
            <w:r w:rsidRPr="00C058D0">
              <w:rPr>
                <w:spacing w:val="-4"/>
              </w:rPr>
              <w:t>−</w:t>
            </w:r>
            <w:r w:rsidRPr="00C058D0">
              <w:rPr>
                <w:color w:val="0D0D0D" w:themeColor="text1" w:themeTint="F2"/>
                <w:spacing w:val="-4"/>
              </w:rPr>
              <w:t xml:space="preserve">13 %), z významné části vlivem rozvoje digitalizace v oblasti tržních i veřejných služeb. </w:t>
            </w:r>
          </w:p>
        </w:tc>
      </w:tr>
      <w:tr w:rsidR="00A40EDD" w:rsidRPr="009F0D7F" w14:paraId="727B0EF3" w14:textId="77777777" w:rsidTr="304DB734">
        <w:trPr>
          <w:trHeight w:val="15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59BDD8D9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 w:rsidRPr="005609A1">
              <w:rPr>
                <w:color w:val="0D0D0D" w:themeColor="text1" w:themeTint="F2"/>
                <w:spacing w:val="-4"/>
              </w:rPr>
              <w:lastRenderedPageBreak/>
              <w:t>Počet cizinců v zaměstnaneckém postavení vystoupal na rekordních 846 tis. Jejich meziroční přírůstek ale zvolnil, neboť ubylo pracovníků ze střední Evropy. Zrychlil naopak příliv osob z některých asijských států.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6334D339" w14:textId="77777777" w:rsidR="00A40EDD" w:rsidRPr="009F0D7F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7C981C1A" w14:textId="77777777" w:rsidR="00A40EDD" w:rsidRPr="00315567" w:rsidRDefault="00A40EDD" w:rsidP="002B48B4">
            <w:pPr>
              <w:rPr>
                <w:color w:val="0D0D0D" w:themeColor="text1" w:themeTint="F2"/>
                <w:spacing w:val="-4"/>
              </w:rPr>
            </w:pPr>
            <w:r w:rsidRPr="007F303C">
              <w:rPr>
                <w:color w:val="0D0D0D" w:themeColor="text1" w:themeTint="F2"/>
                <w:spacing w:val="-4"/>
              </w:rPr>
              <w:t>Dlouhodobě omezený rezervoár volných pracovních sil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F303C">
              <w:rPr>
                <w:color w:val="0D0D0D" w:themeColor="text1" w:themeTint="F2"/>
                <w:spacing w:val="-4"/>
              </w:rPr>
              <w:t>Česku</w:t>
            </w:r>
            <w:r>
              <w:rPr>
                <w:color w:val="0D0D0D" w:themeColor="text1" w:themeTint="F2"/>
                <w:spacing w:val="-4"/>
              </w:rPr>
              <w:t xml:space="preserve"> (vlivem</w:t>
            </w:r>
            <w:r w:rsidRPr="007F303C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demografického stárnutí i nízké porodnosti) </w:t>
            </w:r>
            <w:r w:rsidRPr="007F303C">
              <w:rPr>
                <w:color w:val="0D0D0D" w:themeColor="text1" w:themeTint="F2"/>
                <w:spacing w:val="-4"/>
              </w:rPr>
              <w:t xml:space="preserve">i sílící tlak firem na optimalizaci výrobních nákladů stimulovaly rostoucí poptávku tuzemských </w:t>
            </w:r>
            <w:r w:rsidRPr="00882ADE">
              <w:rPr>
                <w:color w:val="0D0D0D" w:themeColor="text1" w:themeTint="F2"/>
                <w:spacing w:val="-4"/>
              </w:rPr>
              <w:t xml:space="preserve">zaměstnavatelů po pracovnících ze zahraničí. Snadnějšímu </w:t>
            </w:r>
            <w:r w:rsidRPr="007F303C">
              <w:rPr>
                <w:color w:val="0D0D0D" w:themeColor="text1" w:themeTint="F2"/>
                <w:spacing w:val="-4"/>
              </w:rPr>
              <w:t>zaměstnávání cizinců pomáhají legislativní změny snižující administrativní náročnost v této oblasti. To se týká jak ukrajinských občanů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0"/>
            </w:r>
            <w:r w:rsidRPr="007F303C">
              <w:rPr>
                <w:color w:val="0D0D0D" w:themeColor="text1" w:themeTint="F2"/>
                <w:spacing w:val="-4"/>
              </w:rPr>
              <w:t>, tak i cizinců z dalších, nejen hospodářsky méně vyspělých zemí mimo EU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>
              <w:rPr>
                <w:color w:val="0D0D0D" w:themeColor="text1" w:themeTint="F2"/>
                <w:spacing w:val="-4"/>
              </w:rPr>
              <w:t>. Dlouhodobý příliv</w:t>
            </w:r>
            <w:r w:rsidRPr="007F303C">
              <w:rPr>
                <w:color w:val="0D0D0D" w:themeColor="text1" w:themeTint="F2"/>
                <w:spacing w:val="-4"/>
              </w:rPr>
              <w:t xml:space="preserve"> zahraničních pracovníků do Česka tak pokračoval. Počet pracujících cizi</w:t>
            </w:r>
            <w:r>
              <w:rPr>
                <w:color w:val="0D0D0D" w:themeColor="text1" w:themeTint="F2"/>
                <w:spacing w:val="-4"/>
              </w:rPr>
              <w:t>nců v Česku nicméně loni rostl pomaleji než v předchozích letech. V</w:t>
            </w:r>
            <w:r w:rsidRPr="007F303C">
              <w:rPr>
                <w:color w:val="0D0D0D" w:themeColor="text1" w:themeTint="F2"/>
                <w:spacing w:val="-4"/>
              </w:rPr>
              <w:t> dominantní skupině zaměst</w:t>
            </w:r>
            <w:r>
              <w:rPr>
                <w:color w:val="0D0D0D" w:themeColor="text1" w:themeTint="F2"/>
                <w:spacing w:val="-4"/>
              </w:rPr>
              <w:t>nanců jich na konci prosince bylo na úřadech práce registrováno 846 tis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>
              <w:rPr>
                <w:color w:val="0D0D0D" w:themeColor="text1" w:themeTint="F2"/>
                <w:spacing w:val="-4"/>
              </w:rPr>
              <w:t xml:space="preserve"> (meziročně +22</w:t>
            </w:r>
            <w:r w:rsidRPr="007F303C">
              <w:rPr>
                <w:color w:val="0D0D0D" w:themeColor="text1" w:themeTint="F2"/>
                <w:spacing w:val="-4"/>
              </w:rPr>
              <w:t xml:space="preserve"> tis.</w:t>
            </w:r>
            <w:r>
              <w:rPr>
                <w:color w:val="0D0D0D" w:themeColor="text1" w:themeTint="F2"/>
                <w:spacing w:val="-4"/>
              </w:rPr>
              <w:t>, za dva roky +52 tis.</w:t>
            </w:r>
            <w:r w:rsidRPr="007F303C">
              <w:rPr>
                <w:color w:val="0D0D0D" w:themeColor="text1" w:themeTint="F2"/>
                <w:spacing w:val="-4"/>
              </w:rPr>
              <w:t>)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 w:rsidRPr="007F303C"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4"/>
              </w:rPr>
              <w:t>Nejvíce meziročně přibylo již tradičně občanů Ukrajiny (+19 tis. na 305 tis., z toho ženy +14 tis., na 163 tis.), řádově méně z Ruska a Vietnamu. Relativ</w:t>
            </w:r>
            <w:r w:rsidRPr="007F303C">
              <w:rPr>
                <w:color w:val="0D0D0D" w:themeColor="text1" w:themeTint="F2"/>
                <w:spacing w:val="-4"/>
              </w:rPr>
              <w:t>ně</w:t>
            </w:r>
            <w:r>
              <w:rPr>
                <w:color w:val="0D0D0D" w:themeColor="text1" w:themeTint="F2"/>
                <w:spacing w:val="-4"/>
              </w:rPr>
              <w:t xml:space="preserve"> rychle vzrostl i počet občanů </w:t>
            </w:r>
            <w:r w:rsidRPr="007F303C">
              <w:rPr>
                <w:color w:val="0D0D0D" w:themeColor="text1" w:themeTint="F2"/>
                <w:spacing w:val="-4"/>
              </w:rPr>
              <w:t>Fi</w:t>
            </w:r>
            <w:r>
              <w:rPr>
                <w:color w:val="0D0D0D" w:themeColor="text1" w:themeTint="F2"/>
                <w:spacing w:val="-4"/>
              </w:rPr>
              <w:t>lipín (o polovinu), Číny, Indie, Bangladéše, Kazachstánu a Egypta (shodně zhruba o pětinu). Naopak ubylo pracovníků ze střední Evropy – především Poláků (</w:t>
            </w:r>
            <w:r>
              <w:rPr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5,4 tis., resp. o 11 %) a Maďarů (</w:t>
            </w:r>
            <w:r>
              <w:rPr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7 %) a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>také z Balkánu – Rumunů (</w:t>
            </w:r>
            <w:r>
              <w:rPr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4 %) a Bulharů (</w:t>
            </w:r>
            <w:r>
              <w:rPr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7 %)</w:t>
            </w:r>
            <w:r w:rsidRPr="007F303C">
              <w:rPr>
                <w:color w:val="0D0D0D" w:themeColor="text1" w:themeTint="F2"/>
                <w:spacing w:val="-4"/>
              </w:rPr>
              <w:t>.</w:t>
            </w:r>
            <w:r>
              <w:rPr>
                <w:color w:val="0D0D0D" w:themeColor="text1" w:themeTint="F2"/>
                <w:spacing w:val="-4"/>
              </w:rPr>
              <w:t xml:space="preserve"> Poprvé od roku 2009 se snížil i počet Slováků (</w:t>
            </w:r>
            <w:r>
              <w:rPr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 xml:space="preserve">0,3 %), ti však stále mezi cizinci tvořili za Ukrajinci druhou nejpočetnější skupinu (216 tis.). Celkově cizinců v zaměstnaneckém postavení přibylo loni jen díky ženám, počet mužů se nepatrně snížil (na 482 tis.). </w:t>
            </w:r>
          </w:p>
        </w:tc>
      </w:tr>
      <w:tr w:rsidR="00A40EDD" w:rsidRPr="009F2A8A" w14:paraId="359ED1FA" w14:textId="77777777" w:rsidTr="304DB734">
        <w:trPr>
          <w:trHeight w:val="155"/>
        </w:trPr>
        <w:tc>
          <w:tcPr>
            <w:tcW w:w="1777" w:type="dxa"/>
            <w:vMerge w:val="restart"/>
            <w:shd w:val="clear" w:color="auto" w:fill="auto"/>
            <w:tcMar>
              <w:left w:w="0" w:type="dxa"/>
            </w:tcMar>
          </w:tcPr>
          <w:p w14:paraId="75F963B4" w14:textId="77777777" w:rsidR="00A40EDD" w:rsidRPr="00B43216" w:rsidRDefault="00A40EDD" w:rsidP="002B48B4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2" w:type="dxa"/>
            <w:vMerge w:val="restart"/>
            <w:shd w:val="clear" w:color="auto" w:fill="auto"/>
            <w:tcMar>
              <w:left w:w="0" w:type="dxa"/>
            </w:tcMar>
          </w:tcPr>
          <w:p w14:paraId="7B72F217" w14:textId="77777777" w:rsidR="00A40EDD" w:rsidRPr="00B43216" w:rsidRDefault="00A40EDD" w:rsidP="002B48B4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3BE4662" w14:textId="77777777" w:rsidR="00A40EDD" w:rsidRPr="00CA5850" w:rsidRDefault="00A40EDD" w:rsidP="002B48B4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13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A40EDD" w:rsidRPr="00B43216" w14:paraId="29262475" w14:textId="77777777" w:rsidTr="304DB734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77" w:type="dxa"/>
            <w:vMerge/>
          </w:tcPr>
          <w:p w14:paraId="28EA3C63" w14:textId="77777777" w:rsidR="00A40EDD" w:rsidRPr="00B43216" w:rsidRDefault="00A40EDD" w:rsidP="002B48B4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2" w:type="dxa"/>
            <w:vMerge/>
          </w:tcPr>
          <w:p w14:paraId="3D1B7044" w14:textId="77777777" w:rsidR="00A40EDD" w:rsidRPr="00B43216" w:rsidRDefault="00A40EDD" w:rsidP="002B48B4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</w:tcPr>
          <w:p w14:paraId="60AEB36C" w14:textId="77777777" w:rsidR="00A40EDD" w:rsidRPr="00B43216" w:rsidRDefault="00A40EDD" w:rsidP="002B48B4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240EB0D3" wp14:editId="62A24234">
                  <wp:extent cx="4772025" cy="3420000"/>
                  <wp:effectExtent l="0" t="0" r="0" b="0"/>
                  <wp:docPr id="41" name="Graf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A40EDD" w:rsidRPr="00485ED5" w14:paraId="6185341D" w14:textId="77777777" w:rsidTr="304DB734">
        <w:trPr>
          <w:trHeight w:val="671"/>
        </w:trPr>
        <w:tc>
          <w:tcPr>
            <w:tcW w:w="1777" w:type="dxa"/>
            <w:vMerge/>
            <w:tcMar>
              <w:left w:w="0" w:type="dxa"/>
            </w:tcMar>
          </w:tcPr>
          <w:p w14:paraId="37515766" w14:textId="77777777" w:rsidR="00A40EDD" w:rsidRPr="00B43216" w:rsidRDefault="00A40EDD" w:rsidP="002B48B4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2" w:type="dxa"/>
            <w:vMerge/>
            <w:tcMar>
              <w:left w:w="0" w:type="dxa"/>
            </w:tcMar>
          </w:tcPr>
          <w:p w14:paraId="4692B50D" w14:textId="77777777" w:rsidR="00A40EDD" w:rsidRPr="00B43216" w:rsidRDefault="00A40EDD" w:rsidP="002B48B4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5389B21" w14:textId="77777777" w:rsidR="00A40EDD" w:rsidRDefault="00A40EDD" w:rsidP="002B48B4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67A3E793" w14:textId="77777777" w:rsidR="00A40EDD" w:rsidRDefault="00A40EDD" w:rsidP="002B48B4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15F7E126" w14:textId="77777777" w:rsidR="00A40EDD" w:rsidRPr="00485ED5" w:rsidRDefault="00A40EDD" w:rsidP="002B48B4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(národní účty), Eurostat (konjunkturální průzkumy).</w:t>
            </w:r>
          </w:p>
        </w:tc>
      </w:tr>
      <w:tr w:rsidR="00A40EDD" w:rsidRPr="00D82DBD" w14:paraId="524962E7" w14:textId="77777777" w:rsidTr="304DB734">
        <w:trPr>
          <w:trHeight w:val="14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4E2D170C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Míra zaměstnanosti žen ve věku 15 až 64 let poprvé vystoupala nad </w:t>
            </w:r>
            <w:r>
              <w:rPr>
                <w:color w:val="0D0D0D" w:themeColor="text1" w:themeTint="F2"/>
                <w:spacing w:val="-4"/>
              </w:rPr>
              <w:lastRenderedPageBreak/>
              <w:t>hranici 70 %. I tak patřila v rámci EU pouze k průměrným.</w:t>
            </w:r>
          </w:p>
          <w:p w14:paraId="32DA1162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72D9B743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Míra zaměstnanosti mužů se v Česku na rozdíl od EU loni snižovala. Přesto byla mezi státy střední Evropy stále nejvyšší.</w:t>
            </w:r>
          </w:p>
          <w:p w14:paraId="25587D4D" w14:textId="77777777" w:rsidR="00A40EDD" w:rsidRPr="009A17A0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4ECBC578" w14:textId="77777777" w:rsidR="00A40EDD" w:rsidRPr="009A17A0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7A6365E8" w14:textId="778DDD32" w:rsidR="00A40EDD" w:rsidRPr="009A17A0" w:rsidRDefault="00A40EDD" w:rsidP="003A2B5E">
            <w:pPr>
              <w:spacing w:after="20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Výše uvedené tendence na tuzemském pracovním trhu se spolu s postupně se prodlužujícím důchodovým věkem odráží v růstu míry zaměstnanosti (</w:t>
            </w:r>
            <w:r w:rsidRPr="00683AF8">
              <w:rPr>
                <w:color w:val="0D0D0D" w:themeColor="text1" w:themeTint="F2"/>
                <w:spacing w:val="-4"/>
              </w:rPr>
              <w:t>15 až 64letých</w:t>
            </w:r>
            <w:r>
              <w:rPr>
                <w:color w:val="0D0D0D" w:themeColor="text1" w:themeTint="F2"/>
                <w:spacing w:val="-4"/>
              </w:rPr>
              <w:t xml:space="preserve">). Ta ve 4. čtvrtletí činila 75,8 % (meziročně +0,4 p. b.).  Za jejím růstem stály pouze ženy, jejichž </w:t>
            </w:r>
            <w:r>
              <w:rPr>
                <w:color w:val="0D0D0D" w:themeColor="text1" w:themeTint="F2"/>
                <w:spacing w:val="-4"/>
              </w:rPr>
              <w:lastRenderedPageBreak/>
              <w:t>zaměstnanost posílila o 1,4 p. b., a poprvé v historii vystoupala nad 70% hranici (70,2 %). U mužů kvůli složité situaci v tradičních výrobních odvětvích klesla o 0,3 p. b. (81,3 %). Dle aktuálně dostupných</w:t>
            </w:r>
            <w:r w:rsidRPr="001E04B0">
              <w:rPr>
                <w:color w:val="0D0D0D" w:themeColor="text1" w:themeTint="F2"/>
                <w:spacing w:val="-4"/>
              </w:rPr>
              <w:t xml:space="preserve"> dat za 3. čtvrtletí 2024 byla celková míra zaměstnanosti v Česku mezi státy EU osmá nejvyšší, když unijní průměr převyšovala o 4,6 p. b. Mezi středoevropskými státy mělo vyšší zaměstnanost než v tuzemsku pouze Německo (o 1,7 p. b.). Relativně vysoké zaměstnanosti v Česku pomáhá silná míra participace mužů (v rámci EU čtvrtá nejvyšší po Maltě, Nizozemsku a Kypru</w:t>
            </w:r>
            <w:r>
              <w:rPr>
                <w:color w:val="0D0D0D" w:themeColor="text1" w:themeTint="F2"/>
                <w:spacing w:val="-4"/>
              </w:rPr>
              <w:t xml:space="preserve">) a ve všech věkových skupinách, vyjma nejmladších do 25 </w:t>
            </w:r>
            <w:r w:rsidRPr="001E04B0">
              <w:rPr>
                <w:color w:val="0D0D0D" w:themeColor="text1" w:themeTint="F2"/>
                <w:spacing w:val="-4"/>
              </w:rPr>
              <w:t xml:space="preserve">let. Naopak zaměstnanost žen řadí Česko mezi členy až </w:t>
            </w:r>
            <w:r>
              <w:rPr>
                <w:color w:val="0D0D0D" w:themeColor="text1" w:themeTint="F2"/>
                <w:spacing w:val="-4"/>
              </w:rPr>
              <w:t xml:space="preserve">na 15. </w:t>
            </w:r>
            <w:r w:rsidRPr="001E04B0">
              <w:rPr>
                <w:color w:val="0D0D0D" w:themeColor="text1" w:themeTint="F2"/>
                <w:spacing w:val="-4"/>
              </w:rPr>
              <w:t xml:space="preserve">místo </w:t>
            </w:r>
            <w:r>
              <w:rPr>
                <w:color w:val="0D0D0D" w:themeColor="text1" w:themeTint="F2"/>
                <w:spacing w:val="-4"/>
              </w:rPr>
              <w:t>(jen k</w:t>
            </w:r>
            <w:r w:rsidR="003A2B5E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>průměrným patří i ve srovnání s novějšími členskými státy), a to zejména vlivem slabšího zapojení osob mladších 40 let.</w:t>
            </w:r>
          </w:p>
        </w:tc>
      </w:tr>
      <w:tr w:rsidR="00A40EDD" w:rsidRPr="00D82DBD" w14:paraId="3872C7D9" w14:textId="77777777" w:rsidTr="304DB734">
        <w:trPr>
          <w:trHeight w:val="14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646407DD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Krátkodobá očekávání podniků v oblasti zaměstnanosti se na konci roku mírně zlepšila. Lehký optimismus zavládl v obchodu i stavebnictví.</w:t>
            </w:r>
          </w:p>
          <w:p w14:paraId="6C8EA238" w14:textId="77777777" w:rsidR="00A40EDD" w:rsidRDefault="00A40EDD" w:rsidP="002B48B4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6F21EA1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4"/>
              </w:rPr>
              <w:t>Nedostatek pracovníků dále sužuje hlavně stavební podniky, jeho role však mírně roste i ve službách.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18DC9B4" w14:textId="77777777" w:rsidR="00A40EDD" w:rsidRPr="008659E6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377FAF3F" w14:textId="77777777" w:rsidR="00A40EDD" w:rsidRPr="00F20C83" w:rsidRDefault="00A40EDD" w:rsidP="002B48B4">
            <w:pPr>
              <w:spacing w:after="200"/>
              <w:rPr>
                <w:rStyle w:val="normaltextrun"/>
                <w:color w:val="0D0D0D" w:themeColor="text1" w:themeTint="F2"/>
                <w:spacing w:val="-4"/>
              </w:rPr>
            </w:pPr>
            <w:r w:rsidRPr="002E7940">
              <w:rPr>
                <w:color w:val="0D0D0D" w:themeColor="text1" w:themeTint="F2"/>
                <w:spacing w:val="-4"/>
              </w:rPr>
              <w:t>Krátkodobá očekávání podniků v oblasti vlastní zaměstnanosti</w:t>
            </w:r>
            <w:r w:rsidRPr="002E7940">
              <w:rPr>
                <w:rStyle w:val="Znakapoznpodarou"/>
                <w:color w:val="0D0D0D" w:themeColor="text1" w:themeTint="F2"/>
                <w:spacing w:val="-4"/>
              </w:rPr>
              <w:footnoteReference w:id="14"/>
            </w:r>
            <w:r w:rsidRPr="002E7940">
              <w:rPr>
                <w:color w:val="0D0D0D" w:themeColor="text1" w:themeTint="F2"/>
                <w:spacing w:val="-4"/>
              </w:rPr>
              <w:t xml:space="preserve"> zůstával</w:t>
            </w:r>
            <w:r>
              <w:rPr>
                <w:color w:val="0D0D0D" w:themeColor="text1" w:themeTint="F2"/>
                <w:spacing w:val="-4"/>
              </w:rPr>
              <w:t>a</w:t>
            </w:r>
            <w:r w:rsidRPr="002E7940">
              <w:rPr>
                <w:color w:val="0D0D0D" w:themeColor="text1" w:themeTint="F2"/>
                <w:spacing w:val="-4"/>
              </w:rPr>
              <w:t xml:space="preserve"> loni v tuzemsku (stejně jako po celý loňský rok 2023) lehce negativní. </w:t>
            </w:r>
            <w:r>
              <w:rPr>
                <w:color w:val="0D0D0D" w:themeColor="text1" w:themeTint="F2"/>
                <w:spacing w:val="-4"/>
              </w:rPr>
              <w:t xml:space="preserve">V průběhu roku se ovšem situace mírně zlepšovala, zejména ve stavebnictví i vybraných službách, naopak v průmyslu se pesimismus ještě prohluboval. Dle šetření z února 2025 </w:t>
            </w:r>
            <w:r>
              <w:rPr>
                <w:rStyle w:val="normaltextrun"/>
                <w:rFonts w:eastAsia="MS Gothic" w:cs="Arial"/>
                <w:szCs w:val="20"/>
              </w:rPr>
              <w:t>předpokládalo propouštění svých zaměstnanců v</w:t>
            </w:r>
            <w:r>
              <w:rPr>
                <w:rStyle w:val="normaltextrun"/>
                <w:rFonts w:eastAsia="MS Gothic" w:cs="Arial"/>
              </w:rPr>
              <w:t xml:space="preserve"> průmyslu </w:t>
            </w:r>
            <w:r>
              <w:rPr>
                <w:rStyle w:val="normaltextrun"/>
                <w:rFonts w:eastAsia="MS Gothic" w:cs="Arial"/>
                <w:szCs w:val="20"/>
              </w:rPr>
              <w:t>16 % firem, ve stavebnictví 6 %, v obchodu 9 % a ve službách 23 %. Ve stavebnictví a obchodu byly tyto záměry převáženy vyšším počtem podniků plánujících nábor pracovní síly.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  <w:r w:rsidRPr="00261E4E">
              <w:rPr>
                <w:color w:val="0D0D0D" w:themeColor="text1" w:themeTint="F2"/>
                <w:spacing w:val="-4"/>
              </w:rPr>
              <w:t>Stav na úrovni dílčích odvětví v rámci průmyslu i služeb se přirozeně odlišoval</w:t>
            </w:r>
            <w:r w:rsidRPr="00261E4E"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 w:rsidRPr="00261E4E">
              <w:rPr>
                <w:color w:val="0D0D0D" w:themeColor="text1" w:themeTint="F2"/>
                <w:spacing w:val="-4"/>
              </w:rPr>
              <w:t xml:space="preserve">. </w:t>
            </w:r>
            <w:r w:rsidRPr="00261E4E">
              <w:rPr>
                <w:rStyle w:val="eop"/>
                <w:rFonts w:eastAsia="MS Gothic" w:cs="Arial"/>
                <w:color w:val="0D0D0D" w:themeColor="text1" w:themeTint="F2"/>
                <w:spacing w:val="-4"/>
                <w:szCs w:val="20"/>
              </w:rPr>
              <w:t xml:space="preserve">Podíl podniků, pro něž </w:t>
            </w:r>
            <w:r w:rsidRPr="00261E4E">
              <w:rPr>
                <w:color w:val="0D0D0D" w:themeColor="text1" w:themeTint="F2"/>
                <w:spacing w:val="-4"/>
              </w:rPr>
              <w:t>představuje nedostatek pracovní síly jednu z významných růstových bariér</w:t>
            </w:r>
            <w:r w:rsidRPr="00261E4E"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 w:rsidRPr="00261E4E">
              <w:rPr>
                <w:color w:val="0D0D0D" w:themeColor="text1" w:themeTint="F2"/>
                <w:spacing w:val="-4"/>
              </w:rPr>
              <w:t xml:space="preserve">, </w:t>
            </w:r>
            <w:r>
              <w:rPr>
                <w:color w:val="0D0D0D" w:themeColor="text1" w:themeTint="F2"/>
                <w:spacing w:val="-4"/>
              </w:rPr>
              <w:t>byl na počátku letošního roku tradičně nejpalčivější ve stavebnictví (54 %.). Opačná situace panovala v průmyslu (13 %) a také ve službách (24 %), kde však došlo meziročně k mírnému růstu.</w:t>
            </w:r>
          </w:p>
        </w:tc>
      </w:tr>
      <w:tr w:rsidR="00A40EDD" w:rsidRPr="00D82DBD" w14:paraId="572924BE" w14:textId="77777777" w:rsidTr="304DB734">
        <w:trPr>
          <w:trHeight w:val="14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2669AB79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Obecná míra nezaměstnanosti loni mírně kolísala na nízké úrovni. Příznivý byl i vývoj dlouhodobé nezaměstnanosti.</w:t>
            </w:r>
          </w:p>
          <w:p w14:paraId="3EE3FA0E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AFCAE4C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5AB770D3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A7038FA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E469EFE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 xml:space="preserve">Velikost potenciální pracovní rezervy zůstávala nízká. 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64E5DC1" w14:textId="77777777" w:rsidR="00A40EDD" w:rsidRPr="008659E6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76F62AC" w14:textId="77777777" w:rsidR="00A40EDD" w:rsidRPr="00256E58" w:rsidRDefault="00A40EDD" w:rsidP="002B48B4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Navzdory </w:t>
            </w:r>
            <w:r w:rsidRPr="00256E58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problémům některých zejména průmyslových podniků se obecná míra nezaměstnanosti</w:t>
            </w:r>
            <w:r w:rsidRPr="00256E58">
              <w:rPr>
                <w:rStyle w:val="normaltextrun"/>
                <w:rFonts w:eastAsia="MS Gothic" w:cs="Arial"/>
                <w:color w:val="0D0D0D" w:themeColor="text1" w:themeTint="F2"/>
                <w:szCs w:val="20"/>
                <w:vertAlign w:val="superscript"/>
              </w:rPr>
              <w:footnoteReference w:id="17"/>
            </w:r>
            <w:r w:rsidRPr="00256E58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 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v průběhu roku 2024 významně nezvyšoval</w:t>
            </w: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a, spíše lze hovořit o jejím kolísání, zejména u žen. Propuštěné pracovníky z některých útlumových oborů totiž dokázaly z velké míry vstřebat rozvíjející se služby.</w:t>
            </w:r>
            <w:r w:rsidRPr="00261E4E">
              <w:rPr>
                <w:color w:val="0D0D0D" w:themeColor="text1" w:themeTint="F2"/>
                <w:spacing w:val="-6"/>
              </w:rPr>
              <w:t xml:space="preserve"> </w:t>
            </w:r>
            <w:r>
              <w:rPr>
                <w:color w:val="0D0D0D" w:themeColor="text1" w:themeTint="F2"/>
                <w:spacing w:val="-6"/>
              </w:rPr>
              <w:t xml:space="preserve">Předpokládané větší fluktuaci pracovníků na trhu práce pomáhaly i úřady práce, jejichž aktivita v oblasti rekvalifikací (za finanční podpory v EU fondů) se zejména ve 2. pololetí zvyšovala. </w:t>
            </w: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Sezónně očištěná míra nezaměstnan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osti (15–64letých) činila loni v prosinci 2,7 % (muži 2,2 %, ženy 3,3 %</w:t>
            </w: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)</w:t>
            </w:r>
            <w:r w:rsidRPr="00261E4E">
              <w:rPr>
                <w:rStyle w:val="Znakapoznpodarou"/>
                <w:color w:val="0D0D0D" w:themeColor="text1" w:themeTint="F2"/>
              </w:rPr>
              <w:footnoteReference w:id="18"/>
            </w: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. </w:t>
            </w:r>
            <w:r w:rsidRPr="00261E4E">
              <w:rPr>
                <w:color w:val="0D0D0D" w:themeColor="text1" w:themeTint="F2"/>
              </w:rPr>
              <w:t>Nevzrostl ani počet dlouhodobě nezaměstnaných – ti se na celkovém počtu lidí bez prá</w:t>
            </w:r>
            <w:r>
              <w:rPr>
                <w:color w:val="0D0D0D" w:themeColor="text1" w:themeTint="F2"/>
              </w:rPr>
              <w:t>ce ve 3. čtvrtletí podíleli necelými 30 %</w:t>
            </w:r>
            <w:r w:rsidRPr="00261E4E">
              <w:rPr>
                <w:color w:val="0D0D0D" w:themeColor="text1" w:themeTint="F2"/>
              </w:rPr>
              <w:t xml:space="preserve">, (to je </w:t>
            </w:r>
            <w:r>
              <w:rPr>
                <w:color w:val="0D0D0D" w:themeColor="text1" w:themeTint="F2"/>
              </w:rPr>
              <w:t>v</w:t>
            </w:r>
            <w:r w:rsidRPr="00261E4E">
              <w:rPr>
                <w:color w:val="0D0D0D" w:themeColor="text1" w:themeTint="F2"/>
              </w:rPr>
              <w:t> dlouhodobé</w:t>
            </w:r>
            <w:r>
              <w:rPr>
                <w:color w:val="0D0D0D" w:themeColor="text1" w:themeTint="F2"/>
              </w:rPr>
              <w:t>m</w:t>
            </w:r>
            <w:r w:rsidRPr="00261E4E">
              <w:rPr>
                <w:color w:val="0D0D0D" w:themeColor="text1" w:themeTint="F2"/>
              </w:rPr>
              <w:t xml:space="preserve"> i mezinárodní</w:t>
            </w:r>
            <w:r>
              <w:rPr>
                <w:color w:val="0D0D0D" w:themeColor="text1" w:themeTint="F2"/>
              </w:rPr>
              <w:t xml:space="preserve">m </w:t>
            </w:r>
            <w:r w:rsidRPr="00261E4E">
              <w:rPr>
                <w:color w:val="0D0D0D" w:themeColor="text1" w:themeTint="F2"/>
              </w:rPr>
              <w:t>kontextu podprůměrná hodnota). V</w:t>
            </w:r>
            <w:r w:rsidRPr="00261E4E">
              <w:rPr>
                <w:color w:val="0D0D0D" w:themeColor="text1" w:themeTint="F2"/>
                <w:spacing w:val="-4"/>
              </w:rPr>
              <w:t>elikost potenciální pracovní rezervy (tj. ekonomicky neaktivních osob práci nehledajících, a</w:t>
            </w:r>
            <w:r>
              <w:rPr>
                <w:color w:val="0D0D0D" w:themeColor="text1" w:themeTint="F2"/>
                <w:spacing w:val="-4"/>
              </w:rPr>
              <w:t>le uvádějících ochotu pracovat) ve 4</w:t>
            </w:r>
            <w:r w:rsidRPr="00261E4E">
              <w:rPr>
                <w:color w:val="0D0D0D" w:themeColor="text1" w:themeTint="F2"/>
                <w:spacing w:val="-4"/>
              </w:rPr>
              <w:t>. čtvrtlet</w:t>
            </w:r>
            <w:r>
              <w:rPr>
                <w:color w:val="0D0D0D" w:themeColor="text1" w:themeTint="F2"/>
                <w:spacing w:val="-4"/>
              </w:rPr>
              <w:t>í meziročně fakticky stagnovala (na 77</w:t>
            </w:r>
            <w:r w:rsidRPr="00261E4E">
              <w:rPr>
                <w:color w:val="0D0D0D" w:themeColor="text1" w:themeTint="F2"/>
                <w:spacing w:val="-4"/>
              </w:rPr>
              <w:t xml:space="preserve"> tis. osob)</w:t>
            </w:r>
            <w:r w:rsidRPr="00261E4E">
              <w:rPr>
                <w:rStyle w:val="Znakapoznpodarou"/>
                <w:color w:val="0D0D0D" w:themeColor="text1" w:themeTint="F2"/>
                <w:spacing w:val="-4"/>
              </w:rPr>
              <w:footnoteReference w:id="19"/>
            </w:r>
            <w:r w:rsidRPr="00261E4E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a z dlouhodobé perspektivy </w:t>
            </w:r>
            <w:r w:rsidRPr="00261E4E">
              <w:rPr>
                <w:color w:val="0D0D0D" w:themeColor="text1" w:themeTint="F2"/>
                <w:spacing w:val="-4"/>
              </w:rPr>
              <w:t xml:space="preserve">zůstává nízká. To sice představuje nezanedbatelný problém pro řadu zaměstnavatelů, na druhou stranu </w:t>
            </w:r>
            <w:r w:rsidRPr="00261E4E">
              <w:rPr>
                <w:color w:val="0D0D0D" w:themeColor="text1" w:themeTint="F2"/>
                <w:spacing w:val="-4"/>
              </w:rPr>
              <w:lastRenderedPageBreak/>
              <w:t>jde ovšem také o pozitivní signál naznačující, že rozsah skryté nezaměstnanosti (ve formě „úniku“ do ekonomické neaktivity) není na tuzemském pracovním trhu aktuálně významný.</w:t>
            </w:r>
          </w:p>
        </w:tc>
      </w:tr>
      <w:tr w:rsidR="00A40EDD" w:rsidRPr="00D82DBD" w14:paraId="140E64F6" w14:textId="77777777" w:rsidTr="304DB734">
        <w:trPr>
          <w:trHeight w:val="145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60737912" w14:textId="77777777" w:rsidR="00A40EDD" w:rsidRDefault="00A40EDD" w:rsidP="002B48B4">
            <w:pPr>
              <w:pStyle w:val="Marginli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Meziročně mírně přibylo r</w:t>
            </w:r>
            <w:r w:rsidRPr="002F4E55">
              <w:rPr>
                <w:color w:val="0D0D0D" w:themeColor="text1" w:themeTint="F2"/>
              </w:rPr>
              <w:t xml:space="preserve">egistrovaných </w:t>
            </w:r>
            <w:r>
              <w:rPr>
                <w:color w:val="0D0D0D" w:themeColor="text1" w:themeTint="F2"/>
              </w:rPr>
              <w:t>uchazečů o práci.</w:t>
            </w:r>
          </w:p>
          <w:p w14:paraId="48F87E88" w14:textId="77777777" w:rsidR="00A40EDD" w:rsidRDefault="00A40EDD" w:rsidP="002B48B4">
            <w:pPr>
              <w:pStyle w:val="Marginlie"/>
              <w:rPr>
                <w:color w:val="0D0D0D" w:themeColor="text1" w:themeTint="F2"/>
              </w:rPr>
            </w:pPr>
          </w:p>
          <w:p w14:paraId="001AFCD4" w14:textId="77777777" w:rsidR="00A40EDD" w:rsidRDefault="00A40EDD" w:rsidP="002B48B4">
            <w:pPr>
              <w:pStyle w:val="Marginlie"/>
              <w:rPr>
                <w:color w:val="0D0D0D" w:themeColor="text1" w:themeTint="F2"/>
              </w:rPr>
            </w:pPr>
          </w:p>
          <w:p w14:paraId="26620731" w14:textId="77777777" w:rsidR="00A40EDD" w:rsidRDefault="00A40EDD" w:rsidP="002B48B4">
            <w:pPr>
              <w:pStyle w:val="Marginlie"/>
              <w:rPr>
                <w:color w:val="0D0D0D" w:themeColor="text1" w:themeTint="F2"/>
              </w:rPr>
            </w:pPr>
          </w:p>
          <w:p w14:paraId="19BAA2CB" w14:textId="77777777" w:rsidR="00A40EDD" w:rsidRDefault="00A40EDD" w:rsidP="002B48B4">
            <w:pPr>
              <w:pStyle w:val="Marginlie"/>
              <w:rPr>
                <w:color w:val="0D0D0D" w:themeColor="text1" w:themeTint="F2"/>
              </w:rPr>
            </w:pPr>
          </w:p>
          <w:p w14:paraId="28040C41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3E56F088" w14:textId="77777777" w:rsidR="00A40EDD" w:rsidRPr="008659E6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 xml:space="preserve">Od loňského prosince se zvyšovaly obavy lidí z vývoje nezaměstnanosti v nejbližších 12 měsících. 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28565FDC" w14:textId="77777777" w:rsidR="00A40EDD" w:rsidRPr="008659E6" w:rsidRDefault="00A40EDD" w:rsidP="002B48B4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14A83538" w14:textId="77777777" w:rsidR="00A40EDD" w:rsidRPr="006C7F0A" w:rsidRDefault="00A40EDD" w:rsidP="002B48B4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261E4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Setrvalý stav 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tuzemského trhu práce potvrzují i údaje MPSV. Na konci prosince činil sezonně neočištěný podíl nezaměstnaných (dosažitelní uchazeči o práci k</w:t>
            </w:r>
            <w:r w:rsidRPr="00E25EDE">
              <w:rPr>
                <w:color w:val="0D0D0D" w:themeColor="text1" w:themeTint="F2"/>
                <w:spacing w:val="-4"/>
              </w:rPr>
              <w:t> 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celkové populaci 15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–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64letých) 4,1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 %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 (meziročně +0,4 p. b.), u mužů 3,8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 %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, u žen 4,4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 %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. Vyšší nezaměstnanost (nad 6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> %</w:t>
            </w:r>
            <w:r w:rsidRPr="00E25EDE">
              <w:rPr>
                <w:rStyle w:val="normaltextrun"/>
                <w:rFonts w:eastAsia="MS Gothic" w:cs="Arial"/>
                <w:color w:val="0D0D0D" w:themeColor="text1" w:themeTint="F2"/>
                <w:szCs w:val="20"/>
              </w:rPr>
              <w:t xml:space="preserve">) zaznamenalo dvanáct okresů (rozmístěných v pěti různých krajích). </w:t>
            </w:r>
            <w:r w:rsidRPr="00E25EDE">
              <w:rPr>
                <w:rStyle w:val="normaltextrun"/>
                <w:rFonts w:cs="Arial"/>
                <w:color w:val="0D0D0D" w:themeColor="text1" w:themeTint="F2"/>
                <w:szCs w:val="20"/>
              </w:rPr>
              <w:t xml:space="preserve">Počet všech registrovaných uchazečů o práci poprvé od vrcholu pandemie (jaro 2021) vystoupal lehce nad 300 tis. a již třináct měsíců </w:t>
            </w:r>
            <w:r>
              <w:rPr>
                <w:rStyle w:val="normaltextrun"/>
                <w:rFonts w:cs="Arial"/>
                <w:color w:val="0D0D0D" w:themeColor="text1" w:themeTint="F2"/>
                <w:szCs w:val="20"/>
              </w:rPr>
              <w:t>v</w:t>
            </w:r>
            <w:r>
              <w:rPr>
                <w:rStyle w:val="normaltextrun"/>
                <w:rFonts w:cs="Arial"/>
              </w:rPr>
              <w:t xml:space="preserve"> </w:t>
            </w:r>
            <w:r w:rsidRPr="00E25EDE">
              <w:rPr>
                <w:rStyle w:val="normaltextrun"/>
                <w:rFonts w:cs="Arial"/>
                <w:color w:val="0D0D0D" w:themeColor="text1" w:themeTint="F2"/>
                <w:szCs w:val="20"/>
              </w:rPr>
              <w:t>řadě převyšoval počet nabízených pracovních míst</w:t>
            </w:r>
            <w:r w:rsidRPr="00E25EDE">
              <w:rPr>
                <w:rStyle w:val="Znakapoznpodarou"/>
                <w:rFonts w:eastAsia="MS Gothic"/>
                <w:color w:val="0D0D0D" w:themeColor="text1" w:themeTint="F2"/>
                <w:szCs w:val="20"/>
              </w:rPr>
              <w:footnoteReference w:id="20"/>
            </w:r>
            <w:r w:rsidRPr="00E25EDE">
              <w:rPr>
                <w:rStyle w:val="normaltextrun"/>
                <w:rFonts w:cs="Arial"/>
                <w:color w:val="0D0D0D" w:themeColor="text1" w:themeTint="F2"/>
                <w:szCs w:val="20"/>
              </w:rPr>
              <w:t xml:space="preserve">. </w:t>
            </w:r>
            <w:r w:rsidRPr="00E25EDE">
              <w:rPr>
                <w:color w:val="0D0D0D" w:themeColor="text1" w:themeTint="F2"/>
                <w:spacing w:val="-4"/>
              </w:rPr>
              <w:t>Obavy lidí z růstu nezaměstnanosti (vyjádřené v rámci konjunkturálních průzkumů) klesly loni na jaře nejníže od nástupu pandemie. Následně mírně kolísaly, na počátku roku 2025 se ovšem citelně zvýšily (mírně nad dlo</w:t>
            </w:r>
            <w:r>
              <w:rPr>
                <w:color w:val="0D0D0D" w:themeColor="text1" w:themeTint="F2"/>
                <w:spacing w:val="-4"/>
              </w:rPr>
              <w:t xml:space="preserve">uhodobý průměr). Aktuální růst obav </w:t>
            </w:r>
            <w:r w:rsidRPr="00E25EDE">
              <w:rPr>
                <w:color w:val="0D0D0D" w:themeColor="text1" w:themeTint="F2"/>
                <w:spacing w:val="-4"/>
              </w:rPr>
              <w:t>může souviset se situací v průmyslu, pokr</w:t>
            </w:r>
            <w:r>
              <w:rPr>
                <w:color w:val="0D0D0D" w:themeColor="text1" w:themeTint="F2"/>
                <w:spacing w:val="-4"/>
              </w:rPr>
              <w:t>ačujícími veřejnými</w:t>
            </w:r>
            <w:r w:rsidRPr="00E25EDE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diskusemi o fiskální konsolidaci, ale i napjaté geopolitické situaci.</w:t>
            </w:r>
          </w:p>
        </w:tc>
      </w:tr>
      <w:tr w:rsidR="00A40EDD" w:rsidRPr="00B43216" w14:paraId="2ACF99EC" w14:textId="77777777" w:rsidTr="304DB734">
        <w:trPr>
          <w:trHeight w:val="155"/>
        </w:trPr>
        <w:tc>
          <w:tcPr>
            <w:tcW w:w="1777" w:type="dxa"/>
            <w:vMerge w:val="restart"/>
            <w:shd w:val="clear" w:color="auto" w:fill="auto"/>
            <w:tcMar>
              <w:left w:w="0" w:type="dxa"/>
            </w:tcMar>
          </w:tcPr>
          <w:p w14:paraId="0743ED04" w14:textId="77777777" w:rsidR="00A40EDD" w:rsidRPr="00B43216" w:rsidRDefault="00A40EDD" w:rsidP="002B48B4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2" w:type="dxa"/>
            <w:vMerge w:val="restart"/>
            <w:shd w:val="clear" w:color="auto" w:fill="auto"/>
            <w:tcMar>
              <w:left w:w="0" w:type="dxa"/>
            </w:tcMar>
          </w:tcPr>
          <w:p w14:paraId="53E8560B" w14:textId="77777777" w:rsidR="00A40EDD" w:rsidRPr="00B43216" w:rsidRDefault="00A40EDD" w:rsidP="002B48B4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1339C88E" w14:textId="77777777" w:rsidR="00A40EDD" w:rsidRPr="0021475C" w:rsidRDefault="00A40EDD" w:rsidP="002B48B4">
            <w:pPr>
              <w:spacing w:after="0"/>
              <w:rPr>
                <w:rFonts w:cs="Arial"/>
                <w:b/>
                <w:bCs/>
                <w:spacing w:val="-4"/>
              </w:rPr>
            </w:pPr>
            <w:r w:rsidRPr="0021475C">
              <w:rPr>
                <w:b/>
                <w:spacing w:val="-4"/>
              </w:rPr>
              <w:t xml:space="preserve">Graf č. 14 </w:t>
            </w:r>
            <w:r w:rsidRPr="0021475C">
              <w:rPr>
                <w:rFonts w:cs="Arial"/>
                <w:b/>
                <w:spacing w:val="-4"/>
              </w:rPr>
              <w:t xml:space="preserve">Obecná míra nezaměstnanosti </w:t>
            </w:r>
            <w:r w:rsidRPr="0021475C">
              <w:rPr>
                <w:rFonts w:cs="Arial"/>
                <w:bCs/>
                <w:spacing w:val="-4"/>
              </w:rPr>
              <w:t>(v</w:t>
            </w:r>
            <w:r>
              <w:rPr>
                <w:rFonts w:cs="Arial"/>
                <w:bCs/>
                <w:spacing w:val="-4"/>
              </w:rPr>
              <w:t> %</w:t>
            </w:r>
            <w:r w:rsidRPr="0021475C">
              <w:rPr>
                <w:rFonts w:cs="Arial"/>
                <w:bCs/>
                <w:spacing w:val="-4"/>
              </w:rPr>
              <w:t>, věk 15 až 64 let)</w:t>
            </w:r>
            <w:r w:rsidRPr="0021475C">
              <w:rPr>
                <w:rFonts w:cs="Arial"/>
                <w:b/>
                <w:spacing w:val="-4"/>
              </w:rPr>
              <w:t>,</w:t>
            </w:r>
            <w:r w:rsidRPr="0021475C">
              <w:rPr>
                <w:rFonts w:cs="Arial"/>
                <w:bCs/>
                <w:spacing w:val="-4"/>
              </w:rPr>
              <w:t xml:space="preserve"> </w:t>
            </w:r>
            <w:r w:rsidRPr="0021475C">
              <w:rPr>
                <w:rFonts w:cs="Arial"/>
                <w:b/>
                <w:bCs/>
                <w:spacing w:val="-4"/>
              </w:rPr>
              <w:t>očekávání vývoje nezaměstnanosti ze strany domácností*</w:t>
            </w:r>
            <w:r w:rsidRPr="0021475C">
              <w:rPr>
                <w:rFonts w:cs="Arial"/>
                <w:bCs/>
                <w:spacing w:val="-4"/>
              </w:rPr>
              <w:t xml:space="preserve"> (v p. b.), </w:t>
            </w:r>
            <w:r w:rsidRPr="0021475C">
              <w:rPr>
                <w:rFonts w:cs="Arial"/>
                <w:b/>
                <w:bCs/>
                <w:spacing w:val="-4"/>
              </w:rPr>
              <w:t xml:space="preserve">volná pracovní místa a pracující cizinci v pozici zaměstnanců </w:t>
            </w:r>
            <w:r w:rsidRPr="0021475C">
              <w:rPr>
                <w:rFonts w:cs="Arial"/>
                <w:bCs/>
                <w:spacing w:val="-4"/>
              </w:rPr>
              <w:t>(v tis.)**</w:t>
            </w:r>
          </w:p>
        </w:tc>
      </w:tr>
      <w:tr w:rsidR="00A40EDD" w:rsidRPr="00B43216" w14:paraId="5FD01B9D" w14:textId="77777777" w:rsidTr="304DB734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77" w:type="dxa"/>
            <w:vMerge/>
          </w:tcPr>
          <w:p w14:paraId="7950BE42" w14:textId="77777777" w:rsidR="00A40EDD" w:rsidRPr="00B43216" w:rsidRDefault="00A40EDD" w:rsidP="002B48B4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22" w:type="dxa"/>
            <w:vMerge/>
          </w:tcPr>
          <w:p w14:paraId="299FEDC7" w14:textId="77777777" w:rsidR="00A40EDD" w:rsidRPr="00B43216" w:rsidRDefault="00A40EDD" w:rsidP="002B48B4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</w:tcPr>
          <w:p w14:paraId="7771B23F" w14:textId="77777777" w:rsidR="00A40EDD" w:rsidRPr="00B43216" w:rsidRDefault="00A40EDD" w:rsidP="002B48B4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5D29D89" wp14:editId="7BF23FAC">
                  <wp:extent cx="4772025" cy="3420000"/>
                  <wp:effectExtent l="0" t="0" r="0" b="0"/>
                  <wp:docPr id="42" name="Graf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A40EDD" w:rsidRPr="00B43216" w14:paraId="2C75BA11" w14:textId="77777777" w:rsidTr="304DB734">
        <w:trPr>
          <w:trHeight w:val="132"/>
        </w:trPr>
        <w:tc>
          <w:tcPr>
            <w:tcW w:w="1777" w:type="dxa"/>
            <w:vMerge/>
            <w:tcMar>
              <w:left w:w="0" w:type="dxa"/>
            </w:tcMar>
          </w:tcPr>
          <w:p w14:paraId="4DC03245" w14:textId="77777777" w:rsidR="00A40EDD" w:rsidRPr="00B43216" w:rsidRDefault="00A40EDD" w:rsidP="002B48B4">
            <w:pPr>
              <w:pStyle w:val="Marginlie"/>
              <w:rPr>
                <w:spacing w:val="-4"/>
              </w:rPr>
            </w:pPr>
          </w:p>
        </w:tc>
        <w:tc>
          <w:tcPr>
            <w:tcW w:w="222" w:type="dxa"/>
            <w:vMerge/>
            <w:tcMar>
              <w:left w:w="0" w:type="dxa"/>
            </w:tcMar>
          </w:tcPr>
          <w:p w14:paraId="615571E8" w14:textId="77777777" w:rsidR="00A40EDD" w:rsidRPr="00B43216" w:rsidRDefault="00A40EDD" w:rsidP="002B48B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25FFC041" w14:textId="77777777" w:rsidR="00A40EDD" w:rsidRPr="00274FC3" w:rsidRDefault="00A40EDD" w:rsidP="002B48B4">
            <w:pPr>
              <w:spacing w:before="60"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Pozn.: Míry nezaměstnanosti jsou sezónně očištěny</w:t>
            </w:r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. VPM = volná pracovní místa (stav na konci čtvrtletí)</w:t>
            </w:r>
          </w:p>
          <w:p w14:paraId="5F7F3176" w14:textId="77777777" w:rsidR="00A40EDD" w:rsidRDefault="00A40EDD" w:rsidP="002B48B4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2D997062" w14:textId="77777777" w:rsidR="00A40EDD" w:rsidRDefault="00A40EDD" w:rsidP="002B48B4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**Počet cizinců v postavení zaměstnanců evidovaných na úřadech práce v ČR na konci příslušného čtvrtletí.</w:t>
            </w:r>
          </w:p>
          <w:p w14:paraId="72792462" w14:textId="77777777" w:rsidR="00A40EDD" w:rsidRPr="00485ED5" w:rsidRDefault="00A40EDD" w:rsidP="002B48B4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průzkum), MPSV (VPM registrovaná na úřadech práce v ČR, zaměstnaní cizinci)</w:t>
            </w:r>
          </w:p>
        </w:tc>
      </w:tr>
      <w:tr w:rsidR="00A40EDD" w:rsidRPr="00016778" w14:paraId="7042B09E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3B6FD865" w14:textId="4B7F30E3" w:rsidR="00A40EDD" w:rsidRPr="00CF65F3" w:rsidRDefault="55C2456F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CF65F3">
              <w:rPr>
                <w:color w:val="0D0D0D" w:themeColor="text1" w:themeTint="F2"/>
                <w:spacing w:val="0"/>
              </w:rPr>
              <w:t xml:space="preserve">Meziroční růst průměrných mezd od počátku loňského roku </w:t>
            </w:r>
            <w:r>
              <w:rPr>
                <w:color w:val="0D0D0D" w:themeColor="text1" w:themeTint="F2"/>
                <w:spacing w:val="0"/>
              </w:rPr>
              <w:t>mírně kolísal a ve 4</w:t>
            </w:r>
            <w:r w:rsidRPr="00CF65F3">
              <w:rPr>
                <w:color w:val="0D0D0D" w:themeColor="text1" w:themeTint="F2"/>
                <w:spacing w:val="0"/>
              </w:rPr>
              <w:t>. čtvrtletí dosáhl 7</w:t>
            </w:r>
            <w:r>
              <w:rPr>
                <w:color w:val="0D0D0D" w:themeColor="text1" w:themeTint="F2"/>
                <w:spacing w:val="0"/>
              </w:rPr>
              <w:t>,</w:t>
            </w:r>
            <w:r w:rsidR="7DB22EB4">
              <w:rPr>
                <w:color w:val="0D0D0D" w:themeColor="text1" w:themeTint="F2"/>
                <w:spacing w:val="0"/>
              </w:rPr>
              <w:t>2</w:t>
            </w:r>
            <w:r>
              <w:rPr>
                <w:color w:val="0D0D0D" w:themeColor="text1" w:themeTint="F2"/>
                <w:spacing w:val="0"/>
              </w:rPr>
              <w:t> %</w:t>
            </w:r>
            <w:r w:rsidRPr="00CF65F3">
              <w:rPr>
                <w:color w:val="0D0D0D" w:themeColor="text1" w:themeTint="F2"/>
                <w:spacing w:val="0"/>
              </w:rPr>
              <w:t>.</w:t>
            </w:r>
          </w:p>
          <w:p w14:paraId="4CCD79B3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01C2AE29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249FFE1D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28E46040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5C4D4D31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1C9737C1" w14:textId="77777777" w:rsidR="00A40EDD" w:rsidRPr="00874EEF" w:rsidRDefault="00A40EDD" w:rsidP="002B48B4">
            <w:pPr>
              <w:spacing w:after="200"/>
              <w:rPr>
                <w:rFonts w:eastAsia="MS Gothic" w:cs="Arial"/>
                <w:color w:val="0D0D0D" w:themeColor="text1" w:themeTint="F2"/>
                <w:spacing w:val="-6"/>
                <w:szCs w:val="20"/>
              </w:rPr>
            </w:pPr>
            <w:r w:rsidRPr="00874EEF"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t>Ve 4. čtvrtletí 2024 dosáhla průměrná hrubá měsíč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t>ní nominální mzda</w:t>
            </w:r>
            <w:r w:rsidRPr="00874EEF"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t xml:space="preserve"> v národním hospodářství 49 229 korun a meziročně vzrostla o 7,2 %. Mezikvartální růst mezd (po sezónním očištění) činil 1,7 % a během uplynulého roku mírně kolísal. Za celý loňský rok se mzdy zvýšily o 7,1 % (na 46 165 korun), což bylo ve srovnání s tempem v roce 2023 (8,0 %) lehké zvolnění. Po celý loňský rok se významně odlišovala dynamika průměrných mezd 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t xml:space="preserve">osob </w:t>
            </w:r>
            <w:r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lastRenderedPageBreak/>
              <w:t>přepočtených na plný úvazek (FTE) vs. fyzických osob</w:t>
            </w:r>
            <w:r w:rsidRPr="00874EEF">
              <w:rPr>
                <w:rStyle w:val="normaltextrun"/>
                <w:rFonts w:eastAsia="MS Gothic" w:cs="Arial"/>
                <w:color w:val="0D0D0D" w:themeColor="text1" w:themeTint="F2"/>
                <w:spacing w:val="-6"/>
                <w:szCs w:val="20"/>
              </w:rPr>
              <w:t>. Vlivem rozšiřování zkrácených úvazků (kvůli finanční podpoře státu, popř. i daňovým optimalizacím – převodem osob DPP a DPČ) vzrostly mzdy na fyzické osoby ve 4. čtvrtletí meziročně jen o 6,7 %. Evidenční počet zaměstnanců (FTE) vzrostl o 0,1 %, dle fyzických osob ale o 0,6 %. Tyto rozdíly byly nejvíce patrné v některých službách (oblast nemovitostí, pracovní agentury, doprava a skladování, zdravotní a soc. péče) a odvětví zemědělství a lesnictví.</w:t>
            </w:r>
          </w:p>
        </w:tc>
      </w:tr>
      <w:tr w:rsidR="00A40EDD" w:rsidRPr="00016778" w14:paraId="75FE9B75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497E7E81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5"/>
              </w:rPr>
            </w:pPr>
            <w:r w:rsidRPr="00CF65F3">
              <w:rPr>
                <w:color w:val="0D0D0D" w:themeColor="text1" w:themeTint="F2"/>
                <w:spacing w:val="0"/>
              </w:rPr>
              <w:lastRenderedPageBreak/>
              <w:t>Existují významné faktory působící ve směru vyššího růstu mezd, ale i ty s opačným efektem.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14C8044A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58595429" w14:textId="77777777" w:rsidR="00A40EDD" w:rsidRPr="00874EEF" w:rsidRDefault="00A40EDD" w:rsidP="002B48B4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874EEF">
              <w:rPr>
                <w:spacing w:val="-6"/>
              </w:rPr>
              <w:t>Mzdový růst v ekonomice tlumila sílící potřeba úspor v rozpočtové sféře i rostoucí počet zahraničních pracovníků ze „třetích zemí“. Ti nezřídka pracují na nízkokvalifikovaných pozicích</w:t>
            </w:r>
            <w:r w:rsidRPr="00874EEF">
              <w:rPr>
                <w:spacing w:val="-6"/>
                <w:vertAlign w:val="superscript"/>
              </w:rPr>
              <w:footnoteReference w:id="21"/>
            </w:r>
            <w:r w:rsidRPr="00874EEF">
              <w:rPr>
                <w:spacing w:val="-6"/>
              </w:rPr>
              <w:t xml:space="preserve"> a jejich výdělky tudíž zpravidla nedosahují úrovně občanů ČR. Naopak ve směru růstu nominální mzdy stále působila relativně vysoká poptávka podniků po pracovní síle v řadě odvětví (zejména ve službách) či zvýšený tlak zaměstnanců pramenící i z napjatých rodinných rozpočtů vlivem stále vysokého růstu cen některých položek spotřebního koše i jiných výdajů (splátky hypoték). Dynamičtější mzdový růst v řadě odvětví umožňovala i přetrvávající vysoká míra zisku podniků. V některých odvětvích mohlo mít dílčí vliv zrychlené navyšování minimální mzdy</w:t>
            </w:r>
            <w:r w:rsidRPr="00874EEF">
              <w:rPr>
                <w:spacing w:val="-6"/>
                <w:vertAlign w:val="superscript"/>
              </w:rPr>
              <w:footnoteReference w:id="22"/>
            </w:r>
            <w:r w:rsidRPr="00874EEF">
              <w:rPr>
                <w:spacing w:val="-6"/>
              </w:rPr>
              <w:t>.</w:t>
            </w:r>
          </w:p>
        </w:tc>
      </w:tr>
      <w:tr w:rsidR="00A40EDD" w:rsidRPr="00016778" w14:paraId="3C8C4DF4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439ECD4B" w14:textId="77777777" w:rsidR="00A40EDD" w:rsidRPr="005C6702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C6702">
              <w:rPr>
                <w:color w:val="0D0D0D" w:themeColor="text1" w:themeTint="F2"/>
                <w:spacing w:val="0"/>
              </w:rPr>
              <w:t>Očekáv</w:t>
            </w:r>
            <w:r>
              <w:rPr>
                <w:color w:val="0D0D0D" w:themeColor="text1" w:themeTint="F2"/>
                <w:spacing w:val="0"/>
              </w:rPr>
              <w:t>aný</w:t>
            </w:r>
            <w:r w:rsidRPr="005C6702">
              <w:rPr>
                <w:color w:val="0D0D0D" w:themeColor="text1" w:themeTint="F2"/>
                <w:spacing w:val="0"/>
              </w:rPr>
              <w:t xml:space="preserve"> meziroční růst reálné mzdy se na počátku loňského roku obnovil. V celoročním pohledu prostupoval všemi odvětvími.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3E367E67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4B9C0C2F" w14:textId="77777777" w:rsidR="00A40EDD" w:rsidRPr="00874EEF" w:rsidRDefault="00A40EDD" w:rsidP="002B48B4">
            <w:pPr>
              <w:spacing w:after="200"/>
              <w:rPr>
                <w:rStyle w:val="normaltextrun"/>
                <w:rFonts w:eastAsia="MS Gothic" w:cs="Arial"/>
                <w:spacing w:val="-6"/>
                <w:szCs w:val="20"/>
              </w:rPr>
            </w:pP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>Díky zklidnění cenové hladiny v ekonomice pokračoval očekávaný růst reálné mzdy. Ten ve 4. čtvrtletí činil meziročně 4,2 %. Za celý loňský rok pak 4,6 %, svižněji rostla kupní síla mezd za poslední dv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>ě dekády jen v éře konjunktury v letech 2018 a 2019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. </w:t>
            </w:r>
            <w:r w:rsidRPr="00874EEF">
              <w:rPr>
                <w:color w:val="0D0D0D" w:themeColor="text1" w:themeTint="F2"/>
                <w:spacing w:val="-6"/>
                <w:szCs w:val="20"/>
              </w:rPr>
              <w:t>V celoročním pohledu nastal loni růst ve všech hlavních odvětvích.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 Navýšení reálných mezd v ekonomice vede pozvolna k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> 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umazávání výrazného propadu kupní síly zaměstnanců let 2022 i 2023 (reálně se však na konci loňského roku průměrná mzda nacházela stále pouze na úrovni z konce roku 2018). Růst kupní síly mezd byl loni tlumen mírným zvýšením daňového zatížení práce (např. znovuzavedení zaměstnaneckých odvodů na nemocenské pojištění) schváleným v rámci vládního konsolidačního balíčku. </w:t>
            </w:r>
          </w:p>
        </w:tc>
      </w:tr>
      <w:tr w:rsidR="00A40EDD" w:rsidRPr="00016778" w14:paraId="137146D0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6D974C2D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  <w:r>
              <w:rPr>
                <w:color w:val="0D0D0D" w:themeColor="text1" w:themeTint="F2"/>
                <w:spacing w:val="0"/>
              </w:rPr>
              <w:t>Relativně nejvíce vzrostly ve 4</w:t>
            </w:r>
            <w:r w:rsidRPr="005C6702">
              <w:rPr>
                <w:color w:val="0D0D0D" w:themeColor="text1" w:themeTint="F2"/>
                <w:spacing w:val="0"/>
              </w:rPr>
              <w:t>. čtvrtletí průměrné mzdy v oblasti nemovitostí a vyspělých podnikových služeb.</w:t>
            </w:r>
            <w:r>
              <w:rPr>
                <w:color w:val="0D0D0D" w:themeColor="text1" w:themeTint="F2"/>
                <w:spacing w:val="0"/>
              </w:rPr>
              <w:t xml:space="preserve"> Nadále se dařilo i</w:t>
            </w:r>
            <w:r w:rsidRPr="005C6702">
              <w:rPr>
                <w:color w:val="0D0D0D" w:themeColor="text1" w:themeTint="F2"/>
                <w:spacing w:val="0"/>
              </w:rPr>
              <w:t> </w:t>
            </w:r>
            <w:r>
              <w:rPr>
                <w:color w:val="0D0D0D" w:themeColor="text1" w:themeTint="F2"/>
                <w:spacing w:val="0"/>
              </w:rPr>
              <w:t xml:space="preserve"> odvětvím spojeným s cestovním ruchem.</w:t>
            </w:r>
          </w:p>
          <w:p w14:paraId="60523F93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4E5DD387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088B5D1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17B3C940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673C6A2D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13C22218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19A2B781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12669FF7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61380E1" w14:textId="77777777" w:rsidR="00A40EDD" w:rsidRPr="00ED7FB5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ED7FB5">
              <w:rPr>
                <w:color w:val="0D0D0D" w:themeColor="text1" w:themeTint="F2"/>
                <w:spacing w:val="0"/>
              </w:rPr>
              <w:t xml:space="preserve">V odvětvích s nejvyšší mzdovou hladinou rostly loni mzdy relativně pomaleji. </w:t>
            </w:r>
          </w:p>
          <w:p w14:paraId="3543E96B" w14:textId="77777777" w:rsidR="00A40EDD" w:rsidRPr="005C6702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95E71C3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73EE8AF" w14:textId="77777777" w:rsidR="00A40EDD" w:rsidRPr="00874EEF" w:rsidRDefault="00A40EDD" w:rsidP="002B48B4">
            <w:pPr>
              <w:spacing w:after="200"/>
              <w:rPr>
                <w:rFonts w:eastAsia="MS Gothic" w:cs="Arial"/>
                <w:spacing w:val="-6"/>
                <w:szCs w:val="20"/>
              </w:rPr>
            </w:pP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Souhrnný růst průměrné mzdy zakrývá tradičně velmi různorodý vývoj na úrovni jednotlivých oborů podniků či organizací. Nejvyššího meziročního růstu dosáhly loni ve 4. čtvrtletí mzdy v malém odvětví činností v oblasti nemovitostí (16,0 %), což spolu se svižným růstem v letech 2022 i 2023 vedlo k tomu, že 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>s</w:t>
            </w:r>
            <w:r>
              <w:rPr>
                <w:rStyle w:val="normaltextrun"/>
                <w:rFonts w:eastAsia="MS Gothic" w:cs="Arial"/>
                <w:spacing w:val="-6"/>
              </w:rPr>
              <w:t xml:space="preserve">e 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>jejich aktuální úroveň (47,9 tis. korun) výrazně přiblížila celé ekonomice. Dynamicky rostly i mzdy v profesních, vědeckých a technických činnostech (12,2 %, absolutně o 6 836 korun – nejvíce ze všech odvětví) a stejně jako v předchozím odvětví jejich tempo během loňského roku zrychlovalo a bylo doprovázeno i nadprůměrným růstem zaměstnanosti. Pokračující zotavování příjezdového cestovního ruchu i navyšování hranice minimální mzdy se promítly do 10,3% růstu mezd v ubytování, stravování a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> 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>pohostinství (nadprůměrné tempo zde přetrvávalo čtvrtý rok v řadě). Stále však šlo jednoznačně o odvětví s nejnižší úrovní mezd (29,1 tis. korun, pouhá třetina oproti odvětví s nejvyššími výdělky – informační a komunikační činnosti). Dařilo se i stavebnictví, kde</w:t>
            </w:r>
            <w:r>
              <w:rPr>
                <w:rStyle w:val="normaltextrun"/>
                <w:rFonts w:eastAsia="MS Gothic" w:cs="Arial"/>
                <w:spacing w:val="-6"/>
                <w:szCs w:val="20"/>
              </w:rPr>
              <w:t xml:space="preserve"> </w:t>
            </w:r>
            <w:r>
              <w:rPr>
                <w:rStyle w:val="normaltextrun"/>
                <w:rFonts w:eastAsia="MS Gothic" w:cs="Arial"/>
                <w:spacing w:val="-6"/>
              </w:rPr>
              <w:t>je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 9,9% mzdový růst reakcí i na problém s chronickým nedostatkem zejména kvalifikované pracovní síly. To částečně platí i pro zdravotní a sociální péči, kde mzdy vzrostly o 9,2 %</w:t>
            </w:r>
            <w:r w:rsidRPr="00874EEF">
              <w:rPr>
                <w:rStyle w:val="Znakapoznpodarou"/>
                <w:rFonts w:eastAsia="MS Gothic"/>
                <w:spacing w:val="-6"/>
                <w:szCs w:val="20"/>
              </w:rPr>
              <w:footnoteReference w:id="23"/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 xml:space="preserve"> a jejich úroveň (54,9 tis. korun) byla ve 4. čtvrtletí ze všech odvětví s významnou rolí státu nejvyšší.</w:t>
            </w:r>
            <w:r w:rsidRPr="00874EEF">
              <w:rPr>
                <w:color w:val="0D0D0D" w:themeColor="text1" w:themeTint="F2"/>
                <w:spacing w:val="-6"/>
              </w:rPr>
              <w:t xml:space="preserve"> Ve váhově nejvýznamnějším odvětví služeb – obchodu – mzdový růst ve 4. čtvrtletí při stagnující zaměstnanosti zrychlil na 8,1 %. Podobné mzdové tempo i úroveň (45 tis. korun) měla i doprava a skladování (ovšem při rozdílném vývoji počtu zaměstnanců: −0,8 %). V odvětvích s nejvyšší mzdovou hladinou rostly výdělky relativně pomaleji: finančnictví (6,8</w:t>
            </w:r>
            <w:r w:rsidRPr="00874EEF">
              <w:rPr>
                <w:rStyle w:val="normaltextrun"/>
                <w:rFonts w:eastAsia="MS Gothic" w:cs="Arial"/>
                <w:spacing w:val="-6"/>
                <w:szCs w:val="20"/>
              </w:rPr>
              <w:t> %</w:t>
            </w:r>
            <w:r w:rsidRPr="00874EEF">
              <w:rPr>
                <w:color w:val="0D0D0D" w:themeColor="text1" w:themeTint="F2"/>
                <w:spacing w:val="-6"/>
              </w:rPr>
              <w:t xml:space="preserve">), oblast ICT (+7,3 %) </w:t>
            </w:r>
            <w:r>
              <w:rPr>
                <w:color w:val="0D0D0D" w:themeColor="text1" w:themeTint="F2"/>
                <w:spacing w:val="-6"/>
              </w:rPr>
              <w:t>z</w:t>
            </w:r>
            <w:r w:rsidRPr="00874EEF">
              <w:rPr>
                <w:color w:val="0D0D0D" w:themeColor="text1" w:themeTint="F2"/>
                <w:spacing w:val="-6"/>
              </w:rPr>
              <w:t xml:space="preserve"> celoroční</w:t>
            </w:r>
            <w:r>
              <w:rPr>
                <w:color w:val="0D0D0D" w:themeColor="text1" w:themeTint="F2"/>
                <w:spacing w:val="-6"/>
              </w:rPr>
              <w:t>ho</w:t>
            </w:r>
            <w:r w:rsidRPr="00874EEF">
              <w:rPr>
                <w:color w:val="0D0D0D" w:themeColor="text1" w:themeTint="F2"/>
                <w:spacing w:val="-6"/>
              </w:rPr>
              <w:t xml:space="preserve"> pohledu </w:t>
            </w:r>
            <w:r>
              <w:rPr>
                <w:color w:val="0D0D0D" w:themeColor="text1" w:themeTint="F2"/>
                <w:spacing w:val="-6"/>
              </w:rPr>
              <w:t xml:space="preserve">zaostávaly </w:t>
            </w:r>
            <w:r w:rsidRPr="00874EEF">
              <w:rPr>
                <w:color w:val="0D0D0D" w:themeColor="text1" w:themeTint="F2"/>
                <w:spacing w:val="-6"/>
              </w:rPr>
              <w:t>za tempem v celé ekonomice</w:t>
            </w:r>
            <w:r>
              <w:rPr>
                <w:color w:val="0D0D0D" w:themeColor="text1" w:themeTint="F2"/>
                <w:spacing w:val="-6"/>
              </w:rPr>
              <w:t>.</w:t>
            </w:r>
          </w:p>
        </w:tc>
      </w:tr>
      <w:tr w:rsidR="00A40EDD" w:rsidRPr="00016778" w14:paraId="02DCA0E1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7BB646BE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C6702">
              <w:rPr>
                <w:color w:val="0D0D0D" w:themeColor="text1" w:themeTint="F2"/>
                <w:spacing w:val="0"/>
              </w:rPr>
              <w:lastRenderedPageBreak/>
              <w:t>Růst mezd v ekonomice byl nadále tlumen potřebou rozpočtových úspor ve veřejných službách.</w:t>
            </w:r>
          </w:p>
          <w:p w14:paraId="1AC4D52C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C32AD10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F25FB82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3F2E62A6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718B4B86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0"/>
              </w:rPr>
              <w:t xml:space="preserve">Odbytové potíže zpracovatelského průmyslu se odrážely v podprůměrném mzdovém tempu </w:t>
            </w:r>
            <w:r>
              <w:rPr>
                <w:color w:val="0D0D0D" w:themeColor="text1" w:themeTint="F2"/>
                <w:spacing w:val="0"/>
              </w:rPr>
              <w:br/>
              <w:t>i dlouhodobějším poklesu zaměstnanosti.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07DD4FFD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50525D93" w14:textId="77777777" w:rsidR="00A40EDD" w:rsidRPr="00874EEF" w:rsidRDefault="00A40EDD" w:rsidP="002B48B4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874EEF">
              <w:rPr>
                <w:color w:val="0D0D0D" w:themeColor="text1" w:themeTint="F2"/>
                <w:spacing w:val="-6"/>
              </w:rPr>
              <w:t xml:space="preserve">Nejnižší mzdový růst pokračoval ve většině odvětví s významnou rolí státu. Ve veřejné správě, obraně a soc. zabezpečení, stejně jako ve vzdělávání, činil ve 4. čtvrtletí 2024 meziročně shodně jen 2,3 % a jako v jediných z hlavních odvětví v nich zaostal za inflací. V kulturních, zábavních a rekreačních činnostech byl sice aktuální mzdový růst průměrný (7,2 %), ale výše výdělků (43,3 tis. korun) </w:t>
            </w:r>
            <w:r>
              <w:rPr>
                <w:color w:val="0D0D0D" w:themeColor="text1" w:themeTint="F2"/>
                <w:spacing w:val="-6"/>
              </w:rPr>
              <w:t xml:space="preserve">citelně zaostávala </w:t>
            </w:r>
            <w:r w:rsidRPr="00874EEF">
              <w:rPr>
                <w:color w:val="0D0D0D" w:themeColor="text1" w:themeTint="F2"/>
                <w:spacing w:val="-6"/>
              </w:rPr>
              <w:t>za úrovní celé ekonomiky i vládního sektoru</w:t>
            </w:r>
            <w:r>
              <w:rPr>
                <w:color w:val="0D0D0D" w:themeColor="text1" w:themeTint="F2"/>
                <w:spacing w:val="-6"/>
              </w:rPr>
              <w:t>.</w:t>
            </w:r>
            <w:r w:rsidRPr="00874EEF">
              <w:rPr>
                <w:color w:val="0D0D0D" w:themeColor="text1" w:themeTint="F2"/>
                <w:spacing w:val="-6"/>
              </w:rPr>
              <w:t xml:space="preserve"> Z tržních odvětví vzrostly mzdy nejméně v těžbě a dobývání (1,2 %), hlavně vlivem vyšší loňské základny (vyplacení vyšších odměn). Stejný efekt nastal také u mezd v energetice (4,7 %), absolutní navýšení (+3 223 korun měsíčně) zde však bylo obdobné jako v celé ekonomice. Absolutně i relativně podprůměrně vzrostly mzdy v zemědělství, lesnictví a</w:t>
            </w:r>
            <w:r>
              <w:rPr>
                <w:color w:val="0D0D0D" w:themeColor="text1" w:themeTint="F2"/>
                <w:spacing w:val="-6"/>
              </w:rPr>
              <w:t> </w:t>
            </w:r>
            <w:r w:rsidRPr="00874EEF">
              <w:rPr>
                <w:color w:val="0D0D0D" w:themeColor="text1" w:themeTint="F2"/>
                <w:spacing w:val="-6"/>
              </w:rPr>
              <w:t>rybářství (6,4 %) i ve zpracovatelském průmyslu (7,0 %). V obou případech je doprovázel skoro 2% pokles počtu zaměstnanců. Z větších průmyslových oborů se mzdy zvýšily nejvíce ve výrobě elektrických zařízení (9,3 %), nejméně ve výrobě motorových vozidel (5,3 %), v níž i tak byla průměrná úroveň výdělků relativně vysoká (55,2 tis. korun).</w:t>
            </w:r>
          </w:p>
        </w:tc>
      </w:tr>
      <w:tr w:rsidR="00A40EDD" w:rsidRPr="00016778" w14:paraId="3CA38C7D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65148E5C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Mezi kraji vzrostly mzdy ve 4. čtvrtletí </w:t>
            </w:r>
            <w:r>
              <w:rPr>
                <w:color w:val="0D0D0D" w:themeColor="text1" w:themeTint="F2"/>
                <w:spacing w:val="-4"/>
              </w:rPr>
              <w:br/>
              <w:t>i v celoročním pohledu procentuálně nejvíce na Pardubicku, nejméně na Karlovarsku.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60A64939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6653EC77" w14:textId="77777777" w:rsidR="00A40EDD" w:rsidRPr="00874EEF" w:rsidRDefault="00A40EDD" w:rsidP="002B48B4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874EEF">
              <w:rPr>
                <w:color w:val="0D0D0D" w:themeColor="text1" w:themeTint="F2"/>
                <w:spacing w:val="-6"/>
              </w:rPr>
              <w:t>Mzdový růst mezi kraji se ve 4. čtvrtletí pohyboval od 9,0 % v Pardubickém kraji</w:t>
            </w:r>
            <w:r>
              <w:rPr>
                <w:color w:val="0D0D0D" w:themeColor="text1" w:themeTint="F2"/>
                <w:spacing w:val="-6"/>
              </w:rPr>
              <w:t>,</w:t>
            </w:r>
            <w:r w:rsidRPr="00874EEF">
              <w:rPr>
                <w:color w:val="0D0D0D" w:themeColor="text1" w:themeTint="F2"/>
                <w:spacing w:val="-6"/>
              </w:rPr>
              <w:t xml:space="preserve"> po 5,0 % v Karlovarském kraji, v němž současně přetrvávala nejnižší úroveň průměrných měsíčních mezd (42,3 tis. korun., jen 71 % úrovně Prahy). Evidenční počet zaměstnanců ve většině regionů meziročně klesal – nejvíce v Moravskoslezském kraji (−1,3 %, vlivem problémů těžkého průmyslu), vzrostl jen ve třech regionech, z toho významněji jen v Praze (+2,2 %).</w:t>
            </w:r>
          </w:p>
        </w:tc>
      </w:tr>
      <w:tr w:rsidR="00A40EDD" w:rsidRPr="00016778" w14:paraId="094A2D1E" w14:textId="77777777" w:rsidTr="304DB734">
        <w:trPr>
          <w:trHeight w:val="132"/>
        </w:trPr>
        <w:tc>
          <w:tcPr>
            <w:tcW w:w="1777" w:type="dxa"/>
            <w:shd w:val="clear" w:color="auto" w:fill="auto"/>
            <w:tcMar>
              <w:left w:w="0" w:type="dxa"/>
            </w:tcMar>
          </w:tcPr>
          <w:p w14:paraId="69516988" w14:textId="77777777" w:rsidR="00A40EDD" w:rsidRDefault="00A40EDD" w:rsidP="002B48B4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Mzdový medián rostl po celý loňský rok pomaleji než průměrná mzda. Nižší dynamika středních výdělků byla patrná hlavně u žen.</w:t>
            </w:r>
          </w:p>
        </w:tc>
        <w:tc>
          <w:tcPr>
            <w:tcW w:w="222" w:type="dxa"/>
            <w:shd w:val="clear" w:color="auto" w:fill="auto"/>
            <w:tcMar>
              <w:left w:w="0" w:type="dxa"/>
            </w:tcMar>
          </w:tcPr>
          <w:p w14:paraId="734A633D" w14:textId="77777777" w:rsidR="00A40EDD" w:rsidRPr="00016778" w:rsidRDefault="00A40EDD" w:rsidP="002B48B4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7CE1D64" w14:textId="345CF51F" w:rsidR="00A40EDD" w:rsidRPr="00874EEF" w:rsidRDefault="00A40EDD" w:rsidP="00A40EDD">
            <w:pPr>
              <w:spacing w:after="140"/>
              <w:rPr>
                <w:color w:val="0D0D0D" w:themeColor="text1" w:themeTint="F2"/>
                <w:spacing w:val="-6"/>
              </w:rPr>
            </w:pPr>
            <w:r w:rsidRPr="00874EEF">
              <w:rPr>
                <w:color w:val="0D0D0D" w:themeColor="text1" w:themeTint="F2"/>
                <w:spacing w:val="-6"/>
              </w:rPr>
              <w:t xml:space="preserve">Medián mezd se ve 4. čtvrtletí zvýšil pouze o 4,2 % (po celý loňský rok rostl volněji než průměrná mzda). Projevil se slabší růst u žen (ty často pracují ve veřejných službách). Za celý rok 2024 činil dle předběžných dat celkový medián mezd 41,7 tis. korun (meziročně +6,3 %). Pomaleji rostly hlavně střední výdělky, naopak svižněji </w:t>
            </w:r>
            <w:r>
              <w:rPr>
                <w:color w:val="0D0D0D" w:themeColor="text1" w:themeTint="F2"/>
                <w:spacing w:val="-6"/>
              </w:rPr>
              <w:t xml:space="preserve">se zvyšovaly jak vysoké </w:t>
            </w:r>
            <w:r w:rsidR="003A2B5E">
              <w:rPr>
                <w:color w:val="0D0D0D" w:themeColor="text1" w:themeTint="F2"/>
                <w:spacing w:val="-6"/>
              </w:rPr>
              <w:t>výdělky v 9. decilu</w:t>
            </w:r>
            <w:r w:rsidRPr="00874EEF">
              <w:rPr>
                <w:color w:val="0D0D0D" w:themeColor="text1" w:themeTint="F2"/>
                <w:spacing w:val="-6"/>
              </w:rPr>
              <w:t xml:space="preserve"> (o 7,7 %), který se zvýšil na 77,1 tis., korun, tak </w:t>
            </w:r>
            <w:r>
              <w:rPr>
                <w:color w:val="0D0D0D" w:themeColor="text1" w:themeTint="F2"/>
                <w:spacing w:val="-6"/>
              </w:rPr>
              <w:t>i nízké mzdy v</w:t>
            </w:r>
            <w:r w:rsidRPr="00874EEF">
              <w:rPr>
                <w:color w:val="0D0D0D" w:themeColor="text1" w:themeTint="F2"/>
                <w:spacing w:val="-6"/>
              </w:rPr>
              <w:t xml:space="preserve"> 1. decilu (o 7,5 %), který stoupl na 23,7 tis. korun. Mzdy mužů meziročně rostly rychleji než mzdy žen, a to v celém pásmu. Mediánová mzda žen se loni zvýšila o 6,1 % a její dosažená hladina (38,7 tis. korun) za úrovní mužů loni zaostávala o 13,6 %. Z pohledu profesních skupin vzrostly loni průměrné mzdy nejvíce specialistům (+10,5 %), u ostatních skupin se tempo příliš neodlišovalo.</w:t>
            </w:r>
          </w:p>
        </w:tc>
      </w:tr>
      <w:tr w:rsidR="00A40EDD" w:rsidRPr="00716203" w14:paraId="32C37834" w14:textId="77777777" w:rsidTr="304DB734">
        <w:trPr>
          <w:trHeight w:val="475"/>
        </w:trPr>
        <w:tc>
          <w:tcPr>
            <w:tcW w:w="1777" w:type="dxa"/>
            <w:vMerge w:val="restart"/>
            <w:shd w:val="clear" w:color="auto" w:fill="auto"/>
            <w:tcMar>
              <w:left w:w="0" w:type="dxa"/>
            </w:tcMar>
          </w:tcPr>
          <w:p w14:paraId="7DB19CAE" w14:textId="77777777" w:rsidR="00A40EDD" w:rsidRPr="00A90A79" w:rsidRDefault="00A40EDD" w:rsidP="002B48B4">
            <w:pPr>
              <w:pStyle w:val="Marginlie"/>
              <w:rPr>
                <w:spacing w:val="-4"/>
              </w:rPr>
            </w:pPr>
          </w:p>
        </w:tc>
        <w:tc>
          <w:tcPr>
            <w:tcW w:w="222" w:type="dxa"/>
            <w:vMerge w:val="restart"/>
            <w:shd w:val="clear" w:color="auto" w:fill="auto"/>
            <w:tcMar>
              <w:left w:w="0" w:type="dxa"/>
            </w:tcMar>
          </w:tcPr>
          <w:p w14:paraId="21D4B5AD" w14:textId="77777777" w:rsidR="00A40EDD" w:rsidRPr="00B43216" w:rsidRDefault="00A40EDD" w:rsidP="002B48B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784A6810" w14:textId="77777777" w:rsidR="00A40EDD" w:rsidRDefault="00A40EDD" w:rsidP="002B48B4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Graf č. 15 Průměrná nominální i reálná mzda a produktivita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</w:t>
            </w: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>práce</w:t>
            </w:r>
          </w:p>
          <w:p w14:paraId="5987332F" w14:textId="77777777" w:rsidR="00A40EDD" w:rsidRPr="00A90A79" w:rsidRDefault="00A40EDD" w:rsidP="002B48B4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>(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za jednotlivá pololetí, meziroční změna, v %)</w:t>
            </w:r>
          </w:p>
        </w:tc>
      </w:tr>
      <w:tr w:rsidR="00A40EDD" w:rsidRPr="00716203" w14:paraId="53948740" w14:textId="77777777" w:rsidTr="304DB734">
        <w:trPr>
          <w:trHeight w:val="1935"/>
        </w:trPr>
        <w:tc>
          <w:tcPr>
            <w:tcW w:w="1777" w:type="dxa"/>
            <w:vMerge/>
            <w:tcMar>
              <w:left w:w="0" w:type="dxa"/>
            </w:tcMar>
          </w:tcPr>
          <w:p w14:paraId="0FE72C79" w14:textId="77777777" w:rsidR="00A40EDD" w:rsidRPr="00A90A79" w:rsidRDefault="00A40EDD" w:rsidP="002B48B4">
            <w:pPr>
              <w:pStyle w:val="Marginlie"/>
              <w:rPr>
                <w:spacing w:val="-4"/>
              </w:rPr>
            </w:pPr>
          </w:p>
        </w:tc>
        <w:tc>
          <w:tcPr>
            <w:tcW w:w="222" w:type="dxa"/>
            <w:vMerge/>
            <w:tcMar>
              <w:left w:w="0" w:type="dxa"/>
            </w:tcMar>
          </w:tcPr>
          <w:p w14:paraId="32A1DFAC" w14:textId="77777777" w:rsidR="00A40EDD" w:rsidRPr="00B43216" w:rsidRDefault="00A40EDD" w:rsidP="002B48B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070E886E" w14:textId="77777777" w:rsidR="00A40EDD" w:rsidRPr="00A90A79" w:rsidRDefault="00A40EDD" w:rsidP="002B48B4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819E73" wp14:editId="1C74C0ED">
                  <wp:extent cx="4867275" cy="3371850"/>
                  <wp:effectExtent l="0" t="0" r="0" b="0"/>
                  <wp:docPr id="45" name="Graf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40EDD" w:rsidRPr="00716203" w14:paraId="24F9F3E7" w14:textId="77777777" w:rsidTr="304DB734">
        <w:trPr>
          <w:trHeight w:val="475"/>
        </w:trPr>
        <w:tc>
          <w:tcPr>
            <w:tcW w:w="1777" w:type="dxa"/>
            <w:vMerge/>
            <w:tcMar>
              <w:left w:w="0" w:type="dxa"/>
            </w:tcMar>
          </w:tcPr>
          <w:p w14:paraId="0415914C" w14:textId="77777777" w:rsidR="00A40EDD" w:rsidRPr="00A90A79" w:rsidRDefault="00A40EDD" w:rsidP="002B48B4">
            <w:pPr>
              <w:pStyle w:val="Marginlie"/>
              <w:rPr>
                <w:spacing w:val="-4"/>
              </w:rPr>
            </w:pPr>
          </w:p>
        </w:tc>
        <w:tc>
          <w:tcPr>
            <w:tcW w:w="222" w:type="dxa"/>
            <w:vMerge/>
            <w:tcMar>
              <w:left w:w="0" w:type="dxa"/>
            </w:tcMar>
          </w:tcPr>
          <w:p w14:paraId="4A73CB6E" w14:textId="77777777" w:rsidR="00A40EDD" w:rsidRPr="00B43216" w:rsidRDefault="00A40EDD" w:rsidP="002B48B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5" w:type="dxa"/>
            <w:shd w:val="clear" w:color="auto" w:fill="auto"/>
            <w:tcMar>
              <w:left w:w="0" w:type="dxa"/>
            </w:tcMar>
          </w:tcPr>
          <w:p w14:paraId="575004FD" w14:textId="77777777" w:rsidR="00A40EDD" w:rsidRDefault="00A40EDD" w:rsidP="002B48B4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*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Zahrnuj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e odvětví s významnou rolí vládního sektoru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: Veřejná správa a obrana, povinné sociální zabezpečení; Vzdělávání; Zdravotní a sociální péče; Kulturn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í, zábavní a rekreační činnosti.</w:t>
            </w:r>
          </w:p>
          <w:p w14:paraId="33DC496F" w14:textId="77777777" w:rsidR="00A40EDD" w:rsidRPr="00A90A79" w:rsidRDefault="00A40EDD" w:rsidP="002B48B4">
            <w:pPr>
              <w:spacing w:after="0"/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**Vyjadřuje HDP (ve stálých cenách) vztažený na 1 pracovníka (ve fyzických osobách).                                                        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Zdroj: ČSÚ</w:t>
            </w:r>
          </w:p>
        </w:tc>
      </w:tr>
    </w:tbl>
    <w:p w14:paraId="7B39D861" w14:textId="7DB85B55" w:rsidR="00443556" w:rsidRPr="00A40EDD" w:rsidRDefault="00443556">
      <w:pPr>
        <w:spacing w:after="0" w:line="240" w:lineRule="auto"/>
        <w:jc w:val="left"/>
        <w:rPr>
          <w:rFonts w:eastAsia="MS Gothic"/>
          <w:b/>
          <w:bCs/>
          <w:color w:val="86BF5E"/>
          <w:sz w:val="6"/>
          <w:szCs w:val="6"/>
        </w:rPr>
      </w:pPr>
      <w:bookmarkStart w:id="2" w:name="_GoBack"/>
      <w:bookmarkEnd w:id="2"/>
    </w:p>
    <w:bookmarkEnd w:id="0"/>
    <w:sectPr w:rsidR="00443556" w:rsidRPr="00A40EDD" w:rsidSect="004D259E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2B48B4" w:rsidRDefault="002B48B4" w:rsidP="00E71A58">
      <w:r>
        <w:separator/>
      </w:r>
    </w:p>
  </w:endnote>
  <w:endnote w:type="continuationSeparator" w:id="0">
    <w:p w14:paraId="70B7E2B6" w14:textId="77777777" w:rsidR="002B48B4" w:rsidRDefault="002B48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51FE83C1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4D259E">
      <w:rPr>
        <w:szCs w:val="16"/>
      </w:rPr>
      <w:t>40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68C08643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rok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4D259E">
      <w:rPr>
        <w:rStyle w:val="ZpatChar"/>
        <w:szCs w:val="16"/>
      </w:rPr>
      <w:t>41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2B48B4" w:rsidRDefault="002B48B4" w:rsidP="00EA4302">
      <w:pPr>
        <w:spacing w:after="0"/>
      </w:pPr>
      <w:r>
        <w:separator/>
      </w:r>
    </w:p>
  </w:footnote>
  <w:footnote w:type="continuationSeparator" w:id="0">
    <w:p w14:paraId="70CDBF0C" w14:textId="77777777" w:rsidR="002B48B4" w:rsidRDefault="002B48B4" w:rsidP="00E71A58">
      <w:r>
        <w:continuationSeparator/>
      </w:r>
    </w:p>
  </w:footnote>
  <w:footnote w:id="1">
    <w:p w14:paraId="71FA8C54" w14:textId="77777777" w:rsidR="002B48B4" w:rsidRPr="00F72E52" w:rsidRDefault="002B48B4" w:rsidP="00A40EDD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  <w:r>
        <w:rPr>
          <w:color w:val="0D0D0D" w:themeColor="text1" w:themeTint="F2"/>
          <w:spacing w:val="-2"/>
          <w:sz w:val="16"/>
          <w:szCs w:val="16"/>
        </w:rPr>
        <w:t xml:space="preserve"> Na rozdíl od údajů z podnikové statistiky či z </w:t>
      </w:r>
      <w:r w:rsidRPr="00946AFA">
        <w:rPr>
          <w:sz w:val="16"/>
          <w:szCs w:val="16"/>
        </w:rPr>
        <w:t xml:space="preserve">výběrového šetření pracovních sil </w:t>
      </w:r>
      <w:r>
        <w:rPr>
          <w:sz w:val="16"/>
          <w:szCs w:val="16"/>
        </w:rPr>
        <w:t>(VŠPS) zahrnují např. i odhad vlivu šedé ekonomiky.</w:t>
      </w:r>
    </w:p>
  </w:footnote>
  <w:footnote w:id="2">
    <w:p w14:paraId="33E67784" w14:textId="77777777" w:rsidR="002B48B4" w:rsidRPr="000B4BE2" w:rsidRDefault="002B48B4" w:rsidP="00A40EDD">
      <w:pPr>
        <w:pStyle w:val="Textpoznpodarou"/>
        <w:rPr>
          <w:spacing w:val="-3"/>
          <w:sz w:val="16"/>
          <w:szCs w:val="16"/>
        </w:rPr>
      </w:pPr>
      <w:r w:rsidRPr="000B4BE2">
        <w:rPr>
          <w:rStyle w:val="Znakapoznpodarou"/>
          <w:spacing w:val="-3"/>
          <w:sz w:val="16"/>
          <w:szCs w:val="16"/>
        </w:rPr>
        <w:footnoteRef/>
      </w:r>
      <w:r w:rsidRPr="000B4BE2"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 xml:space="preserve">To platí nepřetržitě počínaje rokem 2016, přičemž relativně pomaleji rostla v tuzemsku zaměstnanost v kategorii zaměstnanců. Vloni se v EU </w:t>
      </w:r>
      <w:r w:rsidRPr="000B4BE2">
        <w:rPr>
          <w:spacing w:val="-3"/>
          <w:sz w:val="16"/>
          <w:szCs w:val="16"/>
        </w:rPr>
        <w:t xml:space="preserve">počet </w:t>
      </w:r>
      <w:r>
        <w:rPr>
          <w:spacing w:val="-3"/>
          <w:sz w:val="16"/>
          <w:szCs w:val="16"/>
        </w:rPr>
        <w:t xml:space="preserve">všech </w:t>
      </w:r>
      <w:r w:rsidRPr="000B4BE2">
        <w:rPr>
          <w:spacing w:val="-3"/>
          <w:sz w:val="16"/>
          <w:szCs w:val="16"/>
        </w:rPr>
        <w:t xml:space="preserve">pracovníků meziročně </w:t>
      </w:r>
      <w:r>
        <w:rPr>
          <w:spacing w:val="-3"/>
          <w:sz w:val="16"/>
          <w:szCs w:val="16"/>
        </w:rPr>
        <w:t>zvýšil o 0,8</w:t>
      </w:r>
      <w:r w:rsidRPr="000B4BE2">
        <w:rPr>
          <w:spacing w:val="-3"/>
          <w:sz w:val="16"/>
          <w:szCs w:val="16"/>
        </w:rPr>
        <w:t xml:space="preserve"> %</w:t>
      </w:r>
      <w:r>
        <w:rPr>
          <w:spacing w:val="-3"/>
          <w:sz w:val="16"/>
          <w:szCs w:val="16"/>
        </w:rPr>
        <w:t xml:space="preserve"> (nejméně za poslední čtyři roky). Také v Unii</w:t>
      </w:r>
      <w:r w:rsidRPr="000B4BE2">
        <w:rPr>
          <w:spacing w:val="-3"/>
          <w:sz w:val="16"/>
          <w:szCs w:val="16"/>
        </w:rPr>
        <w:t xml:space="preserve"> spočívalo těžiště</w:t>
      </w:r>
      <w:r>
        <w:rPr>
          <w:spacing w:val="-3"/>
          <w:sz w:val="16"/>
          <w:szCs w:val="16"/>
        </w:rPr>
        <w:t xml:space="preserve"> růstu zaměstnanosti v terciární sféře</w:t>
      </w:r>
      <w:r w:rsidRPr="000B4BE2">
        <w:rPr>
          <w:spacing w:val="-3"/>
          <w:sz w:val="16"/>
          <w:szCs w:val="16"/>
        </w:rPr>
        <w:t xml:space="preserve"> – nejvíce se zvyšovala </w:t>
      </w:r>
      <w:r>
        <w:rPr>
          <w:spacing w:val="-3"/>
          <w:sz w:val="16"/>
          <w:szCs w:val="16"/>
        </w:rPr>
        <w:t>v</w:t>
      </w:r>
      <w:r w:rsidRPr="000B4BE2">
        <w:rPr>
          <w:spacing w:val="-3"/>
          <w:sz w:val="16"/>
          <w:szCs w:val="16"/>
        </w:rPr>
        <w:t> informa</w:t>
      </w:r>
      <w:r>
        <w:rPr>
          <w:spacing w:val="-3"/>
          <w:sz w:val="16"/>
          <w:szCs w:val="16"/>
        </w:rPr>
        <w:t xml:space="preserve">čních a komunikačních činnostech (+2,2 %) a </w:t>
      </w:r>
      <w:r w:rsidRPr="000B4BE2">
        <w:rPr>
          <w:spacing w:val="-3"/>
          <w:sz w:val="16"/>
          <w:szCs w:val="16"/>
        </w:rPr>
        <w:t>v</w:t>
      </w:r>
      <w:r>
        <w:rPr>
          <w:spacing w:val="-3"/>
          <w:sz w:val="16"/>
          <w:szCs w:val="16"/>
        </w:rPr>
        <w:t>e veřejných službách (+1,7 %). Místa naopak nadále ztrácelo zejména zemědělství, lesnictví a rybářství (−3,2 %) a ve zpracovatelském průmyslu loni (stejně jako v roce 2023) zaměstnanost stagnovala.</w:t>
      </w:r>
      <w:r w:rsidRPr="000B4BE2">
        <w:rPr>
          <w:spacing w:val="-3"/>
          <w:sz w:val="16"/>
          <w:szCs w:val="16"/>
        </w:rPr>
        <w:t xml:space="preserve"> Z jednotlivých států vzrostl celkový počet</w:t>
      </w:r>
      <w:r>
        <w:rPr>
          <w:spacing w:val="-3"/>
          <w:sz w:val="16"/>
          <w:szCs w:val="16"/>
        </w:rPr>
        <w:t xml:space="preserve"> pracovníků nejvíce v Chorvatsku (+6,1</w:t>
      </w:r>
      <w:r w:rsidRPr="000B4BE2">
        <w:rPr>
          <w:spacing w:val="-3"/>
          <w:sz w:val="16"/>
          <w:szCs w:val="16"/>
        </w:rPr>
        <w:t xml:space="preserve"> %)</w:t>
      </w:r>
      <w:r>
        <w:rPr>
          <w:spacing w:val="-3"/>
          <w:sz w:val="16"/>
          <w:szCs w:val="16"/>
        </w:rPr>
        <w:t xml:space="preserve"> či Irsku (+2,7 %)</w:t>
      </w:r>
      <w:r w:rsidRPr="000B4BE2">
        <w:rPr>
          <w:spacing w:val="-3"/>
          <w:sz w:val="16"/>
          <w:szCs w:val="16"/>
        </w:rPr>
        <w:t xml:space="preserve">, </w:t>
      </w:r>
      <w:r>
        <w:rPr>
          <w:spacing w:val="-3"/>
          <w:sz w:val="16"/>
          <w:szCs w:val="16"/>
        </w:rPr>
        <w:br/>
        <w:t>z významných ekonomik hlavně ve Španělsku (+2,2</w:t>
      </w:r>
      <w:r w:rsidRPr="000B4BE2">
        <w:rPr>
          <w:spacing w:val="-3"/>
          <w:sz w:val="16"/>
          <w:szCs w:val="16"/>
        </w:rPr>
        <w:t> %)</w:t>
      </w:r>
      <w:r>
        <w:rPr>
          <w:spacing w:val="-3"/>
          <w:sz w:val="16"/>
          <w:szCs w:val="16"/>
        </w:rPr>
        <w:t xml:space="preserve"> a</w:t>
      </w:r>
      <w:r w:rsidRPr="000B4BE2"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 Itálii (+1,6</w:t>
      </w:r>
      <w:r w:rsidRPr="000B4BE2">
        <w:rPr>
          <w:spacing w:val="-3"/>
          <w:sz w:val="16"/>
          <w:szCs w:val="16"/>
        </w:rPr>
        <w:t xml:space="preserve"> %). Počet pracovníků klesl jen v</w:t>
      </w:r>
      <w:r>
        <w:rPr>
          <w:spacing w:val="-3"/>
          <w:sz w:val="16"/>
          <w:szCs w:val="16"/>
        </w:rPr>
        <w:t xml:space="preserve"> pěti </w:t>
      </w:r>
      <w:r w:rsidRPr="000B4BE2">
        <w:rPr>
          <w:spacing w:val="-3"/>
          <w:sz w:val="16"/>
          <w:szCs w:val="16"/>
        </w:rPr>
        <w:t>vesměs menších zemíc</w:t>
      </w:r>
      <w:r>
        <w:rPr>
          <w:spacing w:val="-3"/>
          <w:sz w:val="16"/>
          <w:szCs w:val="16"/>
        </w:rPr>
        <w:t>h – zejména v Lotyšsku (−0,9 %) a Finsku (−0,6 %), ale též v Polsku (−0,7 %) či na Slovensku (−0,2 %), ve většině případů hlavně vinou nepříznivého vývoje v průmyslu. I velmi mírný celkový růst v Česku znamenal nejvyšší tempo v regionu střední Evropy.</w:t>
      </w:r>
      <w:r w:rsidRPr="000B4BE2"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 Německu sice počet pracovníků celkově mírně vzrostl (+0,2 %), v samotném zpracovatelském průmyslu jich ovšem ubylo rovné 1 %.</w:t>
      </w:r>
    </w:p>
  </w:footnote>
  <w:footnote w:id="3">
    <w:p w14:paraId="2B83C651" w14:textId="77777777" w:rsidR="002B48B4" w:rsidRDefault="002B48B4" w:rsidP="00A40EDD">
      <w:pPr>
        <w:pStyle w:val="Textpoznpodarou"/>
      </w:pPr>
      <w:r w:rsidRPr="00442EDD">
        <w:rPr>
          <w:rStyle w:val="Znakapoznpodarou"/>
          <w:sz w:val="16"/>
          <w:szCs w:val="16"/>
        </w:rPr>
        <w:footnoteRef/>
      </w:r>
      <w:r w:rsidRPr="00442EDD">
        <w:rPr>
          <w:sz w:val="16"/>
          <w:szCs w:val="16"/>
        </w:rPr>
        <w:t xml:space="preserve"> </w:t>
      </w:r>
      <w:r w:rsidRPr="00442EDD">
        <w:rPr>
          <w:spacing w:val="-2"/>
          <w:sz w:val="16"/>
          <w:szCs w:val="16"/>
        </w:rPr>
        <w:t>Zahrnují odvětví Veřejná správa a obrana, vzdělávání, zdravotní a sociální péče.</w:t>
      </w:r>
    </w:p>
  </w:footnote>
  <w:footnote w:id="4">
    <w:p w14:paraId="795BD036" w14:textId="77777777" w:rsidR="002B48B4" w:rsidRDefault="002B48B4" w:rsidP="00A40EDD">
      <w:pPr>
        <w:pStyle w:val="Textpoznpodarou"/>
      </w:pPr>
      <w:r w:rsidRPr="00A4392F">
        <w:rPr>
          <w:rStyle w:val="Znakapoznpodarou"/>
          <w:sz w:val="16"/>
          <w:szCs w:val="16"/>
        </w:rPr>
        <w:footnoteRef/>
      </w:r>
      <w:r w:rsidRPr="00A4392F">
        <w:rPr>
          <w:sz w:val="16"/>
          <w:szCs w:val="16"/>
        </w:rPr>
        <w:t xml:space="preserve"> Jde</w:t>
      </w:r>
      <w:r w:rsidRPr="00180D79">
        <w:rPr>
          <w:sz w:val="16"/>
          <w:szCs w:val="16"/>
        </w:rPr>
        <w:t xml:space="preserve"> např. o odvětví ostatní služby (+2,0 %) zahrnující vedle kulturních, zábavních a rekreačních činností např. různé služby pro domácnosti (opravy výrobků, kadeřnické a kosmetické činnosti aj.). Zaměstnanost v této sekci</w:t>
      </w:r>
      <w:r>
        <w:rPr>
          <w:sz w:val="16"/>
          <w:szCs w:val="16"/>
        </w:rPr>
        <w:t xml:space="preserve"> (tvořená skoro ze 40 % </w:t>
      </w:r>
      <w:r w:rsidRPr="00180D79">
        <w:rPr>
          <w:sz w:val="16"/>
          <w:szCs w:val="16"/>
        </w:rPr>
        <w:t xml:space="preserve">drobnými podnikateli), citelně postižené v období protipandemických restrikcí, ovšem za úrovní z roku 2019 </w:t>
      </w:r>
      <w:r>
        <w:rPr>
          <w:sz w:val="16"/>
          <w:szCs w:val="16"/>
        </w:rPr>
        <w:t>stále mírně</w:t>
      </w:r>
      <w:r w:rsidRPr="00180D79">
        <w:rPr>
          <w:sz w:val="16"/>
          <w:szCs w:val="16"/>
        </w:rPr>
        <w:t xml:space="preserve"> zaostávala.</w:t>
      </w:r>
    </w:p>
  </w:footnote>
  <w:footnote w:id="5">
    <w:p w14:paraId="524FB010" w14:textId="77777777" w:rsidR="002B48B4" w:rsidRPr="00A4392F" w:rsidRDefault="002B48B4" w:rsidP="00A40EDD">
      <w:pPr>
        <w:pStyle w:val="Textpoznpodarou"/>
        <w:rPr>
          <w:sz w:val="16"/>
          <w:szCs w:val="16"/>
        </w:rPr>
      </w:pPr>
      <w:r w:rsidRPr="00A4392F">
        <w:rPr>
          <w:rStyle w:val="Znakapoznpodarou"/>
          <w:sz w:val="16"/>
          <w:szCs w:val="16"/>
        </w:rPr>
        <w:footnoteRef/>
      </w:r>
      <w:r w:rsidRPr="00A4392F">
        <w:rPr>
          <w:sz w:val="16"/>
          <w:szCs w:val="16"/>
        </w:rPr>
        <w:t xml:space="preserve"> Blížící se, byť patrně dočasnou změnu poptávky po pracovnících v tomto odvětví naznačovalo již během roku 2023 zastavení růstu reálných tržeb.</w:t>
      </w:r>
    </w:p>
  </w:footnote>
  <w:footnote w:id="6">
    <w:p w14:paraId="562226CF" w14:textId="77777777" w:rsidR="002B48B4" w:rsidRPr="00431D5A" w:rsidRDefault="002B48B4" w:rsidP="00A40EDD">
      <w:pPr>
        <w:pStyle w:val="Textpoznpodarou"/>
        <w:rPr>
          <w:sz w:val="16"/>
          <w:szCs w:val="16"/>
        </w:rPr>
      </w:pPr>
      <w:r w:rsidRPr="00431D5A">
        <w:rPr>
          <w:rStyle w:val="Znakapoznpodarou"/>
          <w:sz w:val="16"/>
          <w:szCs w:val="16"/>
        </w:rPr>
        <w:footnoteRef/>
      </w:r>
      <w:r w:rsidRPr="00431D5A">
        <w:rPr>
          <w:sz w:val="16"/>
          <w:szCs w:val="16"/>
        </w:rPr>
        <w:t xml:space="preserve"> Pokles zaměs</w:t>
      </w:r>
      <w:r>
        <w:rPr>
          <w:sz w:val="16"/>
          <w:szCs w:val="16"/>
        </w:rPr>
        <w:t>tnanosti nastal loni</w:t>
      </w:r>
      <w:r w:rsidRPr="00431D5A">
        <w:rPr>
          <w:sz w:val="16"/>
          <w:szCs w:val="16"/>
        </w:rPr>
        <w:t xml:space="preserve"> napříč takřka všemi zpracovatelskými obory. V</w:t>
      </w:r>
      <w:r>
        <w:rPr>
          <w:sz w:val="16"/>
          <w:szCs w:val="16"/>
        </w:rPr>
        <w:t>ýjimkou bylo potravinářství (+2,1</w:t>
      </w:r>
      <w:r w:rsidRPr="00431D5A">
        <w:rPr>
          <w:sz w:val="16"/>
          <w:szCs w:val="16"/>
        </w:rPr>
        <w:t xml:space="preserve"> %) a také </w:t>
      </w:r>
      <w:r>
        <w:rPr>
          <w:sz w:val="16"/>
          <w:szCs w:val="16"/>
        </w:rPr>
        <w:t>chemický průmy</w:t>
      </w:r>
      <w:r w:rsidRPr="00431D5A">
        <w:rPr>
          <w:sz w:val="16"/>
          <w:szCs w:val="16"/>
        </w:rPr>
        <w:t>s</w:t>
      </w:r>
      <w:r>
        <w:rPr>
          <w:sz w:val="16"/>
          <w:szCs w:val="16"/>
        </w:rPr>
        <w:t>l</w:t>
      </w:r>
      <w:r w:rsidRPr="00431D5A">
        <w:rPr>
          <w:sz w:val="16"/>
          <w:szCs w:val="16"/>
        </w:rPr>
        <w:t xml:space="preserve">, kde se zaměstnanost </w:t>
      </w:r>
      <w:r>
        <w:rPr>
          <w:sz w:val="16"/>
          <w:szCs w:val="16"/>
        </w:rPr>
        <w:t xml:space="preserve">postupně </w:t>
      </w:r>
      <w:r w:rsidRPr="00431D5A">
        <w:rPr>
          <w:sz w:val="16"/>
          <w:szCs w:val="16"/>
        </w:rPr>
        <w:t>stabilizovala.</w:t>
      </w:r>
    </w:p>
  </w:footnote>
  <w:footnote w:id="7">
    <w:p w14:paraId="7737BA99" w14:textId="77777777" w:rsidR="002B48B4" w:rsidRPr="007F521C" w:rsidRDefault="002B48B4" w:rsidP="00A40EDD">
      <w:pPr>
        <w:pStyle w:val="Textpoznpodarou"/>
        <w:rPr>
          <w:color w:val="0D0D0D" w:themeColor="text1" w:themeTint="F2"/>
          <w:sz w:val="16"/>
          <w:szCs w:val="16"/>
        </w:rPr>
      </w:pPr>
      <w:r w:rsidRPr="00EE4883">
        <w:rPr>
          <w:rStyle w:val="Znakapoznpodarou"/>
          <w:color w:val="0D0D0D" w:themeColor="text1" w:themeTint="F2"/>
          <w:sz w:val="16"/>
          <w:szCs w:val="16"/>
        </w:rPr>
        <w:footnoteRef/>
      </w:r>
      <w:r w:rsidRPr="00EE4883">
        <w:rPr>
          <w:color w:val="0D0D0D" w:themeColor="text1" w:themeTint="F2"/>
          <w:sz w:val="16"/>
          <w:szCs w:val="16"/>
        </w:rPr>
        <w:t xml:space="preserve"> Dle údajů z VŠPS pracovalo loni ve 4. čtvrtletí v Česku na zkrácený úvazek 483 osob, meziročně o 9 % více (za posledních šest let </w:t>
      </w:r>
      <w:r>
        <w:rPr>
          <w:color w:val="0D0D0D" w:themeColor="text1" w:themeTint="F2"/>
          <w:sz w:val="16"/>
          <w:szCs w:val="16"/>
        </w:rPr>
        <w:br/>
      </w:r>
      <w:r w:rsidRPr="00EE4883">
        <w:rPr>
          <w:color w:val="0D0D0D" w:themeColor="text1" w:themeTint="F2"/>
          <w:sz w:val="16"/>
          <w:szCs w:val="16"/>
        </w:rPr>
        <w:t>o 24 %</w:t>
      </w:r>
      <w:r>
        <w:rPr>
          <w:color w:val="0D0D0D" w:themeColor="text1" w:themeTint="F2"/>
          <w:sz w:val="16"/>
          <w:szCs w:val="16"/>
        </w:rPr>
        <w:t xml:space="preserve"> více</w:t>
      </w:r>
      <w:r w:rsidRPr="00EE4883">
        <w:rPr>
          <w:color w:val="0D0D0D" w:themeColor="text1" w:themeTint="F2"/>
          <w:sz w:val="16"/>
          <w:szCs w:val="16"/>
        </w:rPr>
        <w:t>). K růstu přispěly hlavně ženy, z nichž tuto formu práce využívalo již 14,4 % (nejvíce ve věku 30 až 44 let). Mezi pracují</w:t>
      </w:r>
      <w:r>
        <w:rPr>
          <w:color w:val="0D0D0D" w:themeColor="text1" w:themeTint="F2"/>
          <w:sz w:val="16"/>
          <w:szCs w:val="16"/>
        </w:rPr>
        <w:t>cími muži ji ale preferovalo</w:t>
      </w:r>
      <w:r w:rsidRPr="00EE4883">
        <w:rPr>
          <w:color w:val="0D0D0D" w:themeColor="text1" w:themeTint="F2"/>
          <w:sz w:val="16"/>
          <w:szCs w:val="16"/>
        </w:rPr>
        <w:t xml:space="preserve"> jen 5 % (většinou na sklonku pracovní kariéry). I přes </w:t>
      </w:r>
      <w:r>
        <w:rPr>
          <w:color w:val="0D0D0D" w:themeColor="text1" w:themeTint="F2"/>
          <w:sz w:val="16"/>
          <w:szCs w:val="16"/>
        </w:rPr>
        <w:t>aktuální</w:t>
      </w:r>
      <w:r w:rsidRPr="00EE4883">
        <w:rPr>
          <w:color w:val="0D0D0D" w:themeColor="text1" w:themeTint="F2"/>
          <w:sz w:val="16"/>
          <w:szCs w:val="16"/>
        </w:rPr>
        <w:t xml:space="preserve"> navýšení zůstává zastoupení těchto úvazků na tuze</w:t>
      </w:r>
      <w:r w:rsidRPr="007F521C">
        <w:rPr>
          <w:color w:val="0D0D0D" w:themeColor="text1" w:themeTint="F2"/>
          <w:sz w:val="16"/>
          <w:szCs w:val="16"/>
        </w:rPr>
        <w:t xml:space="preserve">mském pracovním trhu relativně nízké. Podíl </w:t>
      </w:r>
      <w:r>
        <w:rPr>
          <w:color w:val="0D0D0D" w:themeColor="text1" w:themeTint="F2"/>
          <w:sz w:val="16"/>
          <w:szCs w:val="16"/>
        </w:rPr>
        <w:t xml:space="preserve">takto </w:t>
      </w:r>
      <w:r w:rsidRPr="007F521C">
        <w:rPr>
          <w:color w:val="0D0D0D" w:themeColor="text1" w:themeTint="F2"/>
          <w:sz w:val="16"/>
          <w:szCs w:val="16"/>
        </w:rPr>
        <w:t>zaměstnaných o</w:t>
      </w:r>
      <w:r>
        <w:rPr>
          <w:color w:val="0D0D0D" w:themeColor="text1" w:themeTint="F2"/>
          <w:sz w:val="16"/>
          <w:szCs w:val="16"/>
        </w:rPr>
        <w:t>sob byl</w:t>
      </w:r>
      <w:r w:rsidRPr="007F521C">
        <w:rPr>
          <w:color w:val="0D0D0D" w:themeColor="text1" w:themeTint="F2"/>
          <w:sz w:val="16"/>
          <w:szCs w:val="16"/>
        </w:rPr>
        <w:t xml:space="preserve"> na konci roku 2024 v Česku (9,0 %) ve srovnání s hodnotou v EU pouze poloviční (podobné relace platí pro muže i ženy). Na druhou stranu v rámci států, jež do Unie vstoupily až po roce 2000, měly oproti Česku vyšší podíl jen Estonsko (15 %) a Malta (11 %).</w:t>
      </w:r>
    </w:p>
  </w:footnote>
  <w:footnote w:id="8">
    <w:p w14:paraId="2FFE72E6" w14:textId="77777777" w:rsidR="002B48B4" w:rsidRPr="00F24215" w:rsidRDefault="002B48B4" w:rsidP="00A40EDD">
      <w:pPr>
        <w:pStyle w:val="Textpoznpodarou"/>
        <w:rPr>
          <w:sz w:val="16"/>
          <w:szCs w:val="16"/>
        </w:rPr>
      </w:pPr>
      <w:r w:rsidRPr="00A819CD">
        <w:rPr>
          <w:rStyle w:val="Znakapoznpodarou"/>
          <w:color w:val="0D0D0D" w:themeColor="text1" w:themeTint="F2"/>
          <w:sz w:val="16"/>
          <w:szCs w:val="16"/>
        </w:rPr>
        <w:footnoteRef/>
      </w:r>
      <w:r w:rsidRPr="00A819CD">
        <w:rPr>
          <w:color w:val="0D0D0D" w:themeColor="text1" w:themeTint="F2"/>
          <w:sz w:val="16"/>
          <w:szCs w:val="16"/>
        </w:rPr>
        <w:t xml:space="preserve"> Dle experimentální statistiky ČSÚ klesl v roce 2024 počet osob pracujících na dohody (o provedení práce, o pracovní činnosti) meziročně o 4 % a počet jimi odpracovaných hodin o 9 %. Lidé </w:t>
      </w:r>
      <w:r w:rsidRPr="00F24215">
        <w:rPr>
          <w:sz w:val="16"/>
          <w:szCs w:val="16"/>
        </w:rPr>
        <w:t xml:space="preserve">pracující na dohody </w:t>
      </w:r>
      <w:r>
        <w:rPr>
          <w:sz w:val="16"/>
          <w:szCs w:val="16"/>
        </w:rPr>
        <w:t xml:space="preserve">současně </w:t>
      </w:r>
      <w:r w:rsidRPr="00F24215">
        <w:rPr>
          <w:sz w:val="16"/>
          <w:szCs w:val="16"/>
        </w:rPr>
        <w:t xml:space="preserve">u více zaměstnavatelů </w:t>
      </w:r>
      <w:r>
        <w:rPr>
          <w:sz w:val="16"/>
          <w:szCs w:val="16"/>
        </w:rPr>
        <w:t>jsou zahrnuti vícenásobně (tj. samostatně u každého zaměstnavatele).</w:t>
      </w:r>
    </w:p>
  </w:footnote>
  <w:footnote w:id="9">
    <w:p w14:paraId="4F8AAA02" w14:textId="77777777" w:rsidR="002B48B4" w:rsidRPr="00863A98" w:rsidRDefault="002B48B4" w:rsidP="00A40EDD">
      <w:pPr>
        <w:pStyle w:val="Textpoznpodarou"/>
        <w:rPr>
          <w:sz w:val="16"/>
          <w:szCs w:val="16"/>
        </w:rPr>
      </w:pPr>
      <w:r w:rsidRPr="00863A98">
        <w:rPr>
          <w:rStyle w:val="Znakapoznpodarou"/>
          <w:sz w:val="16"/>
          <w:szCs w:val="16"/>
        </w:rPr>
        <w:footnoteRef/>
      </w:r>
      <w:r w:rsidRPr="00863A98">
        <w:rPr>
          <w:sz w:val="16"/>
          <w:szCs w:val="16"/>
        </w:rPr>
        <w:t xml:space="preserve"> </w:t>
      </w:r>
      <w:r w:rsidRPr="009D73B4">
        <w:rPr>
          <w:color w:val="0D0D0D" w:themeColor="text1" w:themeTint="F2"/>
          <w:spacing w:val="-4"/>
          <w:sz w:val="16"/>
          <w:szCs w:val="16"/>
        </w:rPr>
        <w:t xml:space="preserve">Zhruba necelá polovina z toho nárůstu připadá na osoby vykonávající dvě různé zaměstnanecké pozice, mírně větší část pak na zaměstnance, </w:t>
      </w:r>
      <w:r w:rsidRPr="00897A57">
        <w:rPr>
          <w:color w:val="0D0D0D" w:themeColor="text1" w:themeTint="F2"/>
          <w:spacing w:val="-4"/>
          <w:sz w:val="16"/>
          <w:szCs w:val="16"/>
        </w:rPr>
        <w:t>kteří „doplňkově“ působí jako sebezaměstnaní</w:t>
      </w:r>
      <w:r w:rsidRPr="00897A57">
        <w:rPr>
          <w:color w:val="0D0D0D" w:themeColor="text1" w:themeTint="F2"/>
          <w:sz w:val="16"/>
          <w:szCs w:val="16"/>
        </w:rPr>
        <w:t>. V celé EU mělo loni ve 3. čtvrtletí dv</w:t>
      </w:r>
      <w:r>
        <w:rPr>
          <w:color w:val="0D0D0D" w:themeColor="text1" w:themeTint="F2"/>
          <w:sz w:val="16"/>
          <w:szCs w:val="16"/>
        </w:rPr>
        <w:t>ě</w:t>
      </w:r>
      <w:r w:rsidRPr="00897A57">
        <w:rPr>
          <w:color w:val="0D0D0D" w:themeColor="text1" w:themeTint="F2"/>
          <w:sz w:val="16"/>
          <w:szCs w:val="16"/>
        </w:rPr>
        <w:t xml:space="preserve"> </w:t>
      </w:r>
      <w:r>
        <w:rPr>
          <w:color w:val="0D0D0D" w:themeColor="text1" w:themeTint="F2"/>
          <w:sz w:val="16"/>
          <w:szCs w:val="16"/>
        </w:rPr>
        <w:t xml:space="preserve">či více </w:t>
      </w:r>
      <w:r w:rsidRPr="00897A57">
        <w:rPr>
          <w:color w:val="0D0D0D" w:themeColor="text1" w:themeTint="F2"/>
          <w:sz w:val="16"/>
          <w:szCs w:val="16"/>
        </w:rPr>
        <w:t>zaměstnání 3,9 % pracovníků. Mezi členskými státy měly nejvyšší podíl takto zaměstnaných Nizozemsko (10 %) a Dánsko (9 %), nadprůměrný byl také v severských zemích a Pobaltí.</w:t>
      </w:r>
    </w:p>
  </w:footnote>
  <w:footnote w:id="10">
    <w:p w14:paraId="15A9015F" w14:textId="77777777" w:rsidR="002B48B4" w:rsidRPr="00AD3730" w:rsidRDefault="002B48B4" w:rsidP="00A40EDD">
      <w:pPr>
        <w:pStyle w:val="Textpoznpodarou"/>
        <w:rPr>
          <w:sz w:val="16"/>
          <w:szCs w:val="16"/>
        </w:rPr>
      </w:pPr>
      <w:r w:rsidRPr="00AD3730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Skoro čtyři pětiny veškerých</w:t>
      </w:r>
      <w:r w:rsidRPr="00AD3730">
        <w:rPr>
          <w:sz w:val="16"/>
          <w:szCs w:val="16"/>
        </w:rPr>
        <w:t xml:space="preserve"> občanů Ukrajiny </w:t>
      </w:r>
      <w:r>
        <w:rPr>
          <w:sz w:val="16"/>
          <w:szCs w:val="16"/>
        </w:rPr>
        <w:t xml:space="preserve">(resp. 67 % mužů a 88 % žen) </w:t>
      </w:r>
      <w:r w:rsidRPr="00AD3730">
        <w:rPr>
          <w:sz w:val="16"/>
          <w:szCs w:val="16"/>
        </w:rPr>
        <w:t xml:space="preserve">působících </w:t>
      </w:r>
      <w:r>
        <w:rPr>
          <w:sz w:val="16"/>
          <w:szCs w:val="16"/>
        </w:rPr>
        <w:t xml:space="preserve">v ČR v zaměstnaneckém postavení zde </w:t>
      </w:r>
      <w:r w:rsidRPr="00AD3730">
        <w:rPr>
          <w:sz w:val="16"/>
          <w:szCs w:val="16"/>
        </w:rPr>
        <w:t xml:space="preserve">nepotřebovalo </w:t>
      </w:r>
      <w:r>
        <w:rPr>
          <w:sz w:val="16"/>
          <w:szCs w:val="16"/>
        </w:rPr>
        <w:t xml:space="preserve">na konci roku 2024 oprávnění k zaměstnání (pracovní povolení, zaměstnanecké či modré karty). </w:t>
      </w:r>
    </w:p>
  </w:footnote>
  <w:footnote w:id="11">
    <w:p w14:paraId="0FA6498B" w14:textId="77777777" w:rsidR="002B48B4" w:rsidRPr="00CF611C" w:rsidRDefault="002B48B4" w:rsidP="00A40EDD">
      <w:pPr>
        <w:pStyle w:val="Textpoznpodarou"/>
        <w:rPr>
          <w:color w:val="0D0D0D" w:themeColor="text1" w:themeTint="F2"/>
          <w:sz w:val="16"/>
          <w:szCs w:val="16"/>
        </w:rPr>
      </w:pPr>
      <w:r w:rsidRPr="00223F1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Od 1. července 2024 nově nepotřebují </w:t>
      </w:r>
      <w:r w:rsidRPr="00223F13">
        <w:rPr>
          <w:sz w:val="16"/>
          <w:szCs w:val="16"/>
        </w:rPr>
        <w:t xml:space="preserve">v Česku pracovní povolení </w:t>
      </w:r>
      <w:r>
        <w:rPr>
          <w:sz w:val="16"/>
          <w:szCs w:val="16"/>
        </w:rPr>
        <w:t>ani zaměstnanecké karty</w:t>
      </w:r>
      <w:r w:rsidRPr="00223F13">
        <w:rPr>
          <w:sz w:val="16"/>
          <w:szCs w:val="16"/>
        </w:rPr>
        <w:t xml:space="preserve"> cizinci z některých ekonomicky vyspělých </w:t>
      </w:r>
      <w:r w:rsidRPr="00CF611C">
        <w:rPr>
          <w:color w:val="0D0D0D" w:themeColor="text1" w:themeTint="F2"/>
          <w:sz w:val="16"/>
          <w:szCs w:val="16"/>
        </w:rPr>
        <w:t>zemí mimo EU (USA, Velká Británie, Kanada, Austrálie, Nový Zéland, Japonsko, Jižní Korea, Izrael a Singapur).</w:t>
      </w:r>
    </w:p>
  </w:footnote>
  <w:footnote w:id="12">
    <w:p w14:paraId="79601D87" w14:textId="77777777" w:rsidR="002B48B4" w:rsidRPr="00675ACD" w:rsidRDefault="002B48B4" w:rsidP="00A40EDD">
      <w:pPr>
        <w:pStyle w:val="Textpoznpodarou"/>
        <w:rPr>
          <w:sz w:val="16"/>
          <w:szCs w:val="16"/>
        </w:rPr>
      </w:pPr>
      <w:r w:rsidRPr="00CF611C">
        <w:rPr>
          <w:rStyle w:val="Znakapoznpodarou"/>
          <w:color w:val="0D0D0D" w:themeColor="text1" w:themeTint="F2"/>
          <w:sz w:val="16"/>
          <w:szCs w:val="16"/>
        </w:rPr>
        <w:footnoteRef/>
      </w:r>
      <w:r w:rsidRPr="00CF611C">
        <w:rPr>
          <w:color w:val="0D0D0D" w:themeColor="text1" w:themeTint="F2"/>
          <w:sz w:val="16"/>
          <w:szCs w:val="16"/>
        </w:rPr>
        <w:t xml:space="preserve"> Vedle toho evidovalo MPO ve stejném </w:t>
      </w:r>
      <w:r>
        <w:rPr>
          <w:sz w:val="16"/>
          <w:szCs w:val="16"/>
        </w:rPr>
        <w:t>období 132</w:t>
      </w:r>
      <w:r w:rsidRPr="00675ACD">
        <w:rPr>
          <w:sz w:val="16"/>
          <w:szCs w:val="16"/>
        </w:rPr>
        <w:t xml:space="preserve"> tis. </w:t>
      </w:r>
      <w:r w:rsidRPr="00675ACD">
        <w:rPr>
          <w:color w:val="0D0D0D" w:themeColor="text1" w:themeTint="F2"/>
          <w:spacing w:val="-6"/>
          <w:sz w:val="16"/>
          <w:szCs w:val="16"/>
        </w:rPr>
        <w:t xml:space="preserve">cizích státních příslušníků s živnostenským oprávněním v Česku. </w:t>
      </w:r>
      <w:r>
        <w:rPr>
          <w:color w:val="0D0D0D" w:themeColor="text1" w:themeTint="F2"/>
          <w:spacing w:val="-6"/>
          <w:sz w:val="16"/>
          <w:szCs w:val="16"/>
        </w:rPr>
        <w:t xml:space="preserve">Na rozdíl od cizinců v zaměstnaneckém postavení jejich růst loni zrychlil (na 11 %). Na tomto růstu se skoro ze dvou třetin podíleli Ukrajinci, jichž v Česku podnikalo </w:t>
      </w:r>
      <w:r>
        <w:rPr>
          <w:color w:val="0D0D0D" w:themeColor="text1" w:themeTint="F2"/>
          <w:spacing w:val="-6"/>
          <w:sz w:val="16"/>
          <w:szCs w:val="16"/>
        </w:rPr>
        <w:br/>
        <w:t>43 tis., s odstupem následovali Slováci (26 tis.) a Vietnamci (21 tis.).</w:t>
      </w:r>
    </w:p>
  </w:footnote>
  <w:footnote w:id="13">
    <w:p w14:paraId="7759C18B" w14:textId="77777777" w:rsidR="002B48B4" w:rsidRPr="009A17A0" w:rsidRDefault="002B48B4" w:rsidP="00A40EDD">
      <w:pPr>
        <w:pStyle w:val="Textpoznpodarou"/>
        <w:rPr>
          <w:sz w:val="16"/>
          <w:szCs w:val="16"/>
        </w:rPr>
      </w:pPr>
      <w:r w:rsidRPr="009A17A0">
        <w:rPr>
          <w:rStyle w:val="Znakapoznpodarou"/>
          <w:color w:val="0D0D0D" w:themeColor="text1" w:themeTint="F2"/>
          <w:sz w:val="16"/>
          <w:szCs w:val="16"/>
        </w:rPr>
        <w:footnoteRef/>
      </w:r>
      <w:r w:rsidRPr="009A17A0">
        <w:rPr>
          <w:color w:val="0D0D0D" w:themeColor="text1" w:themeTint="F2"/>
          <w:sz w:val="16"/>
          <w:szCs w:val="16"/>
        </w:rPr>
        <w:t xml:space="preserve"> </w:t>
      </w:r>
      <w:r w:rsidRPr="009A17A0">
        <w:rPr>
          <w:color w:val="0D0D0D" w:themeColor="text1" w:themeTint="F2"/>
          <w:spacing w:val="-4"/>
          <w:sz w:val="16"/>
          <w:szCs w:val="16"/>
        </w:rPr>
        <w:t>Z pohledu krajů vzrostl loni počet cizinců nejvíce v Praze (+7,9 %) a Olomouckém kraji (+7,5 %). V prosinci 2024 tak připadla skoro třetina všech v Česku zaměstnaných cizinců (v evidenci úřadů práce) na Prahu a spolu se středními Čechami pak bezmála polovina</w:t>
      </w:r>
      <w:r w:rsidRPr="009A17A0">
        <w:rPr>
          <w:color w:val="0D0D0D" w:themeColor="text1" w:themeTint="F2"/>
          <w:spacing w:val="-6"/>
          <w:sz w:val="16"/>
          <w:szCs w:val="16"/>
        </w:rPr>
        <w:t>.</w:t>
      </w:r>
    </w:p>
  </w:footnote>
  <w:footnote w:id="14">
    <w:p w14:paraId="4962FB4A" w14:textId="77777777" w:rsidR="002B48B4" w:rsidRPr="00126939" w:rsidRDefault="002B48B4" w:rsidP="00A40EDD">
      <w:pPr>
        <w:pStyle w:val="Textpoznpodarou"/>
        <w:rPr>
          <w:sz w:val="16"/>
          <w:szCs w:val="16"/>
        </w:rPr>
      </w:pPr>
      <w:r w:rsidRPr="00126939">
        <w:rPr>
          <w:rStyle w:val="Znakapoznpodarou"/>
          <w:sz w:val="16"/>
          <w:szCs w:val="16"/>
        </w:rPr>
        <w:footnoteRef/>
      </w:r>
      <w:r w:rsidRPr="00126939">
        <w:rPr>
          <w:sz w:val="16"/>
          <w:szCs w:val="16"/>
        </w:rPr>
        <w:t xml:space="preserve"> </w:t>
      </w:r>
      <w:r>
        <w:rPr>
          <w:sz w:val="16"/>
          <w:szCs w:val="16"/>
        </w:rPr>
        <w:t>Není-li uvedeno jinak, jsou dále použity</w:t>
      </w:r>
      <w:r w:rsidRPr="00126939">
        <w:rPr>
          <w:sz w:val="16"/>
          <w:szCs w:val="16"/>
        </w:rPr>
        <w:t xml:space="preserve"> sezónně očištěné údaje.</w:t>
      </w:r>
    </w:p>
  </w:footnote>
  <w:footnote w:id="15">
    <w:p w14:paraId="754F2138" w14:textId="77777777" w:rsidR="002B48B4" w:rsidRPr="00A82316" w:rsidRDefault="002B48B4" w:rsidP="00A40EDD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A82316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A82316">
        <w:rPr>
          <w:color w:val="0D0D0D" w:themeColor="text1" w:themeTint="F2"/>
          <w:spacing w:val="-2"/>
          <w:sz w:val="16"/>
          <w:szCs w:val="16"/>
        </w:rPr>
        <w:t xml:space="preserve"> Převažující </w:t>
      </w:r>
      <w:r w:rsidRPr="003F1273">
        <w:rPr>
          <w:color w:val="0D0D0D" w:themeColor="text1" w:themeTint="F2"/>
          <w:spacing w:val="-2"/>
          <w:sz w:val="16"/>
          <w:szCs w:val="16"/>
        </w:rPr>
        <w:t xml:space="preserve">negativní očekávání zaměstnanosti vyjádřily </w:t>
      </w:r>
      <w:r>
        <w:rPr>
          <w:color w:val="0D0D0D" w:themeColor="text1" w:themeTint="F2"/>
          <w:spacing w:val="-2"/>
          <w:sz w:val="16"/>
          <w:szCs w:val="16"/>
        </w:rPr>
        <w:t>(dle šetření z prosince</w:t>
      </w:r>
      <w:r w:rsidRPr="00A82316">
        <w:rPr>
          <w:color w:val="0D0D0D" w:themeColor="text1" w:themeTint="F2"/>
          <w:spacing w:val="-2"/>
          <w:sz w:val="16"/>
          <w:szCs w:val="16"/>
        </w:rPr>
        <w:t xml:space="preserve"> 2024) podniky v 90 % zpracovatelských průmyslových oborů. Nejhorší vyhlídky měly hutnictví, elektronický průmysl, oděvnictví a výroba nápojů. Naopak pozitivní perspektivy přetrvávaly pouze ve výrobě kolejových dopravních prostředků, potravinářství a obuvnickém průmyslu.</w:t>
      </w:r>
    </w:p>
    <w:p w14:paraId="77BA4B4A" w14:textId="77777777" w:rsidR="002B48B4" w:rsidRPr="00A82316" w:rsidRDefault="002B48B4" w:rsidP="00A40EDD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A82316">
        <w:rPr>
          <w:color w:val="0D0D0D" w:themeColor="text1" w:themeTint="F2"/>
          <w:spacing w:val="-2"/>
          <w:sz w:val="16"/>
          <w:szCs w:val="16"/>
        </w:rPr>
        <w:t>Ve službách převažovala negativní očekávání v necelé polovině dílčích odvětví. Nejvíce byla patrná v tvůrčích, uměleckých a zábavních činnostech, ve veterinárních činnostech, vodní i letecké dopravě, vydavatelství, s odstupem pak v peněžnictví, pozemní dopravě či cestovních agenturách. Naopak optimismus převládal v poštovních a kurýrních činnostech, pojišťovnictví, právních a účetnických činnostech, vědě a výzkumu, pracovních agenturách a většině oborů informačních a komunikačních činností.</w:t>
      </w:r>
    </w:p>
  </w:footnote>
  <w:footnote w:id="16">
    <w:p w14:paraId="40E75017" w14:textId="77777777" w:rsidR="002B48B4" w:rsidRPr="00A4613D" w:rsidRDefault="002B48B4" w:rsidP="00A40EDD">
      <w:pPr>
        <w:pStyle w:val="Textpoznpodarou"/>
        <w:rPr>
          <w:sz w:val="16"/>
          <w:szCs w:val="16"/>
        </w:rPr>
      </w:pPr>
      <w:r w:rsidRPr="00A82316">
        <w:rPr>
          <w:rStyle w:val="Znakapoznpodarou"/>
          <w:color w:val="0D0D0D" w:themeColor="text1" w:themeTint="F2"/>
          <w:sz w:val="16"/>
          <w:szCs w:val="16"/>
        </w:rPr>
        <w:footnoteRef/>
      </w:r>
      <w:r w:rsidRPr="00A82316">
        <w:rPr>
          <w:color w:val="0D0D0D" w:themeColor="text1" w:themeTint="F2"/>
          <w:sz w:val="16"/>
          <w:szCs w:val="16"/>
        </w:rPr>
        <w:t xml:space="preserve"> Podniky mohly uvést více bariér současně.</w:t>
      </w:r>
    </w:p>
  </w:footnote>
  <w:footnote w:id="17">
    <w:p w14:paraId="04F86617" w14:textId="77777777" w:rsidR="002B48B4" w:rsidRPr="004E68B1" w:rsidRDefault="002B48B4" w:rsidP="00A40EDD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8">
    <w:p w14:paraId="48712AC4" w14:textId="77777777" w:rsidR="002B48B4" w:rsidRPr="00AB6586" w:rsidRDefault="002B48B4" w:rsidP="00A40ED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</w:pPr>
      <w:r w:rsidRPr="00FA7239">
        <w:rPr>
          <w:rStyle w:val="Znakapoznpodarou"/>
          <w:color w:val="0D0D0D" w:themeColor="text1" w:themeTint="F2"/>
          <w:sz w:val="16"/>
          <w:szCs w:val="16"/>
        </w:rPr>
        <w:footnoteRef/>
      </w:r>
      <w:r w:rsidRPr="00FA7239">
        <w:rPr>
          <w:color w:val="0D0D0D" w:themeColor="text1" w:themeTint="F2"/>
          <w:sz w:val="16"/>
          <w:szCs w:val="16"/>
        </w:rPr>
        <w:t xml:space="preserve"> </w:t>
      </w:r>
      <w:r w:rsidRPr="00FA7239"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 xml:space="preserve">Nízká </w:t>
      </w:r>
      <w:r w:rsidRPr="00AB6586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nezaměstnanost přetrvává rovněž v EU – loni v 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prosinci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dosáhla ve skupině 15 až 74letých 5,9 % (v eurozóně 6,3 %). Me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ziměsíčně ani meziročně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se téměř 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nezměnila,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k mírnému zlepšení ale došlo u žen (na 6,1 %). 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Celková nezaměstnanost v EU je v dostupné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časové 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řadě od roku 2000 nejnižší a proti počátku roku 2008 je příznivější o 1 p. b. (v EU i eurozóně). Celková nezaměstnanost v Česku (2,6 %) byla nepřetržitě již osm let nejnižší v Unii –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aktuálně před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Maltou a Polskem (shodně 3,0 %), Německem (3,4 %) a Nizozemskem (3,7 %). 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Výsadní postavení mělo Česko tradičně díky mužům (2,4 %). Ale i u žen, kde nezaměstnanost tradičn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ě</w:t>
      </w:r>
      <w:r w:rsidRPr="00FA7239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více kolísá, dosáhla aktuálně lehce nižší úrovně než v tuzemsku (2,9 %) jen Malta.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V 10 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členských státech celková nezaměstnanost meziročně vzrostla – nejvíce ve Slovinsku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br/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(z 3,3 % na 5,2 %), Dánsku (z 5,8 % na 7,0 %)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a Finsku (ze 7,6 % na 8,7 % – třetí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nejvyšší úroveň v Unii). K mírnějšímu zhoršení došlo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br/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i v dalších severských státech i na území Beneluxu. Naopak zlepšení nastalo hlavně na jihu – v Itálii (ze 7,1 % na 6,2 %), kde nezaměstnanost po dlouhé době klesla pod úroveň EU. O 1 p. b. se zlepšila situace i v Chorvatsku a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na 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Kypru (shodně na 4,5 %) či v Řecku (9,4 %). Největší pokles nastal ve Španělsku (z 11,9 % na 10,6 %), které zažívá relativně svižný hospodářský růst, když se daří i odvětvím v Unii aktuálně útlumovým (např. průmyslu i stavebnictví). I tak ovšem zůstává nezaměstnanost v této zem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i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nejvyšší </w:t>
      </w:r>
      <w:r w:rsidRPr="00767810"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>v rámci Unie.</w:t>
      </w:r>
      <w:r>
        <w:rPr>
          <w:rFonts w:ascii="Arial" w:eastAsia="Calibri" w:hAnsi="Arial"/>
          <w:color w:val="0D0D0D" w:themeColor="text1" w:themeTint="F2"/>
          <w:spacing w:val="-2"/>
          <w:sz w:val="16"/>
          <w:szCs w:val="16"/>
        </w:rPr>
        <w:t xml:space="preserve"> </w:t>
      </w:r>
      <w:r w:rsidRPr="009F13E7"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>Příznivé postavení má Česko i v nezaměstnanosti osob do 25 let, neboť dlouhodobě patří do třetiny zemí Unie s nejnižší neza</w:t>
      </w:r>
      <w:r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>městnaností mladých. Ta loni v prosinci v tuzemsku dosahovala 9 % (v EU 15</w:t>
      </w:r>
      <w:r w:rsidRPr="009F13E7"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 xml:space="preserve"> %) a více než 20% n</w:t>
      </w:r>
      <w:r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>ezaměstnanost sužovala šest</w:t>
      </w:r>
      <w:r w:rsidRPr="009F13E7"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 xml:space="preserve"> členských zemí – zejména</w:t>
      </w:r>
      <w:r>
        <w:rPr>
          <w:rFonts w:ascii="Arial" w:eastAsia="Calibri" w:hAnsi="Arial"/>
          <w:color w:val="0D0D0D" w:themeColor="text1" w:themeTint="F2"/>
          <w:spacing w:val="-3"/>
          <w:sz w:val="16"/>
          <w:szCs w:val="16"/>
        </w:rPr>
        <w:t xml:space="preserve"> státy jižního křídla eurozóny.</w:t>
      </w:r>
    </w:p>
  </w:footnote>
  <w:footnote w:id="19">
    <w:p w14:paraId="388273B3" w14:textId="77777777" w:rsidR="002B48B4" w:rsidRPr="004A5CB3" w:rsidRDefault="002B48B4" w:rsidP="00A40EDD">
      <w:pPr>
        <w:pStyle w:val="Textpoznpodarou"/>
        <w:rPr>
          <w:sz w:val="16"/>
          <w:szCs w:val="16"/>
        </w:rPr>
      </w:pPr>
      <w:r w:rsidRPr="004A5CB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Pouze šestina z tohoto počtu je ovšem schop</w:t>
      </w:r>
      <w:r w:rsidRPr="004A5CB3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Pr="004A5C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nastoupit </w:t>
      </w:r>
      <w:r w:rsidRPr="004A5CB3">
        <w:rPr>
          <w:sz w:val="16"/>
          <w:szCs w:val="16"/>
        </w:rPr>
        <w:t>bezprostředně do práce</w:t>
      </w:r>
      <w:r>
        <w:rPr>
          <w:sz w:val="16"/>
          <w:szCs w:val="16"/>
        </w:rPr>
        <w:t>.</w:t>
      </w:r>
      <w:r w:rsidRPr="004A5CB3">
        <w:rPr>
          <w:sz w:val="16"/>
          <w:szCs w:val="16"/>
        </w:rPr>
        <w:t xml:space="preserve"> Významnou část pracovních rezerv totiž tvoří studenti a ženy na rodičovské dovolené.</w:t>
      </w:r>
    </w:p>
  </w:footnote>
  <w:footnote w:id="20">
    <w:p w14:paraId="7F9D7357" w14:textId="77777777" w:rsidR="002B48B4" w:rsidRPr="008F3F8A" w:rsidRDefault="002B48B4" w:rsidP="00A40EDD">
      <w:pPr>
        <w:pStyle w:val="Textpoznpodarou"/>
        <w:rPr>
          <w:rFonts w:cs="Arial"/>
          <w:sz w:val="16"/>
          <w:szCs w:val="16"/>
        </w:rPr>
      </w:pPr>
      <w:r w:rsidRPr="000B0BEA">
        <w:rPr>
          <w:rStyle w:val="Znakapoznpodarou"/>
          <w:sz w:val="16"/>
          <w:szCs w:val="16"/>
        </w:rPr>
        <w:footnoteRef/>
      </w:r>
      <w:r w:rsidRPr="000B0BEA">
        <w:rPr>
          <w:sz w:val="16"/>
          <w:szCs w:val="16"/>
        </w:rPr>
        <w:t xml:space="preserve"> </w:t>
      </w:r>
      <w:r w:rsidRPr="000B0BEA">
        <w:rPr>
          <w:rStyle w:val="eop"/>
          <w:rFonts w:cs="Arial"/>
          <w:sz w:val="16"/>
          <w:szCs w:val="16"/>
        </w:rPr>
        <w:t xml:space="preserve">Jen menší část míst lze považovat za aktivní – méně než půl </w:t>
      </w:r>
      <w:r>
        <w:rPr>
          <w:rStyle w:val="eop"/>
          <w:rFonts w:cs="Arial"/>
          <w:sz w:val="16"/>
          <w:szCs w:val="16"/>
        </w:rPr>
        <w:t xml:space="preserve">roku bylo na ÚP inzerováno jen 112 tis. míst, </w:t>
      </w:r>
      <w:r w:rsidRPr="008F3F8A">
        <w:rPr>
          <w:rStyle w:val="eop"/>
          <w:sz w:val="16"/>
          <w:szCs w:val="16"/>
        </w:rPr>
        <w:t>meziročně o 10 tis. méně (k úbytku došlo napříč vzdělanostními kategoriemi).</w:t>
      </w:r>
      <w:r>
        <w:rPr>
          <w:rStyle w:val="eop"/>
          <w:rFonts w:cs="Arial"/>
          <w:sz w:val="16"/>
          <w:szCs w:val="16"/>
        </w:rPr>
        <w:t xml:space="preserve"> </w:t>
      </w:r>
      <w:r w:rsidRPr="000B0BEA">
        <w:rPr>
          <w:rStyle w:val="eop"/>
          <w:rFonts w:cs="Arial"/>
          <w:sz w:val="16"/>
          <w:szCs w:val="16"/>
        </w:rPr>
        <w:t>Dle experimentální statistiky ČSÚ (šetření u podniků</w:t>
      </w:r>
      <w:r>
        <w:rPr>
          <w:rStyle w:val="eop"/>
          <w:rFonts w:cs="Arial"/>
          <w:sz w:val="16"/>
          <w:szCs w:val="16"/>
        </w:rPr>
        <w:t xml:space="preserve"> prováděná od roku 2020) byla ve 4. čtvrtletí 2024 nabídka tuzemských firem odhadnuta na 101</w:t>
      </w:r>
      <w:r w:rsidRPr="000B0BEA">
        <w:rPr>
          <w:rStyle w:val="eop"/>
          <w:rFonts w:cs="Arial"/>
          <w:sz w:val="16"/>
          <w:szCs w:val="16"/>
        </w:rPr>
        <w:t xml:space="preserve"> tis. volných míst (je</w:t>
      </w:r>
      <w:r>
        <w:rPr>
          <w:rStyle w:val="eop"/>
          <w:rFonts w:cs="Arial"/>
          <w:sz w:val="16"/>
          <w:szCs w:val="16"/>
        </w:rPr>
        <w:t>dná se je</w:t>
      </w:r>
      <w:r w:rsidRPr="000B0BEA">
        <w:rPr>
          <w:rStyle w:val="eop"/>
          <w:rFonts w:cs="Arial"/>
          <w:sz w:val="16"/>
          <w:szCs w:val="16"/>
        </w:rPr>
        <w:t xml:space="preserve">n </w:t>
      </w:r>
      <w:r>
        <w:rPr>
          <w:rStyle w:val="eop"/>
          <w:rFonts w:cs="Arial"/>
          <w:sz w:val="16"/>
          <w:szCs w:val="16"/>
        </w:rPr>
        <w:t xml:space="preserve">o </w:t>
      </w:r>
      <w:r w:rsidRPr="000B0BEA">
        <w:rPr>
          <w:rStyle w:val="eop"/>
          <w:rFonts w:cs="Arial"/>
          <w:sz w:val="16"/>
          <w:szCs w:val="16"/>
        </w:rPr>
        <w:t xml:space="preserve">místa v pracovním poměru, nejde </w:t>
      </w:r>
      <w:r>
        <w:rPr>
          <w:rStyle w:val="eop"/>
          <w:rFonts w:cs="Arial"/>
          <w:sz w:val="16"/>
          <w:szCs w:val="16"/>
        </w:rPr>
        <w:br/>
      </w:r>
      <w:r w:rsidRPr="000B0BEA">
        <w:rPr>
          <w:rStyle w:val="eop"/>
          <w:rFonts w:cs="Arial"/>
          <w:sz w:val="16"/>
          <w:szCs w:val="16"/>
        </w:rPr>
        <w:t>o přechodná zaměstnání, např. různé typy dohod). Počet míst se</w:t>
      </w:r>
      <w:r>
        <w:rPr>
          <w:rStyle w:val="eop"/>
          <w:rFonts w:cs="Arial"/>
          <w:sz w:val="16"/>
          <w:szCs w:val="16"/>
        </w:rPr>
        <w:t xml:space="preserve"> meziročně zvýšil o 9 % (mírně rostl ve všech loňských kvartálech). Aktuálně se zvýšila zejména nabídka míst ve veřejných službách (napříč odvětvími), dále v obchodě či vyspělých službách pro podniky. Naopak ve stavebnictví ubylo nabízených míst. V průmyslu, kde obdobný vývoj přetrvával po osm kvartálů v řadě, se na samém konci loňského roku pokles míst zastavil (na 25 tis.). Největší nabídka volných pozic byla ovšem k dispozici v sektoru služeb (69 tis.), z toho v odvětvích s významnou rolí státu šlo o 26 tis.  </w:t>
      </w:r>
    </w:p>
  </w:footnote>
  <w:footnote w:id="21">
    <w:p w14:paraId="565EBE39" w14:textId="77777777" w:rsidR="002B48B4" w:rsidRPr="00D02C76" w:rsidRDefault="002B48B4" w:rsidP="00A40EDD">
      <w:pPr>
        <w:pStyle w:val="Textpoznpodarou"/>
        <w:rPr>
          <w:sz w:val="16"/>
          <w:szCs w:val="16"/>
        </w:rPr>
      </w:pPr>
      <w:r w:rsidRPr="00FA5D12">
        <w:rPr>
          <w:rStyle w:val="Znakapoznpodarou"/>
          <w:sz w:val="16"/>
          <w:szCs w:val="16"/>
        </w:rPr>
        <w:footnoteRef/>
      </w:r>
      <w:r w:rsidRPr="00FA5D12">
        <w:rPr>
          <w:sz w:val="16"/>
          <w:szCs w:val="16"/>
        </w:rPr>
        <w:t xml:space="preserve"> Např. v roce 2023 působilo v Česku v nejkvalifikovanějších třídách zaměstnanosti (vedoucí a řídící pracovníci, specialisté, techničtí </w:t>
      </w:r>
      <w:r>
        <w:rPr>
          <w:sz w:val="16"/>
          <w:szCs w:val="16"/>
        </w:rPr>
        <w:br/>
      </w:r>
      <w:r w:rsidRPr="00FA5D12">
        <w:rPr>
          <w:sz w:val="16"/>
          <w:szCs w:val="16"/>
        </w:rPr>
        <w:t>a odborní pracovníci</w:t>
      </w:r>
      <w:r>
        <w:rPr>
          <w:sz w:val="16"/>
          <w:szCs w:val="16"/>
        </w:rPr>
        <w:t>)</w:t>
      </w:r>
      <w:r w:rsidRPr="00FA5D12">
        <w:rPr>
          <w:sz w:val="16"/>
          <w:szCs w:val="16"/>
        </w:rPr>
        <w:t xml:space="preserve"> pouze 13 % ze všech cizinců ze států mimo EU (resp. 9 % z Ukrajinců), 24 % ze všech cizinců ze zemí EU, ale </w:t>
      </w:r>
      <w:r>
        <w:rPr>
          <w:sz w:val="16"/>
          <w:szCs w:val="16"/>
        </w:rPr>
        <w:br/>
      </w:r>
      <w:r w:rsidRPr="00FA5D12">
        <w:rPr>
          <w:sz w:val="16"/>
          <w:szCs w:val="16"/>
        </w:rPr>
        <w:t xml:space="preserve">44 </w:t>
      </w:r>
      <w:r w:rsidRPr="00D02C76">
        <w:rPr>
          <w:sz w:val="16"/>
          <w:szCs w:val="16"/>
        </w:rPr>
        <w:t>% z veškerých zaměstnanců s českým občanstvím.</w:t>
      </w:r>
    </w:p>
  </w:footnote>
  <w:footnote w:id="22">
    <w:p w14:paraId="0BB48706" w14:textId="77777777" w:rsidR="002B48B4" w:rsidRDefault="002B48B4" w:rsidP="00A40EDD">
      <w:pPr>
        <w:pStyle w:val="Textpoznpodarou"/>
      </w:pPr>
      <w:r w:rsidRPr="00D02C76">
        <w:rPr>
          <w:rStyle w:val="Znakapoznpodarou"/>
          <w:sz w:val="16"/>
          <w:szCs w:val="16"/>
        </w:rPr>
        <w:footnoteRef/>
      </w:r>
      <w:r w:rsidRPr="00D02C76">
        <w:rPr>
          <w:sz w:val="16"/>
          <w:szCs w:val="16"/>
        </w:rPr>
        <w:t xml:space="preserve"> Minimální mzda byla loni stanovena novým mechanismem valorizace (počítá se s jejím postupným nárůstem až na 47 % průměrné mzdy v roce 2029). Od </w:t>
      </w:r>
      <w:r>
        <w:rPr>
          <w:sz w:val="16"/>
          <w:szCs w:val="16"/>
        </w:rPr>
        <w:t>ledna 2025 se tak tato</w:t>
      </w:r>
      <w:r w:rsidRPr="00D02C76">
        <w:rPr>
          <w:sz w:val="16"/>
          <w:szCs w:val="16"/>
        </w:rPr>
        <w:t xml:space="preserve"> mzda zvýšila o 10 % na 20 800 Kč. Na druhou stranu institut zaručených mezd </w:t>
      </w:r>
      <w:r>
        <w:rPr>
          <w:sz w:val="16"/>
          <w:szCs w:val="16"/>
        </w:rPr>
        <w:t xml:space="preserve">byl </w:t>
      </w:r>
      <w:r w:rsidRPr="00D02C76">
        <w:rPr>
          <w:sz w:val="16"/>
          <w:szCs w:val="16"/>
        </w:rPr>
        <w:t>zásadně zjednodušen a je nově využíván pouze v platové sféře.</w:t>
      </w:r>
    </w:p>
  </w:footnote>
  <w:footnote w:id="23">
    <w:p w14:paraId="27AC9D64" w14:textId="77777777" w:rsidR="002B48B4" w:rsidRDefault="002B48B4" w:rsidP="00A40EDD">
      <w:pPr>
        <w:pStyle w:val="Textpoznpodarou"/>
      </w:pPr>
      <w:r w:rsidRPr="005C6702">
        <w:rPr>
          <w:rStyle w:val="Znakapoznpodarou"/>
          <w:sz w:val="16"/>
          <w:szCs w:val="16"/>
        </w:rPr>
        <w:footnoteRef/>
      </w:r>
      <w:r w:rsidRPr="005C6702">
        <w:rPr>
          <w:sz w:val="16"/>
          <w:szCs w:val="16"/>
        </w:rPr>
        <w:t xml:space="preserve"> </w:t>
      </w:r>
      <w:r w:rsidRPr="005C6702">
        <w:rPr>
          <w:rFonts w:eastAsia="Times New Roman"/>
          <w:color w:val="0D0D0D" w:themeColor="text1" w:themeTint="F2"/>
          <w:sz w:val="16"/>
          <w:szCs w:val="16"/>
        </w:rPr>
        <w:t>Od ledna</w:t>
      </w:r>
      <w:r w:rsidRPr="007F303C">
        <w:rPr>
          <w:rFonts w:eastAsia="Times New Roman"/>
          <w:color w:val="0D0D0D" w:themeColor="text1" w:themeTint="F2"/>
          <w:sz w:val="16"/>
          <w:szCs w:val="16"/>
        </w:rPr>
        <w:t xml:space="preserve"> 2024 zde došlo k úpravám tarifů a u velké části zaměstnanců se zvýšily osobní příplatky.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2B48B4" w:rsidRPr="00C27E4F" w:rsidRDefault="002B48B4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2B48B4" w:rsidRPr="006F5416" w:rsidRDefault="002B48B4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8D6"/>
    <w:multiLevelType w:val="hybridMultilevel"/>
    <w:tmpl w:val="1B90B8E0"/>
    <w:lvl w:ilvl="0" w:tplc="4B66ED1E">
      <w:start w:val="1"/>
      <w:numFmt w:val="decimal"/>
      <w:lvlText w:val="%1.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6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05E1"/>
    <w:multiLevelType w:val="multilevel"/>
    <w:tmpl w:val="5F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F3AA7"/>
    <w:multiLevelType w:val="multilevel"/>
    <w:tmpl w:val="909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946"/>
    <w:multiLevelType w:val="multilevel"/>
    <w:tmpl w:val="6F3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9"/>
  </w:num>
  <w:num w:numId="14">
    <w:abstractNumId w:val="14"/>
  </w:num>
  <w:num w:numId="15">
    <w:abstractNumId w:val="20"/>
  </w:num>
  <w:num w:numId="16">
    <w:abstractNumId w:val="16"/>
  </w:num>
  <w:num w:numId="17">
    <w:abstractNumId w:val="30"/>
  </w:num>
  <w:num w:numId="18">
    <w:abstractNumId w:val="21"/>
  </w:num>
  <w:num w:numId="19">
    <w:abstractNumId w:val="32"/>
  </w:num>
  <w:num w:numId="20">
    <w:abstractNumId w:val="37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35"/>
  </w:num>
  <w:num w:numId="26">
    <w:abstractNumId w:val="36"/>
  </w:num>
  <w:num w:numId="27">
    <w:abstractNumId w:val="37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24"/>
  </w:num>
  <w:num w:numId="33">
    <w:abstractNumId w:val="12"/>
  </w:num>
  <w:num w:numId="34">
    <w:abstractNumId w:val="39"/>
  </w:num>
  <w:num w:numId="35">
    <w:abstractNumId w:val="11"/>
  </w:num>
  <w:num w:numId="36">
    <w:abstractNumId w:val="31"/>
  </w:num>
  <w:num w:numId="37">
    <w:abstractNumId w:val="26"/>
  </w:num>
  <w:num w:numId="38">
    <w:abstractNumId w:val="25"/>
  </w:num>
  <w:num w:numId="39">
    <w:abstractNumId w:val="33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24E5"/>
    <w:rsid w:val="00124940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C3924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3E46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3CD7"/>
    <w:rsid w:val="00236443"/>
    <w:rsid w:val="00241B06"/>
    <w:rsid w:val="00242C10"/>
    <w:rsid w:val="002436BA"/>
    <w:rsid w:val="00244A15"/>
    <w:rsid w:val="0024661A"/>
    <w:rsid w:val="00247319"/>
    <w:rsid w:val="0024799E"/>
    <w:rsid w:val="00247EE7"/>
    <w:rsid w:val="00253C0F"/>
    <w:rsid w:val="002558C1"/>
    <w:rsid w:val="00271465"/>
    <w:rsid w:val="0028207A"/>
    <w:rsid w:val="00285412"/>
    <w:rsid w:val="00291640"/>
    <w:rsid w:val="00295A5D"/>
    <w:rsid w:val="002A1407"/>
    <w:rsid w:val="002A16D4"/>
    <w:rsid w:val="002A230C"/>
    <w:rsid w:val="002A66B0"/>
    <w:rsid w:val="002B2299"/>
    <w:rsid w:val="002B4845"/>
    <w:rsid w:val="002B48B4"/>
    <w:rsid w:val="002C2FE9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66591"/>
    <w:rsid w:val="0038123E"/>
    <w:rsid w:val="003818DC"/>
    <w:rsid w:val="00384327"/>
    <w:rsid w:val="00385D98"/>
    <w:rsid w:val="003A2B4D"/>
    <w:rsid w:val="003A2B5E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7BF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259E"/>
    <w:rsid w:val="004D5C93"/>
    <w:rsid w:val="004E1288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2E62"/>
    <w:rsid w:val="0053324C"/>
    <w:rsid w:val="00534A28"/>
    <w:rsid w:val="00541508"/>
    <w:rsid w:val="00543498"/>
    <w:rsid w:val="00545512"/>
    <w:rsid w:val="00553016"/>
    <w:rsid w:val="0055599F"/>
    <w:rsid w:val="00556995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C6CF0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3FEC"/>
    <w:rsid w:val="00695BEF"/>
    <w:rsid w:val="006977F6"/>
    <w:rsid w:val="00697A13"/>
    <w:rsid w:val="006A109C"/>
    <w:rsid w:val="006B0F92"/>
    <w:rsid w:val="006B173A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4254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3220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0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516C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17EB2"/>
    <w:rsid w:val="00A23E43"/>
    <w:rsid w:val="00A25216"/>
    <w:rsid w:val="00A30F65"/>
    <w:rsid w:val="00A33A89"/>
    <w:rsid w:val="00A40EAC"/>
    <w:rsid w:val="00A40EDD"/>
    <w:rsid w:val="00A418BC"/>
    <w:rsid w:val="00A4206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26897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67C6"/>
    <w:rsid w:val="00D57677"/>
    <w:rsid w:val="00D66223"/>
    <w:rsid w:val="00D71625"/>
    <w:rsid w:val="00D751DA"/>
    <w:rsid w:val="00D8084C"/>
    <w:rsid w:val="00D915EA"/>
    <w:rsid w:val="00D96855"/>
    <w:rsid w:val="00DA48C1"/>
    <w:rsid w:val="00DA7C0C"/>
    <w:rsid w:val="00DB08A9"/>
    <w:rsid w:val="00DB2EC8"/>
    <w:rsid w:val="00DB5FC0"/>
    <w:rsid w:val="00DB6566"/>
    <w:rsid w:val="00DC1E84"/>
    <w:rsid w:val="00DC48F1"/>
    <w:rsid w:val="00DC5B3B"/>
    <w:rsid w:val="00DD129F"/>
    <w:rsid w:val="00DD4EFE"/>
    <w:rsid w:val="00DE02BD"/>
    <w:rsid w:val="00DF42FF"/>
    <w:rsid w:val="00DF5908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20F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106"/>
    <w:rsid w:val="00F525EB"/>
    <w:rsid w:val="00F63DDE"/>
    <w:rsid w:val="00F63FB7"/>
    <w:rsid w:val="00F6421B"/>
    <w:rsid w:val="00F649D2"/>
    <w:rsid w:val="00F6602B"/>
    <w:rsid w:val="00F66FD9"/>
    <w:rsid w:val="00F67C4E"/>
    <w:rsid w:val="00F73A0C"/>
    <w:rsid w:val="00F756DB"/>
    <w:rsid w:val="00F84E7D"/>
    <w:rsid w:val="00F85066"/>
    <w:rsid w:val="00F87A4D"/>
    <w:rsid w:val="00F9785E"/>
    <w:rsid w:val="00FA5D4D"/>
    <w:rsid w:val="00FA60A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4082"/>
    <w:rsid w:val="00FF7090"/>
    <w:rsid w:val="00FF7B96"/>
    <w:rsid w:val="0274CEEB"/>
    <w:rsid w:val="11D0C0D9"/>
    <w:rsid w:val="1C7F89FF"/>
    <w:rsid w:val="304DB734"/>
    <w:rsid w:val="30D0B3BE"/>
    <w:rsid w:val="55C2456F"/>
    <w:rsid w:val="614CA75B"/>
    <w:rsid w:val="6B2670A5"/>
    <w:rsid w:val="6E1EAC99"/>
    <w:rsid w:val="7BDB84E4"/>
    <w:rsid w:val="7D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4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5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51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12"/>
    <w:rPr>
      <w:rFonts w:ascii="Arial" w:eastAsia="Times New Roman" w:hAnsi="Arial"/>
      <w:b/>
      <w:bCs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4551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551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54551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customStyle="1" w:styleId="spelle">
    <w:name w:val="spelle"/>
    <w:basedOn w:val="Standardnpsmoodstavce"/>
    <w:rsid w:val="00545512"/>
  </w:style>
  <w:style w:type="paragraph" w:styleId="Revize">
    <w:name w:val="Revision"/>
    <w:hidden/>
    <w:uiPriority w:val="99"/>
    <w:semiHidden/>
    <w:rsid w:val="00545512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45512"/>
  </w:style>
  <w:style w:type="character" w:customStyle="1" w:styleId="tabulka">
    <w:name w:val="tabulka"/>
    <w:basedOn w:val="Standardnpsmoodstavce"/>
    <w:rsid w:val="00545512"/>
  </w:style>
  <w:style w:type="paragraph" w:customStyle="1" w:styleId="Default">
    <w:name w:val="Default"/>
    <w:rsid w:val="005455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12"/>
    <w:rPr>
      <w:rFonts w:ascii="Courier New" w:eastAsia="Times New Roman" w:hAnsi="Courier New" w:cs="Courier New"/>
      <w:lang w:eastAsia="cs-CZ"/>
    </w:rPr>
  </w:style>
  <w:style w:type="paragraph" w:customStyle="1" w:styleId="cay">
    <w:name w:val="c_ay"/>
    <w:basedOn w:val="Normln"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ew">
    <w:name w:val="c_ew"/>
    <w:basedOn w:val="Standardnpsmoodstavce"/>
    <w:rsid w:val="00545512"/>
  </w:style>
  <w:style w:type="character" w:styleId="Sledovanodkaz">
    <w:name w:val="FollowedHyperlink"/>
    <w:basedOn w:val="Standardnpsmoodstavce"/>
    <w:uiPriority w:val="99"/>
    <w:semiHidden/>
    <w:unhideWhenUsed/>
    <w:rsid w:val="0054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Trh%20pr&#225;ce\Grafy-TRH%20PR&#193;CE%20celorok-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Trh%20pr&#225;ce\Grafy-TRH%20PR&#193;CE%20celorok-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Celorok\Trh%20pr&#225;ce\Grafy-TRH%20PR&#193;CE%20celorok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2048E-2"/>
          <c:y val="1.4522051060224651E-2"/>
          <c:w val="0.84495121574960907"/>
          <c:h val="0.675571307394595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1-SNÚ'!$AC$28:$AC$68</c:f>
              <c:numCache>
                <c:formatCode>#\ ##0.0</c:formatCode>
                <c:ptCount val="41"/>
                <c:pt idx="0">
                  <c:v>-6.1573326356334918E-2</c:v>
                </c:pt>
                <c:pt idx="1">
                  <c:v>-5.9676888347252419E-2</c:v>
                </c:pt>
                <c:pt idx="2">
                  <c:v>-7.707844703464159E-2</c:v>
                </c:pt>
                <c:pt idx="3">
                  <c:v>-0.14243709499262253</c:v>
                </c:pt>
                <c:pt idx="4">
                  <c:v>-0.13840014711933823</c:v>
                </c:pt>
                <c:pt idx="5">
                  <c:v>-4.8650842041975666E-2</c:v>
                </c:pt>
                <c:pt idx="6">
                  <c:v>-5.6369916424211908E-2</c:v>
                </c:pt>
                <c:pt idx="7">
                  <c:v>5.3611107528481909E-2</c:v>
                </c:pt>
                <c:pt idx="8">
                  <c:v>0.11362815565462964</c:v>
                </c:pt>
                <c:pt idx="9">
                  <c:v>5.0071347365045656E-2</c:v>
                </c:pt>
                <c:pt idx="10">
                  <c:v>4.1044524794336977E-2</c:v>
                </c:pt>
                <c:pt idx="11">
                  <c:v>-6.8207996146105745E-2</c:v>
                </c:pt>
                <c:pt idx="12">
                  <c:v>1.1563918372028041E-2</c:v>
                </c:pt>
                <c:pt idx="13">
                  <c:v>9.9469652773378076E-3</c:v>
                </c:pt>
                <c:pt idx="14">
                  <c:v>-4.5877079510242644E-3</c:v>
                </c:pt>
                <c:pt idx="15">
                  <c:v>6.1002100013741969E-2</c:v>
                </c:pt>
                <c:pt idx="16">
                  <c:v>-7.7206500491187602E-2</c:v>
                </c:pt>
                <c:pt idx="17">
                  <c:v>-0.12546310619157755</c:v>
                </c:pt>
                <c:pt idx="18">
                  <c:v>-0.15916772896693915</c:v>
                </c:pt>
                <c:pt idx="19">
                  <c:v>-0.17729355041451639</c:v>
                </c:pt>
                <c:pt idx="20">
                  <c:v>-0.22963797478861914</c:v>
                </c:pt>
                <c:pt idx="21">
                  <c:v>-0.16486981249577076</c:v>
                </c:pt>
                <c:pt idx="22">
                  <c:v>-7.1458262303198058E-2</c:v>
                </c:pt>
                <c:pt idx="23">
                  <c:v>-7.1155713762608958E-2</c:v>
                </c:pt>
                <c:pt idx="24">
                  <c:v>1.988648589111628E-2</c:v>
                </c:pt>
                <c:pt idx="25">
                  <c:v>-4.5264025753272527E-2</c:v>
                </c:pt>
                <c:pt idx="26">
                  <c:v>-5.6861720003765062E-2</c:v>
                </c:pt>
                <c:pt idx="27">
                  <c:v>-7.103915889635871E-4</c:v>
                </c:pt>
                <c:pt idx="28">
                  <c:v>0.1001903961167062</c:v>
                </c:pt>
                <c:pt idx="29">
                  <c:v>0.19187936731668201</c:v>
                </c:pt>
                <c:pt idx="30">
                  <c:v>0.16694191816358248</c:v>
                </c:pt>
                <c:pt idx="31">
                  <c:v>8.0972483290481317E-2</c:v>
                </c:pt>
                <c:pt idx="32">
                  <c:v>2.6983862251070734E-2</c:v>
                </c:pt>
                <c:pt idx="33">
                  <c:v>1.5720339649167119E-3</c:v>
                </c:pt>
                <c:pt idx="34">
                  <c:v>-7.4409908857209078E-3</c:v>
                </c:pt>
                <c:pt idx="35">
                  <c:v>2.8532291098131043E-2</c:v>
                </c:pt>
                <c:pt idx="36">
                  <c:v>5.1710353470813208E-2</c:v>
                </c:pt>
                <c:pt idx="37">
                  <c:v>4.5731331942630953E-2</c:v>
                </c:pt>
                <c:pt idx="38">
                  <c:v>-1.9597614213169266E-2</c:v>
                </c:pt>
                <c:pt idx="39">
                  <c:v>1.4498178550444683E-2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F-46DF-9126-67D00A45895E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1-SNÚ'!$AD$28:$AD$68</c:f>
              <c:numCache>
                <c:formatCode>#\ ##0.0</c:formatCode>
                <c:ptCount val="41"/>
                <c:pt idx="0">
                  <c:v>0.88665589953122292</c:v>
                </c:pt>
                <c:pt idx="1">
                  <c:v>0.90523042979145274</c:v>
                </c:pt>
                <c:pt idx="2">
                  <c:v>0.77326960941049294</c:v>
                </c:pt>
                <c:pt idx="3">
                  <c:v>0.91244318301403449</c:v>
                </c:pt>
                <c:pt idx="4">
                  <c:v>0.62615046214619641</c:v>
                </c:pt>
                <c:pt idx="5">
                  <c:v>0.36311412514139912</c:v>
                </c:pt>
                <c:pt idx="6">
                  <c:v>0.36892459176709286</c:v>
                </c:pt>
                <c:pt idx="7">
                  <c:v>0.20801494720027841</c:v>
                </c:pt>
                <c:pt idx="8">
                  <c:v>0.34123025002420737</c:v>
                </c:pt>
                <c:pt idx="9">
                  <c:v>0.52235302041005405</c:v>
                </c:pt>
                <c:pt idx="10">
                  <c:v>0.6007043202184712</c:v>
                </c:pt>
                <c:pt idx="11">
                  <c:v>0.58624629993025279</c:v>
                </c:pt>
                <c:pt idx="12">
                  <c:v>0.11964573015131148</c:v>
                </c:pt>
                <c:pt idx="13">
                  <c:v>7.6152907170797243E-2</c:v>
                </c:pt>
                <c:pt idx="14">
                  <c:v>-0.12298441683462999</c:v>
                </c:pt>
                <c:pt idx="15">
                  <c:v>-0.10363777422981803</c:v>
                </c:pt>
                <c:pt idx="16">
                  <c:v>-4.3879683818856575E-2</c:v>
                </c:pt>
                <c:pt idx="17">
                  <c:v>-0.13090182754073737</c:v>
                </c:pt>
                <c:pt idx="18">
                  <c:v>-0.222700438793799</c:v>
                </c:pt>
                <c:pt idx="19">
                  <c:v>-0.5875860652367344</c:v>
                </c:pt>
                <c:pt idx="20">
                  <c:v>-1.0288745963154016</c:v>
                </c:pt>
                <c:pt idx="21">
                  <c:v>-1.3602085728947291</c:v>
                </c:pt>
                <c:pt idx="22">
                  <c:v>-1.3450219745832801</c:v>
                </c:pt>
                <c:pt idx="23">
                  <c:v>-1.0779931429042369</c:v>
                </c:pt>
                <c:pt idx="24">
                  <c:v>-0.34893294500656458</c:v>
                </c:pt>
                <c:pt idx="25">
                  <c:v>2.32270870065563E-3</c:v>
                </c:pt>
                <c:pt idx="26">
                  <c:v>0.30744821432919089</c:v>
                </c:pt>
                <c:pt idx="27">
                  <c:v>0.30287641394325915</c:v>
                </c:pt>
                <c:pt idx="28">
                  <c:v>-3.0965857946131374E-2</c:v>
                </c:pt>
                <c:pt idx="29">
                  <c:v>0.16543682902296636</c:v>
                </c:pt>
                <c:pt idx="30">
                  <c:v>-2.5206250094264231E-2</c:v>
                </c:pt>
                <c:pt idx="31">
                  <c:v>-8.6847696031558105E-2</c:v>
                </c:pt>
                <c:pt idx="32">
                  <c:v>0.20649178400959525</c:v>
                </c:pt>
                <c:pt idx="33">
                  <c:v>-2.3355933193048291E-2</c:v>
                </c:pt>
                <c:pt idx="34">
                  <c:v>-0.23908389810703257</c:v>
                </c:pt>
                <c:pt idx="35">
                  <c:v>-0.18167614037140023</c:v>
                </c:pt>
                <c:pt idx="36">
                  <c:v>-0.56719163916873283</c:v>
                </c:pt>
                <c:pt idx="37">
                  <c:v>-0.66004724155549699</c:v>
                </c:pt>
                <c:pt idx="38">
                  <c:v>-0.39451230447202923</c:v>
                </c:pt>
                <c:pt idx="39">
                  <c:v>-0.39793977545619524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8F-46DF-9126-67D00A45895E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1-SNÚ'!$AE$28:$AE$68</c:f>
              <c:numCache>
                <c:formatCode>#\ ##0.0</c:formatCode>
                <c:ptCount val="41"/>
                <c:pt idx="0">
                  <c:v>-0.10117304071905125</c:v>
                </c:pt>
                <c:pt idx="1">
                  <c:v>-9.1106454297089121E-2</c:v>
                </c:pt>
                <c:pt idx="2">
                  <c:v>-0.14253348773808819</c:v>
                </c:pt>
                <c:pt idx="3">
                  <c:v>-0.16445842723255458</c:v>
                </c:pt>
                <c:pt idx="4">
                  <c:v>-0.1244766301438134</c:v>
                </c:pt>
                <c:pt idx="5">
                  <c:v>-0.14361558611517708</c:v>
                </c:pt>
                <c:pt idx="6">
                  <c:v>-5.3202850205105789E-2</c:v>
                </c:pt>
                <c:pt idx="7">
                  <c:v>-1.892269971292557E-2</c:v>
                </c:pt>
                <c:pt idx="8">
                  <c:v>-2.522295323322548E-2</c:v>
                </c:pt>
                <c:pt idx="9">
                  <c:v>-4.955475341057251E-3</c:v>
                </c:pt>
                <c:pt idx="10">
                  <c:v>4.3264182079252173E-2</c:v>
                </c:pt>
                <c:pt idx="11">
                  <c:v>-9.7203529235831032E-2</c:v>
                </c:pt>
                <c:pt idx="12">
                  <c:v>5.0774905955341509E-2</c:v>
                </c:pt>
                <c:pt idx="13">
                  <c:v>9.1527209015807957E-3</c:v>
                </c:pt>
                <c:pt idx="14">
                  <c:v>-5.7910411840798107E-3</c:v>
                </c:pt>
                <c:pt idx="15">
                  <c:v>5.1320718963795246E-2</c:v>
                </c:pt>
                <c:pt idx="16">
                  <c:v>-4.7853409991260497E-2</c:v>
                </c:pt>
                <c:pt idx="17">
                  <c:v>2.6839717342942881E-2</c:v>
                </c:pt>
                <c:pt idx="18">
                  <c:v>4.1303727040787566E-2</c:v>
                </c:pt>
                <c:pt idx="19">
                  <c:v>5.3863451406236225E-2</c:v>
                </c:pt>
                <c:pt idx="20">
                  <c:v>-5.219809701293044E-2</c:v>
                </c:pt>
                <c:pt idx="21">
                  <c:v>-0.28539533059612732</c:v>
                </c:pt>
                <c:pt idx="22">
                  <c:v>-0.16438202614531755</c:v>
                </c:pt>
                <c:pt idx="23">
                  <c:v>-8.379854260961106E-2</c:v>
                </c:pt>
                <c:pt idx="24">
                  <c:v>0.10062675606296018</c:v>
                </c:pt>
                <c:pt idx="25">
                  <c:v>0.31345049895046107</c:v>
                </c:pt>
                <c:pt idx="26">
                  <c:v>0.17250227801546797</c:v>
                </c:pt>
                <c:pt idx="27">
                  <c:v>0.23625320276207945</c:v>
                </c:pt>
                <c:pt idx="28">
                  <c:v>0.12256523305435475</c:v>
                </c:pt>
                <c:pt idx="29">
                  <c:v>0.14558592922631924</c:v>
                </c:pt>
                <c:pt idx="30">
                  <c:v>0.1425086346017527</c:v>
                </c:pt>
                <c:pt idx="31">
                  <c:v>0.1263359047432184</c:v>
                </c:pt>
                <c:pt idx="32">
                  <c:v>0.27042481713564304</c:v>
                </c:pt>
                <c:pt idx="33">
                  <c:v>0.23488807492463867</c:v>
                </c:pt>
                <c:pt idx="34">
                  <c:v>0.19670016358962225</c:v>
                </c:pt>
                <c:pt idx="35">
                  <c:v>9.2659876591769372E-2</c:v>
                </c:pt>
                <c:pt idx="36">
                  <c:v>-9.4069627171328066E-2</c:v>
                </c:pt>
                <c:pt idx="37">
                  <c:v>-6.1061511233521E-2</c:v>
                </c:pt>
                <c:pt idx="38">
                  <c:v>1.6943770621802592E-2</c:v>
                </c:pt>
                <c:pt idx="39">
                  <c:v>7.1990316254957429E-2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8F-46DF-9126-67D00A45895E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1-SNÚ'!$AF$28:$AF$68</c:f>
              <c:numCache>
                <c:formatCode>#\ ##0.0</c:formatCode>
                <c:ptCount val="41"/>
                <c:pt idx="0">
                  <c:v>0.25998500994419238</c:v>
                </c:pt>
                <c:pt idx="1">
                  <c:v>0.48955477662614383</c:v>
                </c:pt>
                <c:pt idx="2">
                  <c:v>0.32600328194900458</c:v>
                </c:pt>
                <c:pt idx="3">
                  <c:v>0.15828076146259132</c:v>
                </c:pt>
                <c:pt idx="4">
                  <c:v>-5.6703862717618583E-2</c:v>
                </c:pt>
                <c:pt idx="5">
                  <c:v>7.8393714906065587E-2</c:v>
                </c:pt>
                <c:pt idx="6">
                  <c:v>-0.13956333881390184</c:v>
                </c:pt>
                <c:pt idx="7">
                  <c:v>-7.6460796805432718E-2</c:v>
                </c:pt>
                <c:pt idx="8">
                  <c:v>0.15973256369708291</c:v>
                </c:pt>
                <c:pt idx="9">
                  <c:v>-1.5191688883395588E-2</c:v>
                </c:pt>
                <c:pt idx="10">
                  <c:v>0.35531738037577776</c:v>
                </c:pt>
                <c:pt idx="11">
                  <c:v>0.17142372253177482</c:v>
                </c:pt>
                <c:pt idx="12">
                  <c:v>0.11459482327617278</c:v>
                </c:pt>
                <c:pt idx="13">
                  <c:v>0.34360524541678317</c:v>
                </c:pt>
                <c:pt idx="14">
                  <c:v>0.13954905087091021</c:v>
                </c:pt>
                <c:pt idx="15">
                  <c:v>0.16123729177746221</c:v>
                </c:pt>
                <c:pt idx="16">
                  <c:v>9.5669331999762464E-2</c:v>
                </c:pt>
                <c:pt idx="17">
                  <c:v>-0.18752413199774384</c:v>
                </c:pt>
                <c:pt idx="18">
                  <c:v>-0.32173233019841657</c:v>
                </c:pt>
                <c:pt idx="19">
                  <c:v>-0.34416791851901818</c:v>
                </c:pt>
                <c:pt idx="20">
                  <c:v>-0.17007381394220211</c:v>
                </c:pt>
                <c:pt idx="21">
                  <c:v>-0.68801691905386031</c:v>
                </c:pt>
                <c:pt idx="22">
                  <c:v>-0.5805213183815886</c:v>
                </c:pt>
                <c:pt idx="23">
                  <c:v>-1.024799611162776</c:v>
                </c:pt>
                <c:pt idx="24">
                  <c:v>-0.89384919901442583</c:v>
                </c:pt>
                <c:pt idx="25">
                  <c:v>-0.27162254639898481</c:v>
                </c:pt>
                <c:pt idx="26">
                  <c:v>0.18479100442221555</c:v>
                </c:pt>
                <c:pt idx="27">
                  <c:v>0.62815896259788329</c:v>
                </c:pt>
                <c:pt idx="28">
                  <c:v>6.9644543642100654E-2</c:v>
                </c:pt>
                <c:pt idx="29">
                  <c:v>0.38341680525887634</c:v>
                </c:pt>
                <c:pt idx="30">
                  <c:v>-5.4710948222554075E-2</c:v>
                </c:pt>
                <c:pt idx="31">
                  <c:v>-0.15716194082380397</c:v>
                </c:pt>
                <c:pt idx="32">
                  <c:v>0.2259118446485929</c:v>
                </c:pt>
                <c:pt idx="33">
                  <c:v>0.16575600984842043</c:v>
                </c:pt>
                <c:pt idx="34">
                  <c:v>0.26144426267819387</c:v>
                </c:pt>
                <c:pt idx="35">
                  <c:v>0.30554029079020223</c:v>
                </c:pt>
                <c:pt idx="36">
                  <c:v>0.34271148528675127</c:v>
                </c:pt>
                <c:pt idx="37">
                  <c:v>0.38114380541336057</c:v>
                </c:pt>
                <c:pt idx="38">
                  <c:v>0.21822759993622859</c:v>
                </c:pt>
                <c:pt idx="39">
                  <c:v>-4.0231518483970538E-2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8F-46DF-9126-67D00A45895E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1-SNÚ'!$AG$28:$AG$68</c:f>
              <c:numCache>
                <c:formatCode>#\ ##0.0</c:formatCode>
                <c:ptCount val="41"/>
                <c:pt idx="0">
                  <c:v>1.4183504250133379E-2</c:v>
                </c:pt>
                <c:pt idx="1">
                  <c:v>5.629821000764499E-2</c:v>
                </c:pt>
                <c:pt idx="2">
                  <c:v>6.26372452292175E-2</c:v>
                </c:pt>
                <c:pt idx="3">
                  <c:v>9.4516337489973887E-2</c:v>
                </c:pt>
                <c:pt idx="4">
                  <c:v>0.10299907118296198</c:v>
                </c:pt>
                <c:pt idx="5">
                  <c:v>9.0773702896897832E-2</c:v>
                </c:pt>
                <c:pt idx="6">
                  <c:v>0.11426543181982249</c:v>
                </c:pt>
                <c:pt idx="7">
                  <c:v>0.13630888775913119</c:v>
                </c:pt>
                <c:pt idx="8">
                  <c:v>0.10306256214490077</c:v>
                </c:pt>
                <c:pt idx="9">
                  <c:v>0.113076676701345</c:v>
                </c:pt>
                <c:pt idx="10">
                  <c:v>0.14247903571964249</c:v>
                </c:pt>
                <c:pt idx="11">
                  <c:v>0.13951722056886845</c:v>
                </c:pt>
                <c:pt idx="12">
                  <c:v>0.13227299733915818</c:v>
                </c:pt>
                <c:pt idx="13">
                  <c:v>0.14892082045443958</c:v>
                </c:pt>
                <c:pt idx="14">
                  <c:v>0.10555488703709108</c:v>
                </c:pt>
                <c:pt idx="15">
                  <c:v>0.12454203777844085</c:v>
                </c:pt>
                <c:pt idx="16">
                  <c:v>0.1256784621979638</c:v>
                </c:pt>
                <c:pt idx="17">
                  <c:v>7.6458736775003838E-2</c:v>
                </c:pt>
                <c:pt idx="18">
                  <c:v>0.11512037432787062</c:v>
                </c:pt>
                <c:pt idx="19">
                  <c:v>0.12022992158448997</c:v>
                </c:pt>
                <c:pt idx="20">
                  <c:v>9.8320126142908748E-2</c:v>
                </c:pt>
                <c:pt idx="21">
                  <c:v>5.3757438014449162E-2</c:v>
                </c:pt>
                <c:pt idx="22">
                  <c:v>7.7959563030390977E-2</c:v>
                </c:pt>
                <c:pt idx="23">
                  <c:v>5.8793836667762431E-2</c:v>
                </c:pt>
                <c:pt idx="24">
                  <c:v>2.8455305359929017E-2</c:v>
                </c:pt>
                <c:pt idx="25">
                  <c:v>8.2292993386038724E-2</c:v>
                </c:pt>
                <c:pt idx="26">
                  <c:v>6.4760246180956965E-2</c:v>
                </c:pt>
                <c:pt idx="27">
                  <c:v>-2.2214136984618119E-2</c:v>
                </c:pt>
                <c:pt idx="28">
                  <c:v>0.19577982320442494</c:v>
                </c:pt>
                <c:pt idx="29">
                  <c:v>0.1773093767482338</c:v>
                </c:pt>
                <c:pt idx="30">
                  <c:v>0.17446420222312728</c:v>
                </c:pt>
                <c:pt idx="31">
                  <c:v>0.25679575689123113</c:v>
                </c:pt>
                <c:pt idx="32">
                  <c:v>0.14193473725055147</c:v>
                </c:pt>
                <c:pt idx="33">
                  <c:v>6.7279310760423566E-2</c:v>
                </c:pt>
                <c:pt idx="34">
                  <c:v>2.942743631689625E-2</c:v>
                </c:pt>
                <c:pt idx="35">
                  <c:v>1.8012526927700279E-2</c:v>
                </c:pt>
                <c:pt idx="36">
                  <c:v>5.1356428140861686E-2</c:v>
                </c:pt>
                <c:pt idx="37">
                  <c:v>2.0588356728828187E-2</c:v>
                </c:pt>
                <c:pt idx="38">
                  <c:v>9.4276401707291541E-3</c:v>
                </c:pt>
                <c:pt idx="39">
                  <c:v>-0.11798773439262143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8F-46DF-9126-67D00A45895E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1-SNÚ'!$AH$28:$AH$68</c:f>
              <c:numCache>
                <c:formatCode>#\ ##0.0</c:formatCode>
                <c:ptCount val="41"/>
                <c:pt idx="0">
                  <c:v>0.11759915174382432</c:v>
                </c:pt>
                <c:pt idx="1">
                  <c:v>0.14665821211342547</c:v>
                </c:pt>
                <c:pt idx="2">
                  <c:v>0.27033225330885341</c:v>
                </c:pt>
                <c:pt idx="3">
                  <c:v>0.34628057749677232</c:v>
                </c:pt>
                <c:pt idx="4">
                  <c:v>0.1873751956720211</c:v>
                </c:pt>
                <c:pt idx="5">
                  <c:v>0.20516788210079692</c:v>
                </c:pt>
                <c:pt idx="6">
                  <c:v>0.18977292521436465</c:v>
                </c:pt>
                <c:pt idx="7">
                  <c:v>0.2038377083012908</c:v>
                </c:pt>
                <c:pt idx="8">
                  <c:v>0.29841078105477886</c:v>
                </c:pt>
                <c:pt idx="9">
                  <c:v>0.23426579179886092</c:v>
                </c:pt>
                <c:pt idx="10">
                  <c:v>0.20577753829291368</c:v>
                </c:pt>
                <c:pt idx="11">
                  <c:v>5.6773405997204894E-2</c:v>
                </c:pt>
                <c:pt idx="12">
                  <c:v>0.10777799783190666</c:v>
                </c:pt>
                <c:pt idx="13">
                  <c:v>0.10518064804667848</c:v>
                </c:pt>
                <c:pt idx="14">
                  <c:v>9.8748533437620648E-2</c:v>
                </c:pt>
                <c:pt idx="15">
                  <c:v>0.22141224467237378</c:v>
                </c:pt>
                <c:pt idx="16">
                  <c:v>3.724431087059718E-2</c:v>
                </c:pt>
                <c:pt idx="17">
                  <c:v>2.5573165795878261E-2</c:v>
                </c:pt>
                <c:pt idx="18">
                  <c:v>2.2396959985967045E-2</c:v>
                </c:pt>
                <c:pt idx="19">
                  <c:v>-0.18724759065711963</c:v>
                </c:pt>
                <c:pt idx="20">
                  <c:v>-0.19133070373579164</c:v>
                </c:pt>
                <c:pt idx="21">
                  <c:v>-0.3504112611767094</c:v>
                </c:pt>
                <c:pt idx="22">
                  <c:v>-0.52251402310016892</c:v>
                </c:pt>
                <c:pt idx="23">
                  <c:v>-0.24405342203916677</c:v>
                </c:pt>
                <c:pt idx="24">
                  <c:v>-0.10997283570482894</c:v>
                </c:pt>
                <c:pt idx="25">
                  <c:v>0.14882612029903389</c:v>
                </c:pt>
                <c:pt idx="26">
                  <c:v>0.28609151976270597</c:v>
                </c:pt>
                <c:pt idx="27">
                  <c:v>0.12335853943489318</c:v>
                </c:pt>
                <c:pt idx="28">
                  <c:v>0.16279030253185092</c:v>
                </c:pt>
                <c:pt idx="29">
                  <c:v>0.11160194861751378</c:v>
                </c:pt>
                <c:pt idx="30">
                  <c:v>0.16264347012955688</c:v>
                </c:pt>
                <c:pt idx="31">
                  <c:v>0.22346522307166092</c:v>
                </c:pt>
                <c:pt idx="32">
                  <c:v>0.24935962964601949</c:v>
                </c:pt>
                <c:pt idx="33">
                  <c:v>0.2471274822229188</c:v>
                </c:pt>
                <c:pt idx="34">
                  <c:v>0.29077821921009361</c:v>
                </c:pt>
                <c:pt idx="35">
                  <c:v>0.28952707961070101</c:v>
                </c:pt>
                <c:pt idx="36">
                  <c:v>0.16679196865189538</c:v>
                </c:pt>
                <c:pt idx="37">
                  <c:v>6.0320922861980417E-2</c:v>
                </c:pt>
                <c:pt idx="38">
                  <c:v>8.0431874999882177E-2</c:v>
                </c:pt>
                <c:pt idx="39">
                  <c:v>2.3007979003966565E-2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68F-46DF-9126-67D00A45895E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1-SNÚ'!$AI$28:$AI$68</c:f>
              <c:numCache>
                <c:formatCode>#\ ##0.0</c:formatCode>
                <c:ptCount val="41"/>
                <c:pt idx="0">
                  <c:v>0.29810932511306687</c:v>
                </c:pt>
                <c:pt idx="1">
                  <c:v>0.22837508358300088</c:v>
                </c:pt>
                <c:pt idx="2">
                  <c:v>8.7664748087127292E-2</c:v>
                </c:pt>
                <c:pt idx="3">
                  <c:v>6.3608520735520563E-2</c:v>
                </c:pt>
                <c:pt idx="4">
                  <c:v>0.31886213213126613</c:v>
                </c:pt>
                <c:pt idx="5">
                  <c:v>0.28817753636693877</c:v>
                </c:pt>
                <c:pt idx="6">
                  <c:v>0.36508162726951909</c:v>
                </c:pt>
                <c:pt idx="7">
                  <c:v>0.46049727622848979</c:v>
                </c:pt>
                <c:pt idx="8">
                  <c:v>0.25543763072520886</c:v>
                </c:pt>
                <c:pt idx="9">
                  <c:v>0.32021171933565312</c:v>
                </c:pt>
                <c:pt idx="10">
                  <c:v>0.40612074323310393</c:v>
                </c:pt>
                <c:pt idx="11">
                  <c:v>0.45188510919558089</c:v>
                </c:pt>
                <c:pt idx="12">
                  <c:v>0.60669746453968465</c:v>
                </c:pt>
                <c:pt idx="13">
                  <c:v>0.67766064774410706</c:v>
                </c:pt>
                <c:pt idx="14">
                  <c:v>0.54779865226677038</c:v>
                </c:pt>
                <c:pt idx="15">
                  <c:v>0.53702526690063701</c:v>
                </c:pt>
                <c:pt idx="16">
                  <c:v>0.28440258119756973</c:v>
                </c:pt>
                <c:pt idx="17">
                  <c:v>0.27707677667843045</c:v>
                </c:pt>
                <c:pt idx="18">
                  <c:v>0.33524516272328342</c:v>
                </c:pt>
                <c:pt idx="19">
                  <c:v>0.37920241903644225</c:v>
                </c:pt>
                <c:pt idx="20">
                  <c:v>0.39000877571158382</c:v>
                </c:pt>
                <c:pt idx="21">
                  <c:v>0.31581562839071159</c:v>
                </c:pt>
                <c:pt idx="22">
                  <c:v>0.4292913488797877</c:v>
                </c:pt>
                <c:pt idx="23">
                  <c:v>0.43905266815196531</c:v>
                </c:pt>
                <c:pt idx="24">
                  <c:v>0.48013825373146052</c:v>
                </c:pt>
                <c:pt idx="25">
                  <c:v>0.61638162295910981</c:v>
                </c:pt>
                <c:pt idx="26">
                  <c:v>0.58629302803612371</c:v>
                </c:pt>
                <c:pt idx="27">
                  <c:v>0.47863113300738547</c:v>
                </c:pt>
                <c:pt idx="28">
                  <c:v>0.23949857455870413</c:v>
                </c:pt>
                <c:pt idx="29">
                  <c:v>0.19858498227191301</c:v>
                </c:pt>
                <c:pt idx="30">
                  <c:v>0.21793885646200037</c:v>
                </c:pt>
                <c:pt idx="31">
                  <c:v>0.27781094092662112</c:v>
                </c:pt>
                <c:pt idx="32">
                  <c:v>0.47869409452407552</c:v>
                </c:pt>
                <c:pt idx="33">
                  <c:v>0.43457381784917815</c:v>
                </c:pt>
                <c:pt idx="34">
                  <c:v>0.2684926384669295</c:v>
                </c:pt>
                <c:pt idx="35">
                  <c:v>0.25836017617148521</c:v>
                </c:pt>
                <c:pt idx="36">
                  <c:v>0.31972496648884663</c:v>
                </c:pt>
                <c:pt idx="37">
                  <c:v>0.29247686263066441</c:v>
                </c:pt>
                <c:pt idx="38">
                  <c:v>0.42578415046661211</c:v>
                </c:pt>
                <c:pt idx="39">
                  <c:v>0.51948716494048597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8F-46DF-9126-67D00A45895E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1-SNÚ'!$AJ$28:$AJ$68</c:f>
              <c:numCache>
                <c:formatCode>#\ ##0.0</c:formatCode>
                <c:ptCount val="41"/>
                <c:pt idx="0">
                  <c:v>-0.11167788297920554</c:v>
                </c:pt>
                <c:pt idx="1">
                  <c:v>3.2922470332453942E-2</c:v>
                </c:pt>
                <c:pt idx="2">
                  <c:v>2.8686723369582272E-2</c:v>
                </c:pt>
                <c:pt idx="3">
                  <c:v>-3.2096578937316919E-2</c:v>
                </c:pt>
                <c:pt idx="4">
                  <c:v>0.1719564056042851</c:v>
                </c:pt>
                <c:pt idx="5">
                  <c:v>0.10973961273620712</c:v>
                </c:pt>
                <c:pt idx="6">
                  <c:v>0.13297815844368727</c:v>
                </c:pt>
                <c:pt idx="7">
                  <c:v>0.21049819060105912</c:v>
                </c:pt>
                <c:pt idx="8">
                  <c:v>-7.8204602142011373E-2</c:v>
                </c:pt>
                <c:pt idx="9">
                  <c:v>-4.3087762424945671E-2</c:v>
                </c:pt>
                <c:pt idx="10">
                  <c:v>-2.4186610414937963E-2</c:v>
                </c:pt>
                <c:pt idx="11">
                  <c:v>-3.215383918742503E-2</c:v>
                </c:pt>
                <c:pt idx="12">
                  <c:v>0.16045174095835293</c:v>
                </c:pt>
                <c:pt idx="13">
                  <c:v>0.15856521644577473</c:v>
                </c:pt>
                <c:pt idx="14">
                  <c:v>-1.9178123401822754E-2</c:v>
                </c:pt>
                <c:pt idx="15">
                  <c:v>-1.4963843331568139E-2</c:v>
                </c:pt>
                <c:pt idx="16">
                  <c:v>-0.11518182702557608</c:v>
                </c:pt>
                <c:pt idx="17">
                  <c:v>-3.7866166105623093E-2</c:v>
                </c:pt>
                <c:pt idx="18">
                  <c:v>9.4440514607494364E-2</c:v>
                </c:pt>
                <c:pt idx="19">
                  <c:v>7.8646220757913818E-2</c:v>
                </c:pt>
                <c:pt idx="20">
                  <c:v>-0.19809850857772601</c:v>
                </c:pt>
                <c:pt idx="21">
                  <c:v>-0.41738438003451656</c:v>
                </c:pt>
                <c:pt idx="22">
                  <c:v>-0.37552484458995661</c:v>
                </c:pt>
                <c:pt idx="23">
                  <c:v>-0.44219932777610815</c:v>
                </c:pt>
                <c:pt idx="24">
                  <c:v>2.3886532147575315E-2</c:v>
                </c:pt>
                <c:pt idx="25">
                  <c:v>0.20574208143493422</c:v>
                </c:pt>
                <c:pt idx="26">
                  <c:v>0.14351545379237532</c:v>
                </c:pt>
                <c:pt idx="27">
                  <c:v>0.21300227805302802</c:v>
                </c:pt>
                <c:pt idx="28">
                  <c:v>0.10114495400653761</c:v>
                </c:pt>
                <c:pt idx="29">
                  <c:v>0.12974320154172242</c:v>
                </c:pt>
                <c:pt idx="30">
                  <c:v>5.4560125484518086E-2</c:v>
                </c:pt>
                <c:pt idx="31">
                  <c:v>5.7942402577863039E-2</c:v>
                </c:pt>
                <c:pt idx="32">
                  <c:v>-8.6700075978387789E-2</c:v>
                </c:pt>
                <c:pt idx="33">
                  <c:v>-4.7722459649257365E-2</c:v>
                </c:pt>
                <c:pt idx="34">
                  <c:v>-5.881748071979391E-2</c:v>
                </c:pt>
                <c:pt idx="35">
                  <c:v>-2.7112216361092401E-2</c:v>
                </c:pt>
                <c:pt idx="36">
                  <c:v>4.4156424997580948E-2</c:v>
                </c:pt>
                <c:pt idx="37">
                  <c:v>0.14876132132077546</c:v>
                </c:pt>
                <c:pt idx="38">
                  <c:v>0.10913734518859322</c:v>
                </c:pt>
                <c:pt idx="39">
                  <c:v>0.14907909683392032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8F-46DF-9126-67D00A458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101898496"/>
        <c:axId val="101781504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1-SNÚ'!$AK$28:$AK$68</c:f>
              <c:numCache>
                <c:formatCode>#\ ##0.0</c:formatCode>
                <c:ptCount val="41"/>
                <c:pt idx="0">
                  <c:v>1.3021086405278481</c:v>
                </c:pt>
                <c:pt idx="1">
                  <c:v>1.7082558398097802</c:v>
                </c:pt>
                <c:pt idx="2">
                  <c:v>1.3289819265815481</c:v>
                </c:pt>
                <c:pt idx="3">
                  <c:v>1.2361372790363987</c:v>
                </c:pt>
                <c:pt idx="4">
                  <c:v>1.0877626267559606</c:v>
                </c:pt>
                <c:pt idx="5">
                  <c:v>0.94310014599115277</c:v>
                </c:pt>
                <c:pt idx="6">
                  <c:v>0.92188662907126684</c:v>
                </c:pt>
                <c:pt idx="7">
                  <c:v>1.1773846211003729</c:v>
                </c:pt>
                <c:pt idx="8">
                  <c:v>1.1680743879255715</c:v>
                </c:pt>
                <c:pt idx="9">
                  <c:v>1.1767436289615603</c:v>
                </c:pt>
                <c:pt idx="10">
                  <c:v>1.7705211142985604</c:v>
                </c:pt>
                <c:pt idx="11">
                  <c:v>1.2082803936543201</c:v>
                </c:pt>
                <c:pt idx="12">
                  <c:v>1.3037795784239563</c:v>
                </c:pt>
                <c:pt idx="13">
                  <c:v>1.5291851714574989</c:v>
                </c:pt>
                <c:pt idx="14">
                  <c:v>0.73910983424083554</c:v>
                </c:pt>
                <c:pt idx="15">
                  <c:v>1.0379380425450648</c:v>
                </c:pt>
                <c:pt idx="16">
                  <c:v>0.25887326493901242</c:v>
                </c:pt>
                <c:pt idx="17">
                  <c:v>-7.5806835243426463E-2</c:v>
                </c:pt>
                <c:pt idx="18">
                  <c:v>-9.5093759273751743E-2</c:v>
                </c:pt>
                <c:pt idx="19">
                  <c:v>-0.66435311204230629</c:v>
                </c:pt>
                <c:pt idx="20">
                  <c:v>-1.3818847925181785</c:v>
                </c:pt>
                <c:pt idx="21">
                  <c:v>-2.8967132098465527</c:v>
                </c:pt>
                <c:pt idx="22">
                  <c:v>-2.5521715371933311</c:v>
                </c:pt>
                <c:pt idx="23">
                  <c:v>-2.4461532554347798</c:v>
                </c:pt>
                <c:pt idx="24">
                  <c:v>-0.69976164653277806</c:v>
                </c:pt>
                <c:pt idx="25">
                  <c:v>1.0521294535779759</c:v>
                </c:pt>
                <c:pt idx="26">
                  <c:v>1.6885400245352713</c:v>
                </c:pt>
                <c:pt idx="27">
                  <c:v>1.9593560012249469</c:v>
                </c:pt>
                <c:pt idx="28">
                  <c:v>0.96064796916854789</c:v>
                </c:pt>
                <c:pt idx="29">
                  <c:v>1.5035584400042268</c:v>
                </c:pt>
                <c:pt idx="30">
                  <c:v>0.83914000874771943</c:v>
                </c:pt>
                <c:pt idx="31">
                  <c:v>0.77931307464571375</c:v>
                </c:pt>
                <c:pt idx="32">
                  <c:v>1.5131006934871607</c:v>
                </c:pt>
                <c:pt idx="33">
                  <c:v>1.0801183367281908</c:v>
                </c:pt>
                <c:pt idx="34">
                  <c:v>0.74150035054918817</c:v>
                </c:pt>
                <c:pt idx="35">
                  <c:v>0.78384388445749664</c:v>
                </c:pt>
                <c:pt idx="36">
                  <c:v>0.31519036069668971</c:v>
                </c:pt>
                <c:pt idx="37">
                  <c:v>0.22791384810922466</c:v>
                </c:pt>
                <c:pt idx="38">
                  <c:v>0.44584246269864991</c:v>
                </c:pt>
                <c:pt idx="39">
                  <c:v>0.22190370725098774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68F-46DF-9126-67D00A458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98496"/>
        <c:axId val="101781504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1-SNÚ'!$AL$28:$AL$68</c:f>
              <c:numCache>
                <c:formatCode>General</c:formatCode>
                <c:ptCount val="41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68F-46DF-9126-67D00A45895E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1-SNÚ'!$AM$28:$AM$68</c:f>
              <c:numCache>
                <c:formatCode>#\ ##0.0</c:formatCode>
                <c:ptCount val="41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8.1999999999999993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8.1999999999999993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  <c:pt idx="31">
                  <c:v>-9.9</c:v>
                </c:pt>
                <c:pt idx="32">
                  <c:v>-13.6</c:v>
                </c:pt>
                <c:pt idx="33">
                  <c:v>-5.8</c:v>
                </c:pt>
                <c:pt idx="34">
                  <c:v>-4.3</c:v>
                </c:pt>
                <c:pt idx="35">
                  <c:v>-8.3000000000000007</c:v>
                </c:pt>
                <c:pt idx="36">
                  <c:v>-6</c:v>
                </c:pt>
                <c:pt idx="37">
                  <c:v>-9.6</c:v>
                </c:pt>
                <c:pt idx="38">
                  <c:v>-10.7</c:v>
                </c:pt>
                <c:pt idx="39">
                  <c:v>-13.2</c:v>
                </c:pt>
                <c:pt idx="40">
                  <c:v>-13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68F-46DF-9126-67D00A45895E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1-SNÚ'!$AN$28:$AN$68</c:f>
              <c:numCache>
                <c:formatCode>#\ ##0.0</c:formatCode>
                <c:ptCount val="41"/>
                <c:pt idx="0">
                  <c:v>-4.0999999999999996</c:v>
                </c:pt>
                <c:pt idx="1">
                  <c:v>7.5</c:v>
                </c:pt>
                <c:pt idx="2">
                  <c:v>1.1000000000000001</c:v>
                </c:pt>
                <c:pt idx="3">
                  <c:v>-0.5</c:v>
                </c:pt>
                <c:pt idx="4">
                  <c:v>-3.4</c:v>
                </c:pt>
                <c:pt idx="5">
                  <c:v>-6.1</c:v>
                </c:pt>
                <c:pt idx="6">
                  <c:v>-4.5</c:v>
                </c:pt>
                <c:pt idx="7">
                  <c:v>-7.5</c:v>
                </c:pt>
                <c:pt idx="8">
                  <c:v>-7.4</c:v>
                </c:pt>
                <c:pt idx="9">
                  <c:v>-11.8</c:v>
                </c:pt>
                <c:pt idx="10">
                  <c:v>-6</c:v>
                </c:pt>
                <c:pt idx="11">
                  <c:v>-3.6</c:v>
                </c:pt>
                <c:pt idx="12">
                  <c:v>4.4000000000000004</c:v>
                </c:pt>
                <c:pt idx="13">
                  <c:v>6</c:v>
                </c:pt>
                <c:pt idx="14">
                  <c:v>9.1999999999999993</c:v>
                </c:pt>
                <c:pt idx="15">
                  <c:v>8.4</c:v>
                </c:pt>
                <c:pt idx="16">
                  <c:v>6.5</c:v>
                </c:pt>
                <c:pt idx="17">
                  <c:v>10.4</c:v>
                </c:pt>
                <c:pt idx="18">
                  <c:v>4.3</c:v>
                </c:pt>
                <c:pt idx="19">
                  <c:v>9.1</c:v>
                </c:pt>
                <c:pt idx="20">
                  <c:v>5.6</c:v>
                </c:pt>
                <c:pt idx="21">
                  <c:v>-3.1</c:v>
                </c:pt>
                <c:pt idx="22">
                  <c:v>1.9</c:v>
                </c:pt>
                <c:pt idx="23">
                  <c:v>-3.6</c:v>
                </c:pt>
                <c:pt idx="24">
                  <c:v>3.4</c:v>
                </c:pt>
                <c:pt idx="25">
                  <c:v>5.6</c:v>
                </c:pt>
                <c:pt idx="26">
                  <c:v>4.8</c:v>
                </c:pt>
                <c:pt idx="27">
                  <c:v>6</c:v>
                </c:pt>
                <c:pt idx="28">
                  <c:v>9.3000000000000007</c:v>
                </c:pt>
                <c:pt idx="29">
                  <c:v>9.1</c:v>
                </c:pt>
                <c:pt idx="30">
                  <c:v>2.2000000000000002</c:v>
                </c:pt>
                <c:pt idx="31">
                  <c:v>-3.4</c:v>
                </c:pt>
                <c:pt idx="32">
                  <c:v>-12.7</c:v>
                </c:pt>
                <c:pt idx="33">
                  <c:v>-11.8</c:v>
                </c:pt>
                <c:pt idx="34">
                  <c:v>-7.3</c:v>
                </c:pt>
                <c:pt idx="35">
                  <c:v>-2.5</c:v>
                </c:pt>
                <c:pt idx="36">
                  <c:v>-0.5</c:v>
                </c:pt>
                <c:pt idx="37">
                  <c:v>-7.5</c:v>
                </c:pt>
                <c:pt idx="38">
                  <c:v>-5.5</c:v>
                </c:pt>
                <c:pt idx="39">
                  <c:v>7.1</c:v>
                </c:pt>
                <c:pt idx="40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68F-46DF-9126-67D00A45895E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1-SNÚ'!$AO$28:$AO$68</c:f>
              <c:numCache>
                <c:formatCode>#\ ##0.0</c:formatCode>
                <c:ptCount val="41"/>
                <c:pt idx="0">
                  <c:v>12</c:v>
                </c:pt>
                <c:pt idx="1">
                  <c:v>3.7</c:v>
                </c:pt>
                <c:pt idx="2">
                  <c:v>1</c:v>
                </c:pt>
                <c:pt idx="3">
                  <c:v>2</c:v>
                </c:pt>
                <c:pt idx="4">
                  <c:v>14.9</c:v>
                </c:pt>
                <c:pt idx="5">
                  <c:v>18.100000000000001</c:v>
                </c:pt>
                <c:pt idx="6">
                  <c:v>18.899999999999999</c:v>
                </c:pt>
                <c:pt idx="7">
                  <c:v>21</c:v>
                </c:pt>
                <c:pt idx="8">
                  <c:v>14.7</c:v>
                </c:pt>
                <c:pt idx="9">
                  <c:v>17</c:v>
                </c:pt>
                <c:pt idx="10">
                  <c:v>19</c:v>
                </c:pt>
                <c:pt idx="11">
                  <c:v>14.9</c:v>
                </c:pt>
                <c:pt idx="12">
                  <c:v>30.1</c:v>
                </c:pt>
                <c:pt idx="13">
                  <c:v>32.5</c:v>
                </c:pt>
                <c:pt idx="14">
                  <c:v>27.5</c:v>
                </c:pt>
                <c:pt idx="15">
                  <c:v>14.7</c:v>
                </c:pt>
                <c:pt idx="16">
                  <c:v>12.2</c:v>
                </c:pt>
                <c:pt idx="17">
                  <c:v>15.8</c:v>
                </c:pt>
                <c:pt idx="18">
                  <c:v>14.1</c:v>
                </c:pt>
                <c:pt idx="19">
                  <c:v>12.3</c:v>
                </c:pt>
                <c:pt idx="20">
                  <c:v>11.7</c:v>
                </c:pt>
                <c:pt idx="21">
                  <c:v>-5.9</c:v>
                </c:pt>
                <c:pt idx="22">
                  <c:v>-3.1</c:v>
                </c:pt>
                <c:pt idx="23">
                  <c:v>-0.2</c:v>
                </c:pt>
                <c:pt idx="24">
                  <c:v>6</c:v>
                </c:pt>
                <c:pt idx="25">
                  <c:v>13.2</c:v>
                </c:pt>
                <c:pt idx="26">
                  <c:v>11.4</c:v>
                </c:pt>
                <c:pt idx="27">
                  <c:v>8.5</c:v>
                </c:pt>
                <c:pt idx="28">
                  <c:v>10.5</c:v>
                </c:pt>
                <c:pt idx="29">
                  <c:v>3.2</c:v>
                </c:pt>
                <c:pt idx="30">
                  <c:v>5.9</c:v>
                </c:pt>
                <c:pt idx="31">
                  <c:v>12.5</c:v>
                </c:pt>
                <c:pt idx="32">
                  <c:v>11.3</c:v>
                </c:pt>
                <c:pt idx="33">
                  <c:v>9.1999999999999993</c:v>
                </c:pt>
                <c:pt idx="34">
                  <c:v>11.7</c:v>
                </c:pt>
                <c:pt idx="35">
                  <c:v>10.4</c:v>
                </c:pt>
                <c:pt idx="36">
                  <c:v>6.3</c:v>
                </c:pt>
                <c:pt idx="37">
                  <c:v>9.3000000000000007</c:v>
                </c:pt>
                <c:pt idx="38">
                  <c:v>3</c:v>
                </c:pt>
                <c:pt idx="39">
                  <c:v>7.3</c:v>
                </c:pt>
                <c:pt idx="40">
                  <c:v>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68F-46DF-9126-67D00A45895E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1-SNÚ'!$AA$28:$AB$68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 1-SNÚ'!$AP$28:$AP$68</c:f>
              <c:numCache>
                <c:formatCode>#\ ##0.0</c:formatCode>
                <c:ptCount val="41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-32.299999999999997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  <c:pt idx="31">
                  <c:v>-6.4</c:v>
                </c:pt>
                <c:pt idx="32">
                  <c:v>-10.7</c:v>
                </c:pt>
                <c:pt idx="33">
                  <c:v>-16.7</c:v>
                </c:pt>
                <c:pt idx="34">
                  <c:v>-14.5</c:v>
                </c:pt>
                <c:pt idx="35">
                  <c:v>-15.2</c:v>
                </c:pt>
                <c:pt idx="36">
                  <c:v>-23.7</c:v>
                </c:pt>
                <c:pt idx="37">
                  <c:v>-16</c:v>
                </c:pt>
                <c:pt idx="38">
                  <c:v>-15.7</c:v>
                </c:pt>
                <c:pt idx="39">
                  <c:v>-6.6</c:v>
                </c:pt>
                <c:pt idx="40">
                  <c:v>-14.3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168F-46DF-9126-67D00A458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941824"/>
        <c:axId val="332936832"/>
      </c:lineChart>
      <c:catAx>
        <c:axId val="10189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781504"/>
        <c:crosses val="autoZero"/>
        <c:auto val="1"/>
        <c:lblAlgn val="ctr"/>
        <c:lblOffset val="10"/>
        <c:noMultiLvlLbl val="0"/>
      </c:catAx>
      <c:valAx>
        <c:axId val="101781504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1898496"/>
        <c:crosses val="autoZero"/>
        <c:crossBetween val="between"/>
        <c:majorUnit val="0.5"/>
      </c:valAx>
      <c:valAx>
        <c:axId val="332936832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2941824"/>
        <c:crosses val="max"/>
        <c:crossBetween val="between"/>
        <c:majorUnit val="10"/>
      </c:valAx>
      <c:catAx>
        <c:axId val="332941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293683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7E-2"/>
          <c:y val="0.77992823117070742"/>
          <c:w val="0.96005692595618608"/>
          <c:h val="0.2119461831534994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036417007492182E-2"/>
          <c:y val="1.6081916099773243E-2"/>
          <c:w val="0.84656372322027451"/>
          <c:h val="0.76494082349138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práce-2b'!$A$32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práce-2b'!$B$32:$AP$32</c:f>
              <c:numCache>
                <c:formatCode>0.0</c:formatCode>
                <c:ptCount val="41"/>
                <c:pt idx="0">
                  <c:v>5.0058051640958512</c:v>
                </c:pt>
                <c:pt idx="1">
                  <c:v>4.3524444937807516</c:v>
                </c:pt>
                <c:pt idx="2">
                  <c:v>4.0807151898674574</c:v>
                </c:pt>
                <c:pt idx="3">
                  <c:v>3.7845567377550418</c:v>
                </c:pt>
                <c:pt idx="4">
                  <c:v>3.6309206389179773</c:v>
                </c:pt>
                <c:pt idx="5">
                  <c:v>3.5715167595159865</c:v>
                </c:pt>
                <c:pt idx="6">
                  <c:v>3.3849739455714514</c:v>
                </c:pt>
                <c:pt idx="7">
                  <c:v>3.1694993005821241</c:v>
                </c:pt>
                <c:pt idx="8">
                  <c:v>2.6988706435551912</c:v>
                </c:pt>
                <c:pt idx="9">
                  <c:v>2.4615719861358922</c:v>
                </c:pt>
                <c:pt idx="10">
                  <c:v>2.264323659014273</c:v>
                </c:pt>
                <c:pt idx="11">
                  <c:v>2.0528790539390447</c:v>
                </c:pt>
                <c:pt idx="12">
                  <c:v>1.891926718244531</c:v>
                </c:pt>
                <c:pt idx="13">
                  <c:v>1.8517464771970182</c:v>
                </c:pt>
                <c:pt idx="14">
                  <c:v>1.8812597941053213</c:v>
                </c:pt>
                <c:pt idx="15">
                  <c:v>1.6734969649939924</c:v>
                </c:pt>
                <c:pt idx="16">
                  <c:v>1.7964733039298741</c:v>
                </c:pt>
                <c:pt idx="17">
                  <c:v>1.6817598444088826</c:v>
                </c:pt>
                <c:pt idx="18">
                  <c:v>1.7697285460098422</c:v>
                </c:pt>
                <c:pt idx="19">
                  <c:v>1.8671073609881972</c:v>
                </c:pt>
                <c:pt idx="20">
                  <c:v>1.8419377261115273</c:v>
                </c:pt>
                <c:pt idx="21">
                  <c:v>2.2515285483985372</c:v>
                </c:pt>
                <c:pt idx="22">
                  <c:v>2.5210724110543103</c:v>
                </c:pt>
                <c:pt idx="23">
                  <c:v>2.5497226022391533</c:v>
                </c:pt>
                <c:pt idx="24">
                  <c:v>2.6716954602833582</c:v>
                </c:pt>
                <c:pt idx="25">
                  <c:v>2.5549914989531142</c:v>
                </c:pt>
                <c:pt idx="26">
                  <c:v>2.273705517368287</c:v>
                </c:pt>
                <c:pt idx="27">
                  <c:v>1.9813967726510178</c:v>
                </c:pt>
                <c:pt idx="28">
                  <c:v>1.9652125011822994</c:v>
                </c:pt>
                <c:pt idx="29">
                  <c:v>1.8990081705700053</c:v>
                </c:pt>
                <c:pt idx="30">
                  <c:v>1.9241256937035081</c:v>
                </c:pt>
                <c:pt idx="31">
                  <c:v>2.1039897404255146</c:v>
                </c:pt>
                <c:pt idx="32">
                  <c:v>2.1574118637930568</c:v>
                </c:pt>
                <c:pt idx="33">
                  <c:v>2.2427710400973342</c:v>
                </c:pt>
                <c:pt idx="34">
                  <c:v>2.3151063484266534</c:v>
                </c:pt>
                <c:pt idx="35">
                  <c:v>2.3406054642843581</c:v>
                </c:pt>
                <c:pt idx="36">
                  <c:v>2.3832603352200188</c:v>
                </c:pt>
                <c:pt idx="37">
                  <c:v>2.437940868173516</c:v>
                </c:pt>
                <c:pt idx="38">
                  <c:v>2.3821902878118024</c:v>
                </c:pt>
                <c:pt idx="39">
                  <c:v>2.2218618221886914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F-4826-B98F-9628680A49B0}"/>
            </c:ext>
          </c:extLst>
        </c:ser>
        <c:ser>
          <c:idx val="1"/>
          <c:order val="1"/>
          <c:tx>
            <c:strRef>
              <c:f>'Trh práce-2b'!$A$33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práce-2b'!$B$33:$AP$33</c:f>
              <c:numCache>
                <c:formatCode>0.0</c:formatCode>
                <c:ptCount val="41"/>
                <c:pt idx="0">
                  <c:v>6.9207856651438</c:v>
                </c:pt>
                <c:pt idx="1">
                  <c:v>6.1558591808040193</c:v>
                </c:pt>
                <c:pt idx="2">
                  <c:v>5.9813130938267003</c:v>
                </c:pt>
                <c:pt idx="3">
                  <c:v>5.6625073058713324</c:v>
                </c:pt>
                <c:pt idx="4">
                  <c:v>5.0654757792210923</c:v>
                </c:pt>
                <c:pt idx="5">
                  <c:v>4.8024068700366636</c:v>
                </c:pt>
                <c:pt idx="6">
                  <c:v>4.8139599778297599</c:v>
                </c:pt>
                <c:pt idx="7">
                  <c:v>4.3661039623264601</c:v>
                </c:pt>
                <c:pt idx="8">
                  <c:v>4.2644083530687276</c:v>
                </c:pt>
                <c:pt idx="9">
                  <c:v>3.8930864281784365</c:v>
                </c:pt>
                <c:pt idx="10">
                  <c:v>3.4142177691688596</c:v>
                </c:pt>
                <c:pt idx="11">
                  <c:v>3.0265212200029379</c:v>
                </c:pt>
                <c:pt idx="12">
                  <c:v>2.93560923470057</c:v>
                </c:pt>
                <c:pt idx="13">
                  <c:v>2.8906425825901452</c:v>
                </c:pt>
                <c:pt idx="14">
                  <c:v>2.8627693038037862</c:v>
                </c:pt>
                <c:pt idx="15">
                  <c:v>2.6813344350612236</c:v>
                </c:pt>
                <c:pt idx="16">
                  <c:v>2.2407108468132892</c:v>
                </c:pt>
                <c:pt idx="17">
                  <c:v>2.4706939951473177</c:v>
                </c:pt>
                <c:pt idx="18">
                  <c:v>2.5703902808520014</c:v>
                </c:pt>
                <c:pt idx="19">
                  <c:v>2.4360025139376575</c:v>
                </c:pt>
                <c:pt idx="20">
                  <c:v>2.0392822170403488</c:v>
                </c:pt>
                <c:pt idx="21">
                  <c:v>2.8104501806370918</c:v>
                </c:pt>
                <c:pt idx="22">
                  <c:v>3.3742996821413196</c:v>
                </c:pt>
                <c:pt idx="23">
                  <c:v>3.8980522491060001</c:v>
                </c:pt>
                <c:pt idx="24">
                  <c:v>4.1461427222181015</c:v>
                </c:pt>
                <c:pt idx="25">
                  <c:v>3.9050486236993525</c:v>
                </c:pt>
                <c:pt idx="26">
                  <c:v>3.2655737597165539</c:v>
                </c:pt>
                <c:pt idx="27">
                  <c:v>2.7366851884066157</c:v>
                </c:pt>
                <c:pt idx="28">
                  <c:v>2.9894048219769354</c:v>
                </c:pt>
                <c:pt idx="29">
                  <c:v>3.2092569970214662</c:v>
                </c:pt>
                <c:pt idx="30">
                  <c:v>2.9004106049239446</c:v>
                </c:pt>
                <c:pt idx="31">
                  <c:v>2.7986304810578915</c:v>
                </c:pt>
                <c:pt idx="32">
                  <c:v>3.0206028735083259</c:v>
                </c:pt>
                <c:pt idx="33">
                  <c:v>3.1938796182703673</c:v>
                </c:pt>
                <c:pt idx="34">
                  <c:v>3.2180965554616203</c:v>
                </c:pt>
                <c:pt idx="35">
                  <c:v>3.3001116125059653</c:v>
                </c:pt>
                <c:pt idx="36">
                  <c:v>3.5280274888123544</c:v>
                </c:pt>
                <c:pt idx="37">
                  <c:v>3.2159817769687629</c:v>
                </c:pt>
                <c:pt idx="38">
                  <c:v>3.3040067122227668</c:v>
                </c:pt>
                <c:pt idx="39">
                  <c:v>3.3436373122328811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F-4826-B98F-9628680A4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00654464"/>
        <c:axId val="101647488"/>
      </c:barChart>
      <c:lineChart>
        <c:grouping val="standard"/>
        <c:varyColors val="0"/>
        <c:ser>
          <c:idx val="4"/>
          <c:order val="2"/>
          <c:tx>
            <c:strRef>
              <c:f>'Trh práce-2b'!$A$34</c:f>
              <c:strCache>
                <c:ptCount val="1"/>
                <c:pt idx="0">
                  <c:v>VPM pro vyučené a SŠ bez mat.</c:v>
                </c:pt>
              </c:strCache>
            </c:strRef>
          </c:tx>
          <c:spPr>
            <a:ln w="19050">
              <a:noFill/>
              <a:prstDash val="sysDash"/>
            </a:ln>
          </c:spPr>
          <c:marker>
            <c:symbol val="circle"/>
            <c:size val="4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</c:spPr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práce-2b'!$B$34:$AP$34</c:f>
              <c:numCache>
                <c:formatCode>0.0</c:formatCode>
                <c:ptCount val="41"/>
                <c:pt idx="0">
                  <c:v>31.7</c:v>
                </c:pt>
                <c:pt idx="1">
                  <c:v>39.700000000000003</c:v>
                </c:pt>
                <c:pt idx="2">
                  <c:v>44.4</c:v>
                </c:pt>
                <c:pt idx="3">
                  <c:v>41.2</c:v>
                </c:pt>
                <c:pt idx="4">
                  <c:v>45.3</c:v>
                </c:pt>
                <c:pt idx="5">
                  <c:v>51.4</c:v>
                </c:pt>
                <c:pt idx="6">
                  <c:v>52.8</c:v>
                </c:pt>
                <c:pt idx="7">
                  <c:v>47.2</c:v>
                </c:pt>
                <c:pt idx="8">
                  <c:v>51.5</c:v>
                </c:pt>
                <c:pt idx="9">
                  <c:v>59.1</c:v>
                </c:pt>
                <c:pt idx="10">
                  <c:v>63.1</c:v>
                </c:pt>
                <c:pt idx="11">
                  <c:v>60.9</c:v>
                </c:pt>
                <c:pt idx="12">
                  <c:v>65.3</c:v>
                </c:pt>
                <c:pt idx="13">
                  <c:v>73.3</c:v>
                </c:pt>
                <c:pt idx="14">
                  <c:v>74.2</c:v>
                </c:pt>
                <c:pt idx="15">
                  <c:v>70.400000000000006</c:v>
                </c:pt>
                <c:pt idx="16">
                  <c:v>70.2</c:v>
                </c:pt>
                <c:pt idx="17">
                  <c:v>68</c:v>
                </c:pt>
                <c:pt idx="18">
                  <c:v>65.8</c:v>
                </c:pt>
                <c:pt idx="19">
                  <c:v>59.1</c:v>
                </c:pt>
                <c:pt idx="20">
                  <c:v>57.7</c:v>
                </c:pt>
                <c:pt idx="21">
                  <c:v>54.3</c:v>
                </c:pt>
                <c:pt idx="22">
                  <c:v>49.1</c:v>
                </c:pt>
                <c:pt idx="23">
                  <c:v>46.6</c:v>
                </c:pt>
                <c:pt idx="24">
                  <c:v>47.9</c:v>
                </c:pt>
                <c:pt idx="25">
                  <c:v>53.9</c:v>
                </c:pt>
                <c:pt idx="26">
                  <c:v>55.5</c:v>
                </c:pt>
                <c:pt idx="27">
                  <c:v>48.9</c:v>
                </c:pt>
                <c:pt idx="28">
                  <c:v>53.7</c:v>
                </c:pt>
                <c:pt idx="29">
                  <c:v>51.3</c:v>
                </c:pt>
                <c:pt idx="30">
                  <c:v>48.2</c:v>
                </c:pt>
                <c:pt idx="31">
                  <c:v>43.887</c:v>
                </c:pt>
                <c:pt idx="32">
                  <c:v>43.122</c:v>
                </c:pt>
                <c:pt idx="33">
                  <c:v>42.853999999999999</c:v>
                </c:pt>
                <c:pt idx="34">
                  <c:v>41.186</c:v>
                </c:pt>
                <c:pt idx="35">
                  <c:v>38.177999999999997</c:v>
                </c:pt>
                <c:pt idx="36">
                  <c:v>37.228000000000002</c:v>
                </c:pt>
                <c:pt idx="37">
                  <c:v>36.956000000000003</c:v>
                </c:pt>
                <c:pt idx="38">
                  <c:v>37.122999999999998</c:v>
                </c:pt>
                <c:pt idx="39">
                  <c:v>34.851999999999997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CF-4826-B98F-9628680A49B0}"/>
            </c:ext>
          </c:extLst>
        </c:ser>
        <c:ser>
          <c:idx val="5"/>
          <c:order val="3"/>
          <c:tx>
            <c:strRef>
              <c:f>'Trh práce-2b'!$A$35</c:f>
              <c:strCache>
                <c:ptCount val="1"/>
                <c:pt idx="0">
                  <c:v>VPM pro SŠ s mat., VOŠ a VŠ</c:v>
                </c:pt>
              </c:strCache>
            </c:strRef>
          </c:tx>
          <c:spPr>
            <a:ln w="19050">
              <a:noFill/>
              <a:prstDash val="dash"/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práce-2b'!$B$35:$AP$35</c:f>
              <c:numCache>
                <c:formatCode>0.0</c:formatCode>
                <c:ptCount val="41"/>
                <c:pt idx="0">
                  <c:v>16.600000000000001</c:v>
                </c:pt>
                <c:pt idx="1">
                  <c:v>19.3</c:v>
                </c:pt>
                <c:pt idx="2">
                  <c:v>20</c:v>
                </c:pt>
                <c:pt idx="3">
                  <c:v>19.600000000000001</c:v>
                </c:pt>
                <c:pt idx="4">
                  <c:v>23.4</c:v>
                </c:pt>
                <c:pt idx="5">
                  <c:v>24.8</c:v>
                </c:pt>
                <c:pt idx="6">
                  <c:v>25.2</c:v>
                </c:pt>
                <c:pt idx="7">
                  <c:v>23.5</c:v>
                </c:pt>
                <c:pt idx="8">
                  <c:v>25.9</c:v>
                </c:pt>
                <c:pt idx="9">
                  <c:v>30.3</c:v>
                </c:pt>
                <c:pt idx="10">
                  <c:v>31.4</c:v>
                </c:pt>
                <c:pt idx="11">
                  <c:v>31.8</c:v>
                </c:pt>
                <c:pt idx="12">
                  <c:v>34.299999999999997</c:v>
                </c:pt>
                <c:pt idx="13">
                  <c:v>38</c:v>
                </c:pt>
                <c:pt idx="14">
                  <c:v>37.200000000000003</c:v>
                </c:pt>
                <c:pt idx="15">
                  <c:v>36.6</c:v>
                </c:pt>
                <c:pt idx="16">
                  <c:v>37.299999999999997</c:v>
                </c:pt>
                <c:pt idx="17">
                  <c:v>38.299999999999997</c:v>
                </c:pt>
                <c:pt idx="18">
                  <c:v>38.6</c:v>
                </c:pt>
                <c:pt idx="19">
                  <c:v>36.299999999999997</c:v>
                </c:pt>
                <c:pt idx="20">
                  <c:v>37.700000000000003</c:v>
                </c:pt>
                <c:pt idx="21">
                  <c:v>38.1</c:v>
                </c:pt>
                <c:pt idx="22">
                  <c:v>34.4</c:v>
                </c:pt>
                <c:pt idx="23">
                  <c:v>34.1</c:v>
                </c:pt>
                <c:pt idx="24">
                  <c:v>36.299999999999997</c:v>
                </c:pt>
                <c:pt idx="25">
                  <c:v>39.6</c:v>
                </c:pt>
                <c:pt idx="26">
                  <c:v>40.299999999999997</c:v>
                </c:pt>
                <c:pt idx="27">
                  <c:v>39.200000000000003</c:v>
                </c:pt>
                <c:pt idx="28">
                  <c:v>42.5</c:v>
                </c:pt>
                <c:pt idx="29">
                  <c:v>41</c:v>
                </c:pt>
                <c:pt idx="30">
                  <c:v>38.5</c:v>
                </c:pt>
                <c:pt idx="31">
                  <c:v>36.56</c:v>
                </c:pt>
                <c:pt idx="32">
                  <c:v>37.613</c:v>
                </c:pt>
                <c:pt idx="33">
                  <c:v>38.130000000000003</c:v>
                </c:pt>
                <c:pt idx="34">
                  <c:v>36.289000000000001</c:v>
                </c:pt>
                <c:pt idx="35">
                  <c:v>34.274000000000001</c:v>
                </c:pt>
                <c:pt idx="36">
                  <c:v>35.200000000000003</c:v>
                </c:pt>
                <c:pt idx="37">
                  <c:v>33.491999999999997</c:v>
                </c:pt>
                <c:pt idx="38">
                  <c:v>32.277000000000001</c:v>
                </c:pt>
                <c:pt idx="39">
                  <c:v>29.664999999999999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CF-4826-B98F-9628680A49B0}"/>
            </c:ext>
          </c:extLst>
        </c:ser>
        <c:ser>
          <c:idx val="6"/>
          <c:order val="4"/>
          <c:tx>
            <c:strRef>
              <c:f>'Trh práce-2b'!$A$36</c:f>
              <c:strCache>
                <c:ptCount val="1"/>
                <c:pt idx="0">
                  <c:v>Pracující cizinci (Ukrajinci)</c:v>
                </c:pt>
              </c:strCache>
            </c:strRef>
          </c:tx>
          <c:spPr>
            <a:ln w="15875">
              <a:solidFill>
                <a:srgbClr val="FFC00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práce-2b'!$B$36:$AP$36</c:f>
              <c:numCache>
                <c:formatCode>#,##0</c:formatCode>
                <c:ptCount val="41"/>
                <c:pt idx="0">
                  <c:v>35.723999999999997</c:v>
                </c:pt>
                <c:pt idx="1">
                  <c:v>38.613999999999997</c:v>
                </c:pt>
                <c:pt idx="2">
                  <c:v>40.725999999999999</c:v>
                </c:pt>
                <c:pt idx="3">
                  <c:v>41.776000000000003</c:v>
                </c:pt>
                <c:pt idx="4">
                  <c:v>43.104999999999997</c:v>
                </c:pt>
                <c:pt idx="5">
                  <c:v>49.847000000000001</c:v>
                </c:pt>
                <c:pt idx="6">
                  <c:v>54.764000000000003</c:v>
                </c:pt>
                <c:pt idx="7">
                  <c:v>54.540999999999997</c:v>
                </c:pt>
                <c:pt idx="8">
                  <c:v>59.363</c:v>
                </c:pt>
                <c:pt idx="9">
                  <c:v>69.864000000000004</c:v>
                </c:pt>
                <c:pt idx="10">
                  <c:v>76.724000000000004</c:v>
                </c:pt>
                <c:pt idx="11">
                  <c:v>81.688999999999993</c:v>
                </c:pt>
                <c:pt idx="12">
                  <c:v>97.317999999999998</c:v>
                </c:pt>
                <c:pt idx="13">
                  <c:v>115.39100000000001</c:v>
                </c:pt>
                <c:pt idx="14">
                  <c:v>134.202</c:v>
                </c:pt>
                <c:pt idx="15">
                  <c:v>121.08499999999999</c:v>
                </c:pt>
                <c:pt idx="16">
                  <c:v>146.08500000000001</c:v>
                </c:pt>
                <c:pt idx="17">
                  <c:v>152.69800000000001</c:v>
                </c:pt>
                <c:pt idx="18">
                  <c:v>164.92400000000001</c:v>
                </c:pt>
                <c:pt idx="19">
                  <c:v>144.114</c:v>
                </c:pt>
                <c:pt idx="20">
                  <c:v>169.14699999999999</c:v>
                </c:pt>
                <c:pt idx="21">
                  <c:v>133.08600000000001</c:v>
                </c:pt>
                <c:pt idx="22">
                  <c:v>173.584</c:v>
                </c:pt>
                <c:pt idx="23">
                  <c:v>159.46799999999999</c:v>
                </c:pt>
                <c:pt idx="24">
                  <c:v>186.35599999999999</c:v>
                </c:pt>
                <c:pt idx="25">
                  <c:v>191.58500000000001</c:v>
                </c:pt>
                <c:pt idx="26">
                  <c:v>214.10599999999999</c:v>
                </c:pt>
                <c:pt idx="27">
                  <c:v>195.11600000000001</c:v>
                </c:pt>
                <c:pt idx="28">
                  <c:v>238.024</c:v>
                </c:pt>
                <c:pt idx="29">
                  <c:v>248.58799999999999</c:v>
                </c:pt>
                <c:pt idx="30">
                  <c:v>262.17899999999997</c:v>
                </c:pt>
                <c:pt idx="31">
                  <c:v>269.911</c:v>
                </c:pt>
                <c:pt idx="32">
                  <c:v>261.31299999999999</c:v>
                </c:pt>
                <c:pt idx="33">
                  <c:v>269.04500000000002</c:v>
                </c:pt>
                <c:pt idx="34">
                  <c:v>282.22300000000001</c:v>
                </c:pt>
                <c:pt idx="35">
                  <c:v>285.54500000000002</c:v>
                </c:pt>
                <c:pt idx="36">
                  <c:v>283.649</c:v>
                </c:pt>
                <c:pt idx="37">
                  <c:v>286.25599999999997</c:v>
                </c:pt>
                <c:pt idx="38">
                  <c:v>291.79199999999997</c:v>
                </c:pt>
                <c:pt idx="39">
                  <c:v>304.68200000000002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7CF-4826-B98F-9628680A49B0}"/>
            </c:ext>
          </c:extLst>
        </c:ser>
        <c:ser>
          <c:idx val="7"/>
          <c:order val="5"/>
          <c:tx>
            <c:strRef>
              <c:f>'Trh práce-2b'!$A$37</c:f>
              <c:strCache>
                <c:ptCount val="1"/>
                <c:pt idx="0">
                  <c:v>Pracující cizinci (Slováci)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práce-2b'!$B$37:$AP$37</c:f>
              <c:numCache>
                <c:formatCode>#,##0</c:formatCode>
                <c:ptCount val="41"/>
                <c:pt idx="0">
                  <c:v>132.65199999999999</c:v>
                </c:pt>
                <c:pt idx="1">
                  <c:v>141.858</c:v>
                </c:pt>
                <c:pt idx="2">
                  <c:v>148.23099999999999</c:v>
                </c:pt>
                <c:pt idx="3">
                  <c:v>150.31700000000001</c:v>
                </c:pt>
                <c:pt idx="4">
                  <c:v>148.67500000000001</c:v>
                </c:pt>
                <c:pt idx="5">
                  <c:v>153.64599999999999</c:v>
                </c:pt>
                <c:pt idx="6">
                  <c:v>159.30099999999999</c:v>
                </c:pt>
                <c:pt idx="7">
                  <c:v>161.559</c:v>
                </c:pt>
                <c:pt idx="8">
                  <c:v>159.88200000000001</c:v>
                </c:pt>
                <c:pt idx="9">
                  <c:v>165.69800000000001</c:v>
                </c:pt>
                <c:pt idx="10">
                  <c:v>170.643</c:v>
                </c:pt>
                <c:pt idx="11">
                  <c:v>177.059</c:v>
                </c:pt>
                <c:pt idx="12">
                  <c:v>180.01900000000001</c:v>
                </c:pt>
                <c:pt idx="13">
                  <c:v>187.33799999999999</c:v>
                </c:pt>
                <c:pt idx="14">
                  <c:v>192.66499999999999</c:v>
                </c:pt>
                <c:pt idx="15">
                  <c:v>191.81800000000001</c:v>
                </c:pt>
                <c:pt idx="16">
                  <c:v>187.18299999999999</c:v>
                </c:pt>
                <c:pt idx="17">
                  <c:v>191.41800000000001</c:v>
                </c:pt>
                <c:pt idx="18">
                  <c:v>199.02799999999999</c:v>
                </c:pt>
                <c:pt idx="19">
                  <c:v>201.952</c:v>
                </c:pt>
                <c:pt idx="20">
                  <c:v>198.05799999999999</c:v>
                </c:pt>
                <c:pt idx="21">
                  <c:v>199.249</c:v>
                </c:pt>
                <c:pt idx="22">
                  <c:v>202.91</c:v>
                </c:pt>
                <c:pt idx="23">
                  <c:v>204.29400000000001</c:v>
                </c:pt>
                <c:pt idx="24">
                  <c:v>201.91800000000001</c:v>
                </c:pt>
                <c:pt idx="25">
                  <c:v>204.476</c:v>
                </c:pt>
                <c:pt idx="26">
                  <c:v>208.249</c:v>
                </c:pt>
                <c:pt idx="27">
                  <c:v>209.273</c:v>
                </c:pt>
                <c:pt idx="28">
                  <c:v>207.86</c:v>
                </c:pt>
                <c:pt idx="29">
                  <c:v>211.31700000000001</c:v>
                </c:pt>
                <c:pt idx="30">
                  <c:v>212.55099999999999</c:v>
                </c:pt>
                <c:pt idx="31">
                  <c:v>213.447</c:v>
                </c:pt>
                <c:pt idx="32">
                  <c:v>209.79599999999999</c:v>
                </c:pt>
                <c:pt idx="33">
                  <c:v>212.12299999999999</c:v>
                </c:pt>
                <c:pt idx="34">
                  <c:v>215.20599999999999</c:v>
                </c:pt>
                <c:pt idx="35">
                  <c:v>216.239</c:v>
                </c:pt>
                <c:pt idx="36">
                  <c:v>213.9</c:v>
                </c:pt>
                <c:pt idx="37">
                  <c:v>216.68</c:v>
                </c:pt>
                <c:pt idx="38">
                  <c:v>212.44300000000001</c:v>
                </c:pt>
                <c:pt idx="39">
                  <c:v>215.61099999999999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7CF-4826-B98F-9628680A49B0}"/>
            </c:ext>
          </c:extLst>
        </c:ser>
        <c:ser>
          <c:idx val="2"/>
          <c:order val="6"/>
          <c:tx>
            <c:strRef>
              <c:f>'Trh práce-2b'!$A$38</c:f>
              <c:strCache>
                <c:ptCount val="1"/>
                <c:pt idx="0">
                  <c:v>Pracující cizinci (občané ostat. zemí)</c:v>
                </c:pt>
              </c:strCache>
            </c:strRef>
          </c:tx>
          <c:spPr>
            <a:ln w="19050">
              <a:solidFill>
                <a:srgbClr val="D4A97E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práce-2b'!$B$38:$AP$38</c:f>
              <c:numCache>
                <c:formatCode>#,##0</c:formatCode>
                <c:ptCount val="41"/>
                <c:pt idx="0">
                  <c:v>100.735</c:v>
                </c:pt>
                <c:pt idx="1">
                  <c:v>113.586</c:v>
                </c:pt>
                <c:pt idx="2">
                  <c:v>124.599</c:v>
                </c:pt>
                <c:pt idx="3">
                  <c:v>129.863</c:v>
                </c:pt>
                <c:pt idx="4">
                  <c:v>134.048</c:v>
                </c:pt>
                <c:pt idx="5">
                  <c:v>145.23599999999999</c:v>
                </c:pt>
                <c:pt idx="6">
                  <c:v>159.786</c:v>
                </c:pt>
                <c:pt idx="7">
                  <c:v>165.274</c:v>
                </c:pt>
                <c:pt idx="8">
                  <c:v>173.614</c:v>
                </c:pt>
                <c:pt idx="9">
                  <c:v>187.52799999999999</c:v>
                </c:pt>
                <c:pt idx="10">
                  <c:v>199.11799999999999</c:v>
                </c:pt>
                <c:pt idx="11">
                  <c:v>213.59899999999999</c:v>
                </c:pt>
                <c:pt idx="12">
                  <c:v>228.61600000000001</c:v>
                </c:pt>
                <c:pt idx="13">
                  <c:v>244.029</c:v>
                </c:pt>
                <c:pt idx="14">
                  <c:v>258.82100000000003</c:v>
                </c:pt>
                <c:pt idx="15">
                  <c:v>255.77199999999999</c:v>
                </c:pt>
                <c:pt idx="16">
                  <c:v>255.12200000000001</c:v>
                </c:pt>
                <c:pt idx="17">
                  <c:v>262.36599999999999</c:v>
                </c:pt>
                <c:pt idx="18">
                  <c:v>277.37400000000002</c:v>
                </c:pt>
                <c:pt idx="19">
                  <c:v>275.80399999999997</c:v>
                </c:pt>
                <c:pt idx="20">
                  <c:v>277.709</c:v>
                </c:pt>
                <c:pt idx="21">
                  <c:v>270.178</c:v>
                </c:pt>
                <c:pt idx="22">
                  <c:v>278.71699999999998</c:v>
                </c:pt>
                <c:pt idx="23">
                  <c:v>280.40199999999999</c:v>
                </c:pt>
                <c:pt idx="24">
                  <c:v>281.459</c:v>
                </c:pt>
                <c:pt idx="25">
                  <c:v>285.55</c:v>
                </c:pt>
                <c:pt idx="26">
                  <c:v>297.53500000000003</c:v>
                </c:pt>
                <c:pt idx="27">
                  <c:v>297.44099999999997</c:v>
                </c:pt>
                <c:pt idx="28">
                  <c:v>300.39299999999997</c:v>
                </c:pt>
                <c:pt idx="29">
                  <c:v>307.61</c:v>
                </c:pt>
                <c:pt idx="30">
                  <c:v>310.33499999999998</c:v>
                </c:pt>
                <c:pt idx="31">
                  <c:v>309.93200000000002</c:v>
                </c:pt>
                <c:pt idx="32">
                  <c:v>308.2</c:v>
                </c:pt>
                <c:pt idx="33">
                  <c:v>314.923</c:v>
                </c:pt>
                <c:pt idx="34">
                  <c:v>320.48399999999998</c:v>
                </c:pt>
                <c:pt idx="35">
                  <c:v>322.161</c:v>
                </c:pt>
                <c:pt idx="36">
                  <c:v>320.39100000000002</c:v>
                </c:pt>
                <c:pt idx="37">
                  <c:v>324.68299999999999</c:v>
                </c:pt>
                <c:pt idx="38">
                  <c:v>319.55900000000003</c:v>
                </c:pt>
                <c:pt idx="39">
                  <c:v>325.17500000000001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7CF-4826-B98F-9628680A49B0}"/>
            </c:ext>
          </c:extLst>
        </c:ser>
        <c:ser>
          <c:idx val="3"/>
          <c:order val="7"/>
          <c:tx>
            <c:strRef>
              <c:f>'Trh práce-2b'!$A$39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5875">
              <a:solidFill>
                <a:schemeClr val="bg2">
                  <a:lumMod val="50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práce-2b'!$B$30:$AP$31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'Trh práce-2b'!$B$39:$AP$39</c:f>
              <c:numCache>
                <c:formatCode>0.0</c:formatCode>
                <c:ptCount val="41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  <c:pt idx="31">
                  <c:v>40</c:v>
                </c:pt>
                <c:pt idx="32">
                  <c:v>35</c:v>
                </c:pt>
                <c:pt idx="33">
                  <c:v>29</c:v>
                </c:pt>
                <c:pt idx="34">
                  <c:v>25</c:v>
                </c:pt>
                <c:pt idx="35">
                  <c:v>17</c:v>
                </c:pt>
                <c:pt idx="36">
                  <c:v>25</c:v>
                </c:pt>
                <c:pt idx="37">
                  <c:v>22</c:v>
                </c:pt>
                <c:pt idx="38">
                  <c:v>24</c:v>
                </c:pt>
                <c:pt idx="39">
                  <c:v>19</c:v>
                </c:pt>
                <c:pt idx="40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7CF-4826-B98F-9628680A4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670576"/>
        <c:axId val="323971328"/>
      </c:lineChart>
      <c:catAx>
        <c:axId val="10065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647488"/>
        <c:crossesAt val="-50"/>
        <c:auto val="1"/>
        <c:lblAlgn val="ctr"/>
        <c:lblOffset val="0"/>
        <c:noMultiLvlLbl val="0"/>
      </c:catAx>
      <c:valAx>
        <c:axId val="101647488"/>
        <c:scaling>
          <c:orientation val="minMax"/>
          <c:max val="7.5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54464"/>
        <c:crosses val="autoZero"/>
        <c:crossBetween val="between"/>
        <c:majorUnit val="0.5"/>
      </c:valAx>
      <c:valAx>
        <c:axId val="323971328"/>
        <c:scaling>
          <c:orientation val="minMax"/>
          <c:max val="350"/>
          <c:min val="-25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Volná</a:t>
                </a:r>
                <a:r>
                  <a:rPr lang="cs-CZ" sz="700" b="0" i="1" baseline="0"/>
                  <a:t> pracovní místa, zaměstnaní cizinci</a:t>
                </a:r>
                <a:endParaRPr lang="cs-CZ" sz="700" b="0" i="1"/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1670576"/>
        <c:crosses val="max"/>
        <c:crossBetween val="between"/>
        <c:majorUnit val="25"/>
      </c:valAx>
      <c:catAx>
        <c:axId val="33167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971328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2346890231882358E-2"/>
          <c:y val="0.87065667466923102"/>
          <c:w val="0.85260043993190393"/>
          <c:h val="0.1257397595598769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32E-2"/>
          <c:y val="1.6620151538667759E-2"/>
          <c:w val="0.94100987714831696"/>
          <c:h val="0.76753601512564729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3'!$D$96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3'!$D$97:$D$130</c:f>
              <c:numCache>
                <c:formatCode>0.0</c:formatCode>
                <c:ptCount val="34"/>
                <c:pt idx="0">
                  <c:v>1.4000000000000057</c:v>
                </c:pt>
                <c:pt idx="1">
                  <c:v>1.5</c:v>
                </c:pt>
                <c:pt idx="2">
                  <c:v>0.59999999999999432</c:v>
                </c:pt>
                <c:pt idx="3">
                  <c:v>4.0999999999999943</c:v>
                </c:pt>
                <c:pt idx="4">
                  <c:v>2</c:v>
                </c:pt>
                <c:pt idx="5">
                  <c:v>-0.55000000000001137</c:v>
                </c:pt>
                <c:pt idx="6">
                  <c:v>0.94999999999998863</c:v>
                </c:pt>
                <c:pt idx="7">
                  <c:v>0.15000000000000568</c:v>
                </c:pt>
                <c:pt idx="8">
                  <c:v>-0.90000000000000568</c:v>
                </c:pt>
                <c:pt idx="9">
                  <c:v>-0.69999999999998863</c:v>
                </c:pt>
                <c:pt idx="10">
                  <c:v>-1.4500000000000028</c:v>
                </c:pt>
                <c:pt idx="11">
                  <c:v>-1.5499999999999972</c:v>
                </c:pt>
                <c:pt idx="12">
                  <c:v>3.1500000000000057</c:v>
                </c:pt>
                <c:pt idx="13">
                  <c:v>1.9499999999999886</c:v>
                </c:pt>
                <c:pt idx="14">
                  <c:v>2.4000000000000057</c:v>
                </c:pt>
                <c:pt idx="15">
                  <c:v>3.3499999999999943</c:v>
                </c:pt>
                <c:pt idx="16">
                  <c:v>4</c:v>
                </c:pt>
                <c:pt idx="17">
                  <c:v>3.5999999999999943</c:v>
                </c:pt>
                <c:pt idx="18">
                  <c:v>3.75</c:v>
                </c:pt>
                <c:pt idx="19">
                  <c:v>4.5999999999999943</c:v>
                </c:pt>
                <c:pt idx="20">
                  <c:v>6.4000000000000057</c:v>
                </c:pt>
                <c:pt idx="21">
                  <c:v>5.4000000000000057</c:v>
                </c:pt>
                <c:pt idx="22">
                  <c:v>5.2999999999999972</c:v>
                </c:pt>
                <c:pt idx="23">
                  <c:v>4.6500000000000057</c:v>
                </c:pt>
                <c:pt idx="24">
                  <c:v>-0.15000000000000568</c:v>
                </c:pt>
                <c:pt idx="25">
                  <c:v>3</c:v>
                </c:pt>
                <c:pt idx="26">
                  <c:v>4.4499999999999886</c:v>
                </c:pt>
                <c:pt idx="27">
                  <c:v>-0.44999999999998863</c:v>
                </c:pt>
                <c:pt idx="28">
                  <c:v>-8.4000000000000057</c:v>
                </c:pt>
                <c:pt idx="29">
                  <c:v>-10.150000000000006</c:v>
                </c:pt>
                <c:pt idx="30">
                  <c:v>-4.4000000000000057</c:v>
                </c:pt>
                <c:pt idx="31">
                  <c:v>-0.34999999999999432</c:v>
                </c:pt>
                <c:pt idx="32">
                  <c:v>4.5499999999999972</c:v>
                </c:pt>
                <c:pt idx="33">
                  <c:v>4.4500000000000028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3-404C-805B-B9811AE1B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00688640"/>
        <c:axId val="100690560"/>
      </c:barChart>
      <c:lineChart>
        <c:grouping val="standard"/>
        <c:varyColors val="0"/>
        <c:ser>
          <c:idx val="0"/>
          <c:order val="0"/>
          <c:tx>
            <c:strRef>
              <c:f>'Trh práce 3'!$C$96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3'!$C$97:$C$130</c:f>
              <c:numCache>
                <c:formatCode>0.0</c:formatCode>
                <c:ptCount val="34"/>
                <c:pt idx="0">
                  <c:v>8.5999999999999943</c:v>
                </c:pt>
                <c:pt idx="1">
                  <c:v>7.2000000000000028</c:v>
                </c:pt>
                <c:pt idx="2">
                  <c:v>2.3499999999999943</c:v>
                </c:pt>
                <c:pt idx="3">
                  <c:v>4.3499999999999943</c:v>
                </c:pt>
                <c:pt idx="4">
                  <c:v>2.9499999999999886</c:v>
                </c:pt>
                <c:pt idx="5">
                  <c:v>1.4500000000000028</c:v>
                </c:pt>
                <c:pt idx="6">
                  <c:v>2.6999999999999886</c:v>
                </c:pt>
                <c:pt idx="7">
                  <c:v>2.25</c:v>
                </c:pt>
                <c:pt idx="8">
                  <c:v>2.6500000000000057</c:v>
                </c:pt>
                <c:pt idx="9">
                  <c:v>2.3000000000000114</c:v>
                </c:pt>
                <c:pt idx="10">
                  <c:v>0.20000000000000284</c:v>
                </c:pt>
                <c:pt idx="11">
                  <c:v>-0.40000000000000568</c:v>
                </c:pt>
                <c:pt idx="12">
                  <c:v>3.3499999999999943</c:v>
                </c:pt>
                <c:pt idx="13">
                  <c:v>2.5</c:v>
                </c:pt>
                <c:pt idx="14">
                  <c:v>2.7999999999999972</c:v>
                </c:pt>
                <c:pt idx="15">
                  <c:v>3.5999999999999943</c:v>
                </c:pt>
                <c:pt idx="16">
                  <c:v>4.3499999999999943</c:v>
                </c:pt>
                <c:pt idx="17">
                  <c:v>4.5500000000000114</c:v>
                </c:pt>
                <c:pt idx="18">
                  <c:v>6.1500000000000057</c:v>
                </c:pt>
                <c:pt idx="19">
                  <c:v>7.25</c:v>
                </c:pt>
                <c:pt idx="20">
                  <c:v>8.5999999999999943</c:v>
                </c:pt>
                <c:pt idx="21">
                  <c:v>7.75</c:v>
                </c:pt>
                <c:pt idx="22">
                  <c:v>8.1500000000000057</c:v>
                </c:pt>
                <c:pt idx="23">
                  <c:v>7.6500000000000057</c:v>
                </c:pt>
                <c:pt idx="24">
                  <c:v>3.2000000000000028</c:v>
                </c:pt>
                <c:pt idx="25">
                  <c:v>6.0500000000000114</c:v>
                </c:pt>
                <c:pt idx="26">
                  <c:v>7.0999999999999943</c:v>
                </c:pt>
                <c:pt idx="27">
                  <c:v>4.5999999999999943</c:v>
                </c:pt>
                <c:pt idx="28">
                  <c:v>3.9000000000000057</c:v>
                </c:pt>
                <c:pt idx="29">
                  <c:v>4.75</c:v>
                </c:pt>
                <c:pt idx="30">
                  <c:v>8.6500000000000057</c:v>
                </c:pt>
                <c:pt idx="31">
                  <c:v>7.4499999999999886</c:v>
                </c:pt>
                <c:pt idx="32">
                  <c:v>6.9499999999999886</c:v>
                </c:pt>
                <c:pt idx="33">
                  <c:v>7.1500000000000057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D3-404C-805B-B9811AE1B98E}"/>
            </c:ext>
          </c:extLst>
        </c:ser>
        <c:ser>
          <c:idx val="5"/>
          <c:order val="2"/>
          <c:tx>
            <c:strRef>
              <c:f>'Trh práce 3'!$E$96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3'!$E$97:$E$130</c:f>
              <c:numCache>
                <c:formatCode>0.0</c:formatCode>
                <c:ptCount val="34"/>
                <c:pt idx="0">
                  <c:v>10.965779626599343</c:v>
                </c:pt>
                <c:pt idx="1">
                  <c:v>7.2045848058037194</c:v>
                </c:pt>
                <c:pt idx="2">
                  <c:v>-0.10207158875207512</c:v>
                </c:pt>
                <c:pt idx="3">
                  <c:v>4.775678798547176</c:v>
                </c:pt>
                <c:pt idx="4">
                  <c:v>5.2247862331461405</c:v>
                </c:pt>
                <c:pt idx="5">
                  <c:v>3.4322578877170642</c:v>
                </c:pt>
                <c:pt idx="6">
                  <c:v>4.0718748809917713</c:v>
                </c:pt>
                <c:pt idx="7">
                  <c:v>2.4423868557449282</c:v>
                </c:pt>
                <c:pt idx="8">
                  <c:v>3.3491932249592722</c:v>
                </c:pt>
                <c:pt idx="9">
                  <c:v>2.7243464773580328</c:v>
                </c:pt>
                <c:pt idx="10">
                  <c:v>0.82649064706659914</c:v>
                </c:pt>
                <c:pt idx="11">
                  <c:v>0.83258081439371523</c:v>
                </c:pt>
                <c:pt idx="12">
                  <c:v>3.8171645430344086</c:v>
                </c:pt>
                <c:pt idx="13">
                  <c:v>2.8172030641298562</c:v>
                </c:pt>
                <c:pt idx="14">
                  <c:v>2.1650997607555382</c:v>
                </c:pt>
                <c:pt idx="15">
                  <c:v>2.9944452782884241</c:v>
                </c:pt>
                <c:pt idx="16">
                  <c:v>4.2995514923439941</c:v>
                </c:pt>
                <c:pt idx="17">
                  <c:v>4.275871439841552</c:v>
                </c:pt>
                <c:pt idx="18">
                  <c:v>6.6237644181187676</c:v>
                </c:pt>
                <c:pt idx="19">
                  <c:v>6.957870030534707</c:v>
                </c:pt>
                <c:pt idx="20">
                  <c:v>8.0477489864729392</c:v>
                </c:pt>
                <c:pt idx="21">
                  <c:v>7.4868067232467439</c:v>
                </c:pt>
                <c:pt idx="22">
                  <c:v>7.1445354202982472</c:v>
                </c:pt>
                <c:pt idx="23">
                  <c:v>6.1891260339134462</c:v>
                </c:pt>
                <c:pt idx="24">
                  <c:v>0.68490810298792582</c:v>
                </c:pt>
                <c:pt idx="25">
                  <c:v>3.4815846936054058</c:v>
                </c:pt>
                <c:pt idx="26">
                  <c:v>6.0344055023863206</c:v>
                </c:pt>
                <c:pt idx="27">
                  <c:v>4.2384595160887315</c:v>
                </c:pt>
                <c:pt idx="28">
                  <c:v>5.3935361837117028</c:v>
                </c:pt>
                <c:pt idx="29">
                  <c:v>6.5020185510501705</c:v>
                </c:pt>
                <c:pt idx="30">
                  <c:v>10.305502657517472</c:v>
                </c:pt>
                <c:pt idx="31">
                  <c:v>8.3069563442154859</c:v>
                </c:pt>
                <c:pt idx="32">
                  <c:v>7.8173267774648849</c:v>
                </c:pt>
                <c:pt idx="33">
                  <c:v>6.9651532720757316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D3-404C-805B-B9811AE1B98E}"/>
            </c:ext>
          </c:extLst>
        </c:ser>
        <c:ser>
          <c:idx val="1"/>
          <c:order val="3"/>
          <c:tx>
            <c:strRef>
              <c:f>'Trh práce 3'!$F$96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3'!$F$97:$F$130</c:f>
              <c:numCache>
                <c:formatCode>0.0</c:formatCode>
                <c:ptCount val="34"/>
                <c:pt idx="0">
                  <c:v>9.5236281670593428</c:v>
                </c:pt>
                <c:pt idx="1">
                  <c:v>6.1173932151438422</c:v>
                </c:pt>
                <c:pt idx="2">
                  <c:v>-0.56987922579376971</c:v>
                </c:pt>
                <c:pt idx="3">
                  <c:v>0.86090696307550729</c:v>
                </c:pt>
                <c:pt idx="4">
                  <c:v>3.1242388374649579</c:v>
                </c:pt>
                <c:pt idx="5">
                  <c:v>3.1449702537917474</c:v>
                </c:pt>
                <c:pt idx="6">
                  <c:v>3.4890379198127093</c:v>
                </c:pt>
                <c:pt idx="7">
                  <c:v>3.5017847929104704</c:v>
                </c:pt>
                <c:pt idx="8">
                  <c:v>2.4115907095162967</c:v>
                </c:pt>
                <c:pt idx="9">
                  <c:v>2.0776709847314265</c:v>
                </c:pt>
                <c:pt idx="10">
                  <c:v>0.23379388629743403</c:v>
                </c:pt>
                <c:pt idx="11">
                  <c:v>-1.6674125328935219</c:v>
                </c:pt>
                <c:pt idx="12">
                  <c:v>3.8180889226283057</c:v>
                </c:pt>
                <c:pt idx="13">
                  <c:v>2.8255381000689113</c:v>
                </c:pt>
                <c:pt idx="14">
                  <c:v>3.5098256642731656</c:v>
                </c:pt>
                <c:pt idx="15">
                  <c:v>4.8703883325637847</c:v>
                </c:pt>
                <c:pt idx="16">
                  <c:v>4.8006939294931357</c:v>
                </c:pt>
                <c:pt idx="17">
                  <c:v>4.7464148837768363</c:v>
                </c:pt>
                <c:pt idx="18">
                  <c:v>6.7757963852022343</c:v>
                </c:pt>
                <c:pt idx="19">
                  <c:v>8.0429381053703324</c:v>
                </c:pt>
                <c:pt idx="20">
                  <c:v>7.140432936852541</c:v>
                </c:pt>
                <c:pt idx="21">
                  <c:v>6.7676237129747037</c:v>
                </c:pt>
                <c:pt idx="22">
                  <c:v>8.4786853865892482</c:v>
                </c:pt>
                <c:pt idx="23">
                  <c:v>7.232378367973638</c:v>
                </c:pt>
                <c:pt idx="24">
                  <c:v>3.6410633902801095</c:v>
                </c:pt>
                <c:pt idx="25">
                  <c:v>3.5929532276403506</c:v>
                </c:pt>
                <c:pt idx="26">
                  <c:v>6.061000040897909</c:v>
                </c:pt>
                <c:pt idx="27">
                  <c:v>7.6602746826361425</c:v>
                </c:pt>
                <c:pt idx="28">
                  <c:v>6.1888233099539818</c:v>
                </c:pt>
                <c:pt idx="29">
                  <c:v>4.4014967849833369</c:v>
                </c:pt>
                <c:pt idx="30">
                  <c:v>7.4395454698724777</c:v>
                </c:pt>
                <c:pt idx="31">
                  <c:v>5.7970253198096273</c:v>
                </c:pt>
                <c:pt idx="32">
                  <c:v>6.8182045381084322</c:v>
                </c:pt>
                <c:pt idx="33">
                  <c:v>8.0210643606135363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D3-404C-805B-B9811AE1B98E}"/>
            </c:ext>
          </c:extLst>
        </c:ser>
        <c:ser>
          <c:idx val="2"/>
          <c:order val="4"/>
          <c:tx>
            <c:strRef>
              <c:f>'Trh práce 3'!$G$96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3'!$G$97:$G$130</c:f>
              <c:numCache>
                <c:formatCode>0.0</c:formatCode>
                <c:ptCount val="34"/>
                <c:pt idx="0">
                  <c:v>3.5657045736146955</c:v>
                </c:pt>
                <c:pt idx="1">
                  <c:v>5.270641590760583</c:v>
                </c:pt>
                <c:pt idx="2">
                  <c:v>4.9793477923024483</c:v>
                </c:pt>
                <c:pt idx="3">
                  <c:v>6.1469428778748991</c:v>
                </c:pt>
                <c:pt idx="4">
                  <c:v>2.8386853624388522</c:v>
                </c:pt>
                <c:pt idx="5">
                  <c:v>-2.1753764637075363</c:v>
                </c:pt>
                <c:pt idx="6">
                  <c:v>0.19348481132529827</c:v>
                </c:pt>
                <c:pt idx="7">
                  <c:v>2.4787428508100575</c:v>
                </c:pt>
                <c:pt idx="8">
                  <c:v>2.4926987811426713</c:v>
                </c:pt>
                <c:pt idx="9">
                  <c:v>1.4759480783641123</c:v>
                </c:pt>
                <c:pt idx="10">
                  <c:v>0.81328517016101642</c:v>
                </c:pt>
                <c:pt idx="11">
                  <c:v>0.40922312282597773</c:v>
                </c:pt>
                <c:pt idx="12">
                  <c:v>2.0274703102504361</c:v>
                </c:pt>
                <c:pt idx="13">
                  <c:v>3.0167538052527476</c:v>
                </c:pt>
                <c:pt idx="14">
                  <c:v>3.8030490245786126</c:v>
                </c:pt>
                <c:pt idx="15">
                  <c:v>3.7263593007908256</c:v>
                </c:pt>
                <c:pt idx="16">
                  <c:v>4.2239545746046758</c:v>
                </c:pt>
                <c:pt idx="17">
                  <c:v>5.4939178255430079</c:v>
                </c:pt>
                <c:pt idx="18">
                  <c:v>6.3879284532635694</c:v>
                </c:pt>
                <c:pt idx="19">
                  <c:v>9.2411219451734112</c:v>
                </c:pt>
                <c:pt idx="20">
                  <c:v>12.035938363262254</c:v>
                </c:pt>
                <c:pt idx="21">
                  <c:v>8.7447651066878649</c:v>
                </c:pt>
                <c:pt idx="22">
                  <c:v>9.3592646182937287</c:v>
                </c:pt>
                <c:pt idx="23">
                  <c:v>9.7167924346275427</c:v>
                </c:pt>
                <c:pt idx="24">
                  <c:v>5.1117019583668011</c:v>
                </c:pt>
                <c:pt idx="25">
                  <c:v>11.379812548838132</c:v>
                </c:pt>
                <c:pt idx="26">
                  <c:v>11.167111313827647</c:v>
                </c:pt>
                <c:pt idx="27">
                  <c:v>2.5296257137618738</c:v>
                </c:pt>
                <c:pt idx="28">
                  <c:v>-2.3632409229601805</c:v>
                </c:pt>
                <c:pt idx="29">
                  <c:v>1.8533165396900202</c:v>
                </c:pt>
                <c:pt idx="30">
                  <c:v>6.4698068573460148</c:v>
                </c:pt>
                <c:pt idx="31">
                  <c:v>5.1051107198494066</c:v>
                </c:pt>
                <c:pt idx="32">
                  <c:v>5.591285515726959</c:v>
                </c:pt>
                <c:pt idx="33">
                  <c:v>5.2915564103289583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7D3-404C-805B-B9811AE1B98E}"/>
            </c:ext>
          </c:extLst>
        </c:ser>
        <c:ser>
          <c:idx val="3"/>
          <c:order val="5"/>
          <c:tx>
            <c:strRef>
              <c:f>'Trh práce 3'!$H$96</c:f>
              <c:strCache>
                <c:ptCount val="1"/>
                <c:pt idx="0">
                  <c:v>Produktivita práce v NH (reálně)**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3'!$A$97:$B$130</c:f>
              <c:multiLvlStrCache>
                <c:ptCount val="34"/>
                <c:lvl>
                  <c:pt idx="0">
                    <c:v>1</c:v>
                  </c:pt>
                  <c:pt idx="1">
                    <c:v>2</c:v>
                  </c:pt>
                  <c:pt idx="2">
                    <c:v>1</c:v>
                  </c:pt>
                  <c:pt idx="3">
                    <c:v>2</c:v>
                  </c:pt>
                  <c:pt idx="4">
                    <c:v>1</c:v>
                  </c:pt>
                  <c:pt idx="5">
                    <c:v>2</c:v>
                  </c:pt>
                  <c:pt idx="6">
                    <c:v>1</c:v>
                  </c:pt>
                  <c:pt idx="7">
                    <c:v>2</c:v>
                  </c:pt>
                  <c:pt idx="8">
                    <c:v>1</c:v>
                  </c:pt>
                  <c:pt idx="9">
                    <c:v>2</c:v>
                  </c:pt>
                  <c:pt idx="10">
                    <c:v>1</c:v>
                  </c:pt>
                  <c:pt idx="11">
                    <c:v>2</c:v>
                  </c:pt>
                  <c:pt idx="12">
                    <c:v>1</c:v>
                  </c:pt>
                  <c:pt idx="13">
                    <c:v>2</c:v>
                  </c:pt>
                  <c:pt idx="14">
                    <c:v>1</c:v>
                  </c:pt>
                  <c:pt idx="15">
                    <c:v>2</c:v>
                  </c:pt>
                  <c:pt idx="16">
                    <c:v>1</c:v>
                  </c:pt>
                  <c:pt idx="17">
                    <c:v>2</c:v>
                  </c:pt>
                  <c:pt idx="18">
                    <c:v>1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1</c:v>
                  </c:pt>
                  <c:pt idx="23">
                    <c:v>2</c:v>
                  </c:pt>
                  <c:pt idx="24">
                    <c:v>1</c:v>
                  </c:pt>
                  <c:pt idx="25">
                    <c:v>2</c:v>
                  </c:pt>
                  <c:pt idx="26">
                    <c:v>1</c:v>
                  </c:pt>
                  <c:pt idx="27">
                    <c:v>2</c:v>
                  </c:pt>
                  <c:pt idx="28">
                    <c:v>1</c:v>
                  </c:pt>
                  <c:pt idx="29">
                    <c:v>2</c:v>
                  </c:pt>
                  <c:pt idx="30">
                    <c:v>1</c:v>
                  </c:pt>
                  <c:pt idx="31">
                    <c:v>2</c:v>
                  </c:pt>
                  <c:pt idx="32">
                    <c:v>1</c:v>
                  </c:pt>
                  <c:pt idx="33">
                    <c:v>2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4">
                    <c:v>2010</c:v>
                  </c:pt>
                  <c:pt idx="6">
                    <c:v>2011</c:v>
                  </c:pt>
                  <c:pt idx="8">
                    <c:v>2012</c:v>
                  </c:pt>
                  <c:pt idx="10">
                    <c:v>2013</c:v>
                  </c:pt>
                  <c:pt idx="12">
                    <c:v>2014</c:v>
                  </c:pt>
                  <c:pt idx="14">
                    <c:v>2015</c:v>
                  </c:pt>
                  <c:pt idx="16">
                    <c:v>2016</c:v>
                  </c:pt>
                  <c:pt idx="18">
                    <c:v>2017</c:v>
                  </c:pt>
                  <c:pt idx="20">
                    <c:v>2018</c:v>
                  </c:pt>
                  <c:pt idx="22">
                    <c:v>2019</c:v>
                  </c:pt>
                  <c:pt idx="24">
                    <c:v>2020</c:v>
                  </c:pt>
                  <c:pt idx="26">
                    <c:v>2021</c:v>
                  </c:pt>
                  <c:pt idx="28">
                    <c:v>2022</c:v>
                  </c:pt>
                  <c:pt idx="30">
                    <c:v>2023</c:v>
                  </c:pt>
                  <c:pt idx="32">
                    <c:v>2024</c:v>
                  </c:pt>
                </c:lvl>
              </c:multiLvlStrCache>
            </c:multiLvlStrRef>
          </c:cat>
          <c:val>
            <c:numRef>
              <c:f>'Trh práce 3'!$H$97:$H$130</c:f>
              <c:numCache>
                <c:formatCode>#\ ##0.0</c:formatCode>
                <c:ptCount val="34"/>
                <c:pt idx="0">
                  <c:v>2.6043310494786382</c:v>
                </c:pt>
                <c:pt idx="1">
                  <c:v>0.11019089000820514</c:v>
                </c:pt>
                <c:pt idx="2">
                  <c:v>-5.0073946867922601</c:v>
                </c:pt>
                <c:pt idx="3">
                  <c:v>-2.3639851732210673</c:v>
                </c:pt>
                <c:pt idx="4">
                  <c:v>4.5679613561260481</c:v>
                </c:pt>
                <c:pt idx="5">
                  <c:v>4.1211850538912245</c:v>
                </c:pt>
                <c:pt idx="6">
                  <c:v>3.091964741880993</c:v>
                </c:pt>
                <c:pt idx="7">
                  <c:v>1.5568725472929188</c:v>
                </c:pt>
                <c:pt idx="8">
                  <c:v>-0.21156955642562991</c:v>
                </c:pt>
                <c:pt idx="9">
                  <c:v>-2.3789942590695787</c:v>
                </c:pt>
                <c:pt idx="10">
                  <c:v>-1.4715364618832822</c:v>
                </c:pt>
                <c:pt idx="11">
                  <c:v>0.6737870010327569</c:v>
                </c:pt>
                <c:pt idx="12">
                  <c:v>2.0290083708460855</c:v>
                </c:pt>
                <c:pt idx="13">
                  <c:v>2.5203545074903602</c:v>
                </c:pt>
                <c:pt idx="14">
                  <c:v>2.7374136873296706</c:v>
                </c:pt>
                <c:pt idx="15">
                  <c:v>3.0839020524035874</c:v>
                </c:pt>
                <c:pt idx="16">
                  <c:v>2.0395081016606866</c:v>
                </c:pt>
                <c:pt idx="17">
                  <c:v>0.97451928855153369</c:v>
                </c:pt>
                <c:pt idx="18">
                  <c:v>3.5823247243180631</c:v>
                </c:pt>
                <c:pt idx="19">
                  <c:v>4.0468969940137143</c:v>
                </c:pt>
                <c:pt idx="20">
                  <c:v>1.7938403063772626</c:v>
                </c:pt>
                <c:pt idx="21">
                  <c:v>1.8356024783068889</c:v>
                </c:pt>
                <c:pt idx="22">
                  <c:v>3.3440362024166106</c:v>
                </c:pt>
                <c:pt idx="23">
                  <c:v>4.1557082362080209</c:v>
                </c:pt>
                <c:pt idx="24">
                  <c:v>-3.7289870530664047</c:v>
                </c:pt>
                <c:pt idx="25">
                  <c:v>-1.76429176990478</c:v>
                </c:pt>
                <c:pt idx="26">
                  <c:v>4.1943628572136049</c:v>
                </c:pt>
                <c:pt idx="27">
                  <c:v>1.7136554110200777</c:v>
                </c:pt>
                <c:pt idx="28">
                  <c:v>2.8820461633566765</c:v>
                </c:pt>
                <c:pt idx="29">
                  <c:v>0.93470359421954896</c:v>
                </c:pt>
                <c:pt idx="30">
                  <c:v>-0.26418679110465604</c:v>
                </c:pt>
                <c:pt idx="31">
                  <c:v>-0.80194758181473702</c:v>
                </c:pt>
                <c:pt idx="32">
                  <c:v>-0.75049633768783508</c:v>
                </c:pt>
                <c:pt idx="33">
                  <c:v>1.0370396608171504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7D3-404C-805B-B9811AE1B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88640"/>
        <c:axId val="100690560"/>
      </c:lineChart>
      <c:catAx>
        <c:axId val="1006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0690560"/>
        <c:crosses val="autoZero"/>
        <c:auto val="1"/>
        <c:lblAlgn val="ctr"/>
        <c:lblOffset val="0"/>
        <c:tickMarkSkip val="1"/>
        <c:noMultiLvlLbl val="0"/>
      </c:catAx>
      <c:valAx>
        <c:axId val="100690560"/>
        <c:scaling>
          <c:orientation val="minMax"/>
          <c:max val="14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88640"/>
        <c:crosses val="autoZero"/>
        <c:crossBetween val="midCat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8875442035332712E-2"/>
          <c:y val="0.87578175045503925"/>
          <c:w val="0.97559048893060707"/>
          <c:h val="0.1134189342403628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b8c0c86d-151e-4fca-b0d5-747e6692fa1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187BB0-665D-4788-984B-3D69493B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F7486-73C8-421F-B249-6BB4977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3403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2025-03-20T11:47:00Z</dcterms:created>
  <dcterms:modified xsi:type="dcterms:W3CDTF">2025-03-20T12:04:00Z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